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677F4" w14:textId="0DF5AADE" w:rsidR="00C93F5D" w:rsidRPr="00252D7B" w:rsidRDefault="00C93F5D" w:rsidP="00C93F5D">
      <w:pPr>
        <w:tabs>
          <w:tab w:val="left" w:pos="0"/>
        </w:tabs>
        <w:spacing w:line="262" w:lineRule="auto"/>
        <w:ind w:right="4956"/>
        <w:rPr>
          <w:rFonts w:asciiTheme="minorHAnsi" w:hAnsiTheme="minorHAnsi" w:cstheme="minorHAnsi"/>
          <w:color w:val="323E4F" w:themeColor="text2" w:themeShade="BF"/>
          <w:spacing w:val="-5"/>
          <w:sz w:val="36"/>
        </w:rPr>
      </w:pPr>
      <w:bookmarkStart w:id="0" w:name="_Hlk97281288"/>
      <w:bookmarkEnd w:id="0"/>
      <w:r w:rsidRPr="00252D7B">
        <w:rPr>
          <w:rFonts w:asciiTheme="minorHAnsi" w:hAnsiTheme="minorHAnsi" w:cstheme="minorHAnsi"/>
          <w:i/>
          <w:noProof/>
          <w:color w:val="323E4F" w:themeColor="text2" w:themeShade="BF"/>
          <w:lang w:eastAsia="pt-BR" w:bidi="ar-SA"/>
        </w:rPr>
        <w:drawing>
          <wp:anchor distT="0" distB="0" distL="114300" distR="114300" simplePos="0" relativeHeight="251656192" behindDoc="0" locked="0" layoutInCell="1" allowOverlap="1" wp14:anchorId="24A8C105" wp14:editId="07D8C6A3">
            <wp:simplePos x="0" y="0"/>
            <wp:positionH relativeFrom="margin">
              <wp:posOffset>-71252</wp:posOffset>
            </wp:positionH>
            <wp:positionV relativeFrom="margin">
              <wp:posOffset>83425</wp:posOffset>
            </wp:positionV>
            <wp:extent cx="2788285" cy="314325"/>
            <wp:effectExtent l="0" t="0" r="0" b="952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ogo.png"/>
                    <pic:cNvPicPr/>
                  </pic:nvPicPr>
                  <pic:blipFill>
                    <a:blip r:embed="rId11">
                      <a:extLst>
                        <a:ext uri="{28A0092B-C50C-407E-A947-70E740481C1C}">
                          <a14:useLocalDpi xmlns:a14="http://schemas.microsoft.com/office/drawing/2010/main" val="0"/>
                        </a:ext>
                      </a:extLst>
                    </a:blip>
                    <a:stretch>
                      <a:fillRect/>
                    </a:stretch>
                  </pic:blipFill>
                  <pic:spPr>
                    <a:xfrm>
                      <a:off x="0" y="0"/>
                      <a:ext cx="2788285" cy="314325"/>
                    </a:xfrm>
                    <a:prstGeom prst="rect">
                      <a:avLst/>
                    </a:prstGeom>
                  </pic:spPr>
                </pic:pic>
              </a:graphicData>
            </a:graphic>
            <wp14:sizeRelH relativeFrom="page">
              <wp14:pctWidth>0</wp14:pctWidth>
            </wp14:sizeRelH>
            <wp14:sizeRelV relativeFrom="page">
              <wp14:pctHeight>0</wp14:pctHeight>
            </wp14:sizeRelV>
          </wp:anchor>
        </w:drawing>
      </w:r>
    </w:p>
    <w:p w14:paraId="296303CA" w14:textId="582B3666" w:rsidR="00C93F5D" w:rsidRPr="00252D7B" w:rsidRDefault="00CB7100" w:rsidP="00C93F5D">
      <w:pPr>
        <w:tabs>
          <w:tab w:val="left" w:pos="0"/>
        </w:tabs>
        <w:spacing w:line="262" w:lineRule="auto"/>
        <w:ind w:right="4956"/>
        <w:rPr>
          <w:rFonts w:asciiTheme="minorHAnsi" w:hAnsiTheme="minorHAnsi" w:cstheme="minorHAnsi"/>
          <w:color w:val="323E4F" w:themeColor="text2" w:themeShade="BF"/>
          <w:spacing w:val="-5"/>
          <w:sz w:val="36"/>
        </w:rPr>
      </w:pPr>
      <w:r w:rsidRPr="00252D7B">
        <w:rPr>
          <w:rFonts w:asciiTheme="minorHAnsi" w:hAnsiTheme="minorHAnsi" w:cstheme="minorHAnsi"/>
          <w:noProof/>
          <w:color w:val="323E4F" w:themeColor="text2" w:themeShade="BF"/>
          <w:spacing w:val="-5"/>
          <w:sz w:val="36"/>
        </w:rPr>
        <w:drawing>
          <wp:inline distT="0" distB="0" distL="0" distR="0" wp14:anchorId="42A9C050" wp14:editId="61621815">
            <wp:extent cx="6500388" cy="4855416"/>
            <wp:effectExtent l="0" t="0" r="0" b="254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7581" cy="4868258"/>
                    </a:xfrm>
                    <a:prstGeom prst="rect">
                      <a:avLst/>
                    </a:prstGeom>
                    <a:noFill/>
                    <a:ln>
                      <a:noFill/>
                    </a:ln>
                  </pic:spPr>
                </pic:pic>
              </a:graphicData>
            </a:graphic>
          </wp:inline>
        </w:drawing>
      </w:r>
    </w:p>
    <w:p w14:paraId="73228282" w14:textId="2249203A" w:rsidR="00C93F5D" w:rsidRPr="00252D7B" w:rsidRDefault="00C93F5D" w:rsidP="00C93F5D">
      <w:pPr>
        <w:tabs>
          <w:tab w:val="left" w:pos="0"/>
        </w:tabs>
        <w:spacing w:line="262" w:lineRule="auto"/>
        <w:ind w:right="4956"/>
        <w:rPr>
          <w:rFonts w:asciiTheme="minorHAnsi" w:hAnsiTheme="minorHAnsi" w:cstheme="minorHAnsi"/>
          <w:color w:val="323E4F" w:themeColor="text2" w:themeShade="BF"/>
          <w:spacing w:val="-5"/>
          <w:sz w:val="36"/>
        </w:rPr>
      </w:pPr>
    </w:p>
    <w:p w14:paraId="59EAAFB4" w14:textId="5E7BC792" w:rsidR="00C93F5D" w:rsidRPr="00252D7B" w:rsidRDefault="006C4AEC" w:rsidP="00C93F5D">
      <w:pPr>
        <w:pStyle w:val="Corpodetexto"/>
        <w:tabs>
          <w:tab w:val="left" w:pos="0"/>
        </w:tabs>
        <w:ind w:right="-429"/>
        <w:jc w:val="right"/>
        <w:rPr>
          <w:rFonts w:asciiTheme="minorHAnsi" w:hAnsiTheme="minorHAnsi" w:cstheme="minorHAnsi"/>
          <w:color w:val="323E4F" w:themeColor="text2" w:themeShade="BF"/>
          <w:sz w:val="56"/>
          <w:szCs w:val="56"/>
        </w:rPr>
      </w:pPr>
      <w:r w:rsidRPr="00252D7B">
        <w:rPr>
          <w:rFonts w:asciiTheme="minorHAnsi" w:hAnsiTheme="minorHAnsi" w:cstheme="minorHAnsi"/>
          <w:b/>
          <w:color w:val="323E4F" w:themeColor="text2" w:themeShade="BF"/>
          <w:w w:val="110"/>
          <w:sz w:val="56"/>
          <w:szCs w:val="56"/>
        </w:rPr>
        <w:t>RELATÓRIO DE GESTÃO INTEGRADO</w:t>
      </w:r>
      <w:r w:rsidR="00CB7100" w:rsidRPr="00252D7B">
        <w:rPr>
          <w:rFonts w:asciiTheme="minorHAnsi" w:hAnsiTheme="minorHAnsi" w:cstheme="minorHAnsi"/>
          <w:b/>
          <w:color w:val="323E4F" w:themeColor="text2" w:themeShade="BF"/>
          <w:w w:val="110"/>
          <w:sz w:val="56"/>
          <w:szCs w:val="56"/>
        </w:rPr>
        <w:t>,</w:t>
      </w:r>
      <w:r w:rsidRPr="00252D7B">
        <w:rPr>
          <w:rFonts w:asciiTheme="minorHAnsi" w:hAnsiTheme="minorHAnsi" w:cstheme="minorHAnsi"/>
          <w:b/>
          <w:color w:val="323E4F" w:themeColor="text2" w:themeShade="BF"/>
          <w:w w:val="110"/>
          <w:sz w:val="56"/>
          <w:szCs w:val="56"/>
        </w:rPr>
        <w:t xml:space="preserve"> </w:t>
      </w:r>
      <w:r w:rsidR="00CB7100" w:rsidRPr="00252D7B">
        <w:rPr>
          <w:rFonts w:asciiTheme="minorHAnsi" w:hAnsiTheme="minorHAnsi" w:cstheme="minorHAnsi"/>
          <w:b/>
          <w:color w:val="323E4F" w:themeColor="text2" w:themeShade="BF"/>
          <w:w w:val="110"/>
          <w:sz w:val="56"/>
          <w:szCs w:val="56"/>
        </w:rPr>
        <w:t xml:space="preserve">ano base </w:t>
      </w:r>
      <w:r w:rsidRPr="00252D7B">
        <w:rPr>
          <w:rFonts w:asciiTheme="minorHAnsi" w:hAnsiTheme="minorHAnsi" w:cstheme="minorHAnsi"/>
          <w:b/>
          <w:color w:val="323E4F" w:themeColor="text2" w:themeShade="BF"/>
          <w:w w:val="110"/>
          <w:sz w:val="56"/>
          <w:szCs w:val="56"/>
        </w:rPr>
        <w:t>2021</w:t>
      </w:r>
    </w:p>
    <w:p w14:paraId="00B91C82" w14:textId="65691A74" w:rsidR="00C93F5D" w:rsidRPr="00252D7B" w:rsidRDefault="00C93F5D" w:rsidP="00C93F5D">
      <w:pPr>
        <w:tabs>
          <w:tab w:val="left" w:pos="0"/>
        </w:tabs>
        <w:spacing w:line="262" w:lineRule="auto"/>
        <w:ind w:right="4956"/>
        <w:rPr>
          <w:rFonts w:asciiTheme="minorHAnsi" w:hAnsiTheme="minorHAnsi" w:cstheme="minorHAnsi"/>
          <w:color w:val="323E4F" w:themeColor="text2" w:themeShade="BF"/>
          <w:spacing w:val="-5"/>
          <w:sz w:val="36"/>
        </w:rPr>
      </w:pPr>
    </w:p>
    <w:p w14:paraId="0C28B061" w14:textId="100343B8" w:rsidR="00CB7100" w:rsidRPr="00252D7B" w:rsidRDefault="00CB7100" w:rsidP="00C93F5D">
      <w:pPr>
        <w:tabs>
          <w:tab w:val="left" w:pos="0"/>
        </w:tabs>
        <w:spacing w:line="262" w:lineRule="auto"/>
        <w:ind w:right="4956"/>
        <w:rPr>
          <w:rFonts w:asciiTheme="minorHAnsi" w:hAnsiTheme="minorHAnsi" w:cstheme="minorHAnsi"/>
          <w:color w:val="323E4F" w:themeColor="text2" w:themeShade="BF"/>
          <w:spacing w:val="-5"/>
          <w:sz w:val="36"/>
        </w:rPr>
      </w:pPr>
    </w:p>
    <w:p w14:paraId="6849B272" w14:textId="54BD73CC" w:rsidR="00CB7100" w:rsidRPr="00252D7B" w:rsidRDefault="00CB7100" w:rsidP="00C93F5D">
      <w:pPr>
        <w:tabs>
          <w:tab w:val="left" w:pos="0"/>
        </w:tabs>
        <w:spacing w:line="262" w:lineRule="auto"/>
        <w:ind w:right="4956"/>
        <w:rPr>
          <w:rFonts w:asciiTheme="minorHAnsi" w:hAnsiTheme="minorHAnsi" w:cstheme="minorHAnsi"/>
          <w:color w:val="323E4F" w:themeColor="text2" w:themeShade="BF"/>
          <w:spacing w:val="-5"/>
          <w:sz w:val="36"/>
        </w:rPr>
      </w:pPr>
    </w:p>
    <w:p w14:paraId="65C35FBB" w14:textId="133C63AD" w:rsidR="0098292D" w:rsidRPr="00252D7B" w:rsidRDefault="0098292D" w:rsidP="00C93F5D">
      <w:pPr>
        <w:tabs>
          <w:tab w:val="left" w:pos="0"/>
        </w:tabs>
        <w:spacing w:line="262" w:lineRule="auto"/>
        <w:ind w:right="4956"/>
        <w:rPr>
          <w:rFonts w:asciiTheme="minorHAnsi" w:hAnsiTheme="minorHAnsi" w:cstheme="minorHAnsi"/>
          <w:color w:val="323E4F" w:themeColor="text2" w:themeShade="BF"/>
          <w:spacing w:val="-5"/>
          <w:sz w:val="36"/>
        </w:rPr>
      </w:pPr>
    </w:p>
    <w:p w14:paraId="4439DAEE" w14:textId="6C22A54D" w:rsidR="00C93F5D" w:rsidRDefault="006C4AEC" w:rsidP="00C93F5D">
      <w:pPr>
        <w:tabs>
          <w:tab w:val="left" w:pos="0"/>
        </w:tabs>
        <w:jc w:val="center"/>
        <w:rPr>
          <w:rFonts w:asciiTheme="minorHAnsi" w:hAnsiTheme="minorHAnsi" w:cstheme="minorHAnsi"/>
          <w:b/>
          <w:color w:val="323E4F" w:themeColor="text2" w:themeShade="BF"/>
          <w:w w:val="110"/>
          <w:sz w:val="24"/>
          <w:szCs w:val="24"/>
        </w:rPr>
      </w:pPr>
      <w:r w:rsidRPr="00252D7B">
        <w:rPr>
          <w:rFonts w:asciiTheme="minorHAnsi" w:hAnsiTheme="minorHAnsi" w:cstheme="minorHAnsi"/>
          <w:b/>
          <w:color w:val="323E4F" w:themeColor="text2" w:themeShade="BF"/>
          <w:w w:val="110"/>
          <w:sz w:val="24"/>
          <w:szCs w:val="24"/>
        </w:rPr>
        <w:t>Ma</w:t>
      </w:r>
      <w:r w:rsidR="00CB7100" w:rsidRPr="00252D7B">
        <w:rPr>
          <w:rFonts w:asciiTheme="minorHAnsi" w:hAnsiTheme="minorHAnsi" w:cstheme="minorHAnsi"/>
          <w:b/>
          <w:color w:val="323E4F" w:themeColor="text2" w:themeShade="BF"/>
          <w:w w:val="110"/>
          <w:sz w:val="24"/>
          <w:szCs w:val="24"/>
        </w:rPr>
        <w:t>rço</w:t>
      </w:r>
      <w:r w:rsidRPr="00252D7B">
        <w:rPr>
          <w:rFonts w:asciiTheme="minorHAnsi" w:hAnsiTheme="minorHAnsi" w:cstheme="minorHAnsi"/>
          <w:b/>
          <w:color w:val="323E4F" w:themeColor="text2" w:themeShade="BF"/>
          <w:w w:val="110"/>
          <w:sz w:val="24"/>
          <w:szCs w:val="24"/>
        </w:rPr>
        <w:t>, 2022</w:t>
      </w:r>
    </w:p>
    <w:p w14:paraId="082C617A" w14:textId="29A44B61" w:rsidR="00934E67" w:rsidRDefault="00934E67" w:rsidP="00C93F5D">
      <w:pPr>
        <w:tabs>
          <w:tab w:val="left" w:pos="0"/>
        </w:tabs>
        <w:jc w:val="center"/>
        <w:rPr>
          <w:rFonts w:asciiTheme="minorHAnsi" w:hAnsiTheme="minorHAnsi" w:cstheme="minorHAnsi"/>
          <w:b/>
          <w:color w:val="323E4F" w:themeColor="text2" w:themeShade="BF"/>
          <w:w w:val="110"/>
          <w:sz w:val="24"/>
          <w:szCs w:val="24"/>
        </w:rPr>
      </w:pPr>
    </w:p>
    <w:p w14:paraId="1EEC9BB6" w14:textId="6E0782AF" w:rsidR="00934E67" w:rsidRPr="00252D7B" w:rsidRDefault="00D12343" w:rsidP="00C93F5D">
      <w:pPr>
        <w:tabs>
          <w:tab w:val="left" w:pos="0"/>
        </w:tabs>
        <w:jc w:val="center"/>
        <w:rPr>
          <w:rFonts w:asciiTheme="minorHAnsi" w:hAnsiTheme="minorHAnsi" w:cstheme="minorHAnsi"/>
          <w:b/>
          <w:color w:val="323E4F" w:themeColor="text2" w:themeShade="BF"/>
          <w:w w:val="110"/>
          <w:sz w:val="24"/>
          <w:szCs w:val="24"/>
        </w:rPr>
      </w:pPr>
      <w:r>
        <w:rPr>
          <w:rFonts w:asciiTheme="minorHAnsi" w:hAnsiTheme="minorHAnsi" w:cstheme="minorHAnsi"/>
          <w:b/>
          <w:color w:val="323E4F" w:themeColor="text2" w:themeShade="BF"/>
          <w:w w:val="110"/>
          <w:sz w:val="24"/>
          <w:szCs w:val="24"/>
        </w:rPr>
        <w:t>A</w:t>
      </w:r>
      <w:r w:rsidR="00934E67">
        <w:rPr>
          <w:rFonts w:asciiTheme="minorHAnsi" w:hAnsiTheme="minorHAnsi" w:cstheme="minorHAnsi"/>
          <w:b/>
          <w:color w:val="323E4F" w:themeColor="text2" w:themeShade="BF"/>
          <w:w w:val="110"/>
          <w:sz w:val="24"/>
          <w:szCs w:val="24"/>
        </w:rPr>
        <w:t xml:space="preserve">provado </w:t>
      </w:r>
      <w:r>
        <w:rPr>
          <w:rFonts w:asciiTheme="minorHAnsi" w:hAnsiTheme="minorHAnsi" w:cstheme="minorHAnsi"/>
          <w:b/>
          <w:color w:val="323E4F" w:themeColor="text2" w:themeShade="BF"/>
          <w:w w:val="110"/>
          <w:sz w:val="24"/>
          <w:szCs w:val="24"/>
        </w:rPr>
        <w:t>n</w:t>
      </w:r>
      <w:r w:rsidR="00934E67">
        <w:rPr>
          <w:rFonts w:asciiTheme="minorHAnsi" w:hAnsiTheme="minorHAnsi" w:cstheme="minorHAnsi"/>
          <w:b/>
          <w:color w:val="323E4F" w:themeColor="text2" w:themeShade="BF"/>
          <w:w w:val="110"/>
          <w:sz w:val="24"/>
          <w:szCs w:val="24"/>
        </w:rPr>
        <w:t>a 395ª Reunião Ordinária do Consad, realizada em 24 de março de 2022</w:t>
      </w:r>
    </w:p>
    <w:p w14:paraId="173426AE" w14:textId="27B44FE8" w:rsidR="00C93F5D" w:rsidRPr="00252D7B" w:rsidRDefault="00610C91" w:rsidP="00C93F5D">
      <w:pPr>
        <w:tabs>
          <w:tab w:val="left" w:pos="0"/>
        </w:tabs>
        <w:spacing w:before="125"/>
        <w:jc w:val="center"/>
        <w:rPr>
          <w:rFonts w:asciiTheme="minorHAnsi" w:hAnsiTheme="minorHAnsi" w:cstheme="minorHAnsi"/>
          <w:b/>
        </w:rPr>
      </w:pPr>
      <w:r w:rsidRPr="00252D7B">
        <w:rPr>
          <w:rFonts w:asciiTheme="minorHAnsi" w:hAnsiTheme="minorHAnsi" w:cstheme="minorHAnsi"/>
          <w:color w:val="0067B1"/>
        </w:rPr>
        <w:lastRenderedPageBreak/>
        <w:t>Valec</w:t>
      </w:r>
      <w:r w:rsidR="00DA354E" w:rsidRPr="00252D7B">
        <w:rPr>
          <w:rFonts w:asciiTheme="minorHAnsi" w:hAnsiTheme="minorHAnsi" w:cstheme="minorHAnsi"/>
          <w:color w:val="0067B1"/>
        </w:rPr>
        <w:t xml:space="preserve"> </w:t>
      </w:r>
      <w:r w:rsidR="00C86822" w:rsidRPr="00252D7B">
        <w:rPr>
          <w:rFonts w:asciiTheme="minorHAnsi" w:hAnsiTheme="minorHAnsi" w:cstheme="minorHAnsi"/>
          <w:color w:val="0067B1"/>
        </w:rPr>
        <w:t xml:space="preserve">ENGENHARIA, </w:t>
      </w:r>
      <w:r w:rsidR="00DA354E" w:rsidRPr="00252D7B">
        <w:rPr>
          <w:rFonts w:asciiTheme="minorHAnsi" w:hAnsiTheme="minorHAnsi" w:cstheme="minorHAnsi"/>
          <w:color w:val="0067B1"/>
        </w:rPr>
        <w:t xml:space="preserve">CONSTRUÇÕES E </w:t>
      </w:r>
      <w:r w:rsidR="00C86822" w:rsidRPr="00252D7B">
        <w:rPr>
          <w:rFonts w:asciiTheme="minorHAnsi" w:hAnsiTheme="minorHAnsi" w:cstheme="minorHAnsi"/>
          <w:color w:val="0067B1"/>
        </w:rPr>
        <w:t xml:space="preserve">FERROVIAS </w:t>
      </w:r>
      <w:r w:rsidR="00DA354E" w:rsidRPr="00252D7B">
        <w:rPr>
          <w:rFonts w:asciiTheme="minorHAnsi" w:hAnsiTheme="minorHAnsi" w:cstheme="minorHAnsi"/>
          <w:color w:val="0067B1"/>
        </w:rPr>
        <w:t>S.A.</w:t>
      </w:r>
    </w:p>
    <w:p w14:paraId="46BC9DE7" w14:textId="08E7ADBE" w:rsidR="00C93F5D" w:rsidRPr="00252D7B" w:rsidRDefault="00C93F5D" w:rsidP="00C93F5D">
      <w:pPr>
        <w:pStyle w:val="Corpodetexto"/>
        <w:tabs>
          <w:tab w:val="left" w:pos="0"/>
        </w:tabs>
        <w:spacing w:before="10"/>
        <w:jc w:val="center"/>
        <w:rPr>
          <w:rFonts w:asciiTheme="minorHAnsi" w:hAnsiTheme="minorHAnsi" w:cstheme="minorHAnsi"/>
          <w:b/>
          <w:sz w:val="28"/>
        </w:rPr>
      </w:pPr>
    </w:p>
    <w:p w14:paraId="4D0285B4" w14:textId="77777777" w:rsidR="00C93F5D" w:rsidRPr="00252D7B" w:rsidRDefault="00C93F5D" w:rsidP="00C93F5D">
      <w:pPr>
        <w:tabs>
          <w:tab w:val="left" w:pos="0"/>
        </w:tabs>
        <w:jc w:val="center"/>
        <w:rPr>
          <w:rFonts w:asciiTheme="minorHAnsi" w:hAnsiTheme="minorHAnsi" w:cstheme="minorHAnsi"/>
          <w:b/>
        </w:rPr>
      </w:pPr>
      <w:r w:rsidRPr="00252D7B">
        <w:rPr>
          <w:rFonts w:asciiTheme="minorHAnsi" w:hAnsiTheme="minorHAnsi" w:cstheme="minorHAnsi"/>
          <w:b/>
          <w:color w:val="0067B1"/>
          <w:w w:val="105"/>
        </w:rPr>
        <w:t>Edifício Sede</w:t>
      </w:r>
    </w:p>
    <w:p w14:paraId="74D01B9C" w14:textId="769BA605" w:rsidR="00C93F5D" w:rsidRPr="00252D7B" w:rsidRDefault="00C93F5D" w:rsidP="00C93F5D">
      <w:pPr>
        <w:tabs>
          <w:tab w:val="left" w:pos="0"/>
        </w:tabs>
        <w:spacing w:before="12" w:line="249" w:lineRule="auto"/>
        <w:jc w:val="center"/>
        <w:rPr>
          <w:rFonts w:asciiTheme="minorHAnsi" w:hAnsiTheme="minorHAnsi" w:cstheme="minorHAnsi"/>
          <w:color w:val="0067B1"/>
        </w:rPr>
      </w:pPr>
      <w:r w:rsidRPr="00252D7B">
        <w:rPr>
          <w:rFonts w:asciiTheme="minorHAnsi" w:hAnsiTheme="minorHAnsi" w:cstheme="minorHAnsi"/>
          <w:b/>
          <w:bCs/>
          <w:color w:val="0067B1"/>
        </w:rPr>
        <w:t>Endereço:</w:t>
      </w:r>
      <w:r w:rsidRPr="00252D7B">
        <w:rPr>
          <w:rFonts w:asciiTheme="minorHAnsi" w:hAnsiTheme="minorHAnsi" w:cstheme="minorHAnsi"/>
          <w:color w:val="0067B1"/>
        </w:rPr>
        <w:t> SAUS, Quadra 01, Bloco 'G', Lotes 3 e 5.</w:t>
      </w:r>
    </w:p>
    <w:p w14:paraId="6EC02BFA" w14:textId="4BCFCD17" w:rsidR="00C93F5D" w:rsidRPr="00252D7B" w:rsidRDefault="00C93F5D" w:rsidP="00C93F5D">
      <w:pPr>
        <w:tabs>
          <w:tab w:val="left" w:pos="0"/>
        </w:tabs>
        <w:spacing w:before="12" w:line="249" w:lineRule="auto"/>
        <w:jc w:val="center"/>
        <w:rPr>
          <w:rFonts w:asciiTheme="minorHAnsi" w:hAnsiTheme="minorHAnsi" w:cstheme="minorHAnsi"/>
          <w:color w:val="0067B1"/>
        </w:rPr>
      </w:pPr>
      <w:r w:rsidRPr="00252D7B">
        <w:rPr>
          <w:rFonts w:asciiTheme="minorHAnsi" w:hAnsiTheme="minorHAnsi" w:cstheme="minorHAnsi"/>
          <w:color w:val="0067B1"/>
        </w:rPr>
        <w:t>Asa Sul Brasília - DF</w:t>
      </w:r>
    </w:p>
    <w:p w14:paraId="5D63FCD8" w14:textId="69EE997C" w:rsidR="00C93F5D" w:rsidRPr="00252D7B" w:rsidRDefault="00C93F5D" w:rsidP="00C93F5D">
      <w:pPr>
        <w:tabs>
          <w:tab w:val="left" w:pos="0"/>
        </w:tabs>
        <w:spacing w:before="12" w:line="249" w:lineRule="auto"/>
        <w:jc w:val="center"/>
        <w:rPr>
          <w:rFonts w:asciiTheme="minorHAnsi" w:hAnsiTheme="minorHAnsi" w:cstheme="minorHAnsi"/>
          <w:color w:val="0067B1"/>
        </w:rPr>
      </w:pPr>
      <w:r w:rsidRPr="00252D7B">
        <w:rPr>
          <w:rFonts w:asciiTheme="minorHAnsi" w:hAnsiTheme="minorHAnsi" w:cstheme="minorHAnsi"/>
          <w:color w:val="0067B1"/>
        </w:rPr>
        <w:t>CEP: 70.070-010</w:t>
      </w:r>
    </w:p>
    <w:p w14:paraId="5FE7E161" w14:textId="77777777" w:rsidR="00C93F5D" w:rsidRPr="00252D7B" w:rsidRDefault="00C93F5D" w:rsidP="00C93F5D">
      <w:pPr>
        <w:tabs>
          <w:tab w:val="left" w:pos="0"/>
        </w:tabs>
        <w:spacing w:before="125"/>
        <w:jc w:val="center"/>
        <w:rPr>
          <w:rFonts w:asciiTheme="minorHAnsi" w:hAnsiTheme="minorHAnsi" w:cstheme="minorHAnsi"/>
          <w:color w:val="0067B1"/>
          <w:w w:val="105"/>
          <w:lang w:val="en-US"/>
        </w:rPr>
      </w:pPr>
      <w:r w:rsidRPr="00252D7B">
        <w:rPr>
          <w:rFonts w:asciiTheme="minorHAnsi" w:hAnsiTheme="minorHAnsi" w:cstheme="minorHAnsi"/>
          <w:b/>
          <w:color w:val="0067B1"/>
          <w:w w:val="105"/>
          <w:lang w:val="en-US"/>
        </w:rPr>
        <w:t xml:space="preserve">T   </w:t>
      </w:r>
      <w:r w:rsidRPr="00252D7B">
        <w:rPr>
          <w:rFonts w:asciiTheme="minorHAnsi" w:hAnsiTheme="minorHAnsi" w:cstheme="minorHAnsi"/>
          <w:color w:val="0067B1"/>
          <w:w w:val="105"/>
          <w:lang w:val="en-US"/>
        </w:rPr>
        <w:t>+61 2029 6100</w:t>
      </w:r>
    </w:p>
    <w:p w14:paraId="5DBE2A31" w14:textId="4663FFE2" w:rsidR="00C93F5D" w:rsidRPr="00252D7B" w:rsidRDefault="00C93F5D" w:rsidP="00C93F5D">
      <w:pPr>
        <w:tabs>
          <w:tab w:val="left" w:pos="0"/>
        </w:tabs>
        <w:spacing w:before="12"/>
        <w:jc w:val="center"/>
        <w:rPr>
          <w:rFonts w:asciiTheme="minorHAnsi" w:hAnsiTheme="minorHAnsi" w:cstheme="minorHAnsi"/>
          <w:lang w:val="en-US"/>
        </w:rPr>
      </w:pPr>
      <w:r w:rsidRPr="00252D7B">
        <w:rPr>
          <w:rFonts w:asciiTheme="minorHAnsi" w:hAnsiTheme="minorHAnsi" w:cstheme="minorHAnsi"/>
          <w:b/>
          <w:color w:val="0067B1"/>
          <w:w w:val="105"/>
          <w:lang w:val="en-US"/>
        </w:rPr>
        <w:t>www.valec.gov.br</w:t>
      </w:r>
    </w:p>
    <w:p w14:paraId="69125477" w14:textId="77777777" w:rsidR="0098292D" w:rsidRPr="00252D7B" w:rsidRDefault="0098292D" w:rsidP="005D209E">
      <w:pPr>
        <w:jc w:val="center"/>
        <w:rPr>
          <w:rFonts w:asciiTheme="minorHAnsi" w:hAnsiTheme="minorHAnsi" w:cstheme="minorHAnsi"/>
          <w:lang w:val="en-US"/>
        </w:rPr>
        <w:sectPr w:rsidR="0098292D" w:rsidRPr="00252D7B" w:rsidSect="0098292D">
          <w:footerReference w:type="default" r:id="rId13"/>
          <w:type w:val="continuous"/>
          <w:pgSz w:w="11906" w:h="16838"/>
          <w:pgMar w:top="1417" w:right="1701" w:bottom="1417" w:left="1701" w:header="708" w:footer="708" w:gutter="0"/>
          <w:cols w:space="708"/>
          <w:docGrid w:linePitch="360"/>
        </w:sectPr>
      </w:pPr>
    </w:p>
    <w:p w14:paraId="07099F62" w14:textId="3E73B076" w:rsidR="00C93F5D" w:rsidRPr="00252D7B" w:rsidRDefault="00265244" w:rsidP="005D209E">
      <w:pPr>
        <w:jc w:val="center"/>
        <w:rPr>
          <w:rFonts w:asciiTheme="minorHAnsi" w:hAnsiTheme="minorHAnsi" w:cstheme="minorHAnsi"/>
          <w:lang w:val="en-US"/>
        </w:rPr>
      </w:pPr>
      <w:r w:rsidRPr="00252D7B">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77456D17" wp14:editId="0ED9BE03">
                <wp:simplePos x="0" y="0"/>
                <wp:positionH relativeFrom="column">
                  <wp:posOffset>2606040</wp:posOffset>
                </wp:positionH>
                <wp:positionV relativeFrom="paragraph">
                  <wp:posOffset>173355</wp:posOffset>
                </wp:positionV>
                <wp:extent cx="0" cy="3905250"/>
                <wp:effectExtent l="0" t="0" r="38100" b="19050"/>
                <wp:wrapNone/>
                <wp:docPr id="5" name="Conector reto 5"/>
                <wp:cNvGraphicFramePr/>
                <a:graphic xmlns:a="http://schemas.openxmlformats.org/drawingml/2006/main">
                  <a:graphicData uri="http://schemas.microsoft.com/office/word/2010/wordprocessingShape">
                    <wps:wsp>
                      <wps:cNvCnPr/>
                      <wps:spPr>
                        <a:xfrm flipH="1">
                          <a:off x="0" y="0"/>
                          <a:ext cx="0" cy="390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DD05DD" id="Conector reto 5"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2pt,13.65pt" to="205.2pt,3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" strokecolor="#4472c4 [3204]" strokeweight=".5pt">
                <v:stroke joinstyle="miter"/>
              </v:line>
            </w:pict>
          </mc:Fallback>
        </mc:AlternateContent>
      </w:r>
    </w:p>
    <w:p w14:paraId="11BE40AB" w14:textId="77777777" w:rsidR="005D209E" w:rsidRPr="00252D7B" w:rsidRDefault="005D209E" w:rsidP="005D209E">
      <w:pPr>
        <w:tabs>
          <w:tab w:val="left" w:pos="0"/>
        </w:tabs>
        <w:spacing w:before="12" w:line="249" w:lineRule="auto"/>
        <w:jc w:val="center"/>
        <w:rPr>
          <w:rFonts w:asciiTheme="minorHAnsi" w:hAnsiTheme="minorHAnsi" w:cstheme="minorHAnsi"/>
          <w:b/>
          <w:bCs/>
          <w:color w:val="0067B1"/>
          <w:sz w:val="24"/>
          <w:szCs w:val="24"/>
          <w:lang w:val="en-US"/>
        </w:rPr>
      </w:pPr>
    </w:p>
    <w:p w14:paraId="446A4A80" w14:textId="1A2F54C6" w:rsidR="00265244" w:rsidRPr="00252D7B" w:rsidRDefault="00265244" w:rsidP="005D209E">
      <w:pPr>
        <w:tabs>
          <w:tab w:val="left" w:pos="0"/>
        </w:tabs>
        <w:spacing w:before="12" w:line="249" w:lineRule="auto"/>
        <w:jc w:val="center"/>
        <w:rPr>
          <w:rFonts w:asciiTheme="minorHAnsi" w:hAnsiTheme="minorHAnsi" w:cstheme="minorHAnsi"/>
          <w:b/>
          <w:bCs/>
          <w:color w:val="0067B1"/>
          <w:sz w:val="24"/>
          <w:szCs w:val="24"/>
          <w:lang w:val="en-US"/>
        </w:rPr>
      </w:pPr>
    </w:p>
    <w:p w14:paraId="31FE00C8" w14:textId="3CB8F6A1" w:rsidR="005D209E" w:rsidRPr="00953011" w:rsidRDefault="00265244" w:rsidP="005D209E">
      <w:pPr>
        <w:tabs>
          <w:tab w:val="left" w:pos="0"/>
        </w:tabs>
        <w:spacing w:before="12" w:line="249" w:lineRule="auto"/>
        <w:jc w:val="center"/>
        <w:rPr>
          <w:rFonts w:asciiTheme="minorHAnsi" w:hAnsiTheme="minorHAnsi" w:cstheme="minorHAnsi"/>
          <w:color w:val="0067B1"/>
          <w:sz w:val="20"/>
          <w:szCs w:val="20"/>
          <w:lang w:val="en-US"/>
        </w:rPr>
      </w:pPr>
      <w:r w:rsidRPr="00953011">
        <w:rPr>
          <w:rFonts w:asciiTheme="minorHAnsi" w:hAnsiTheme="minorHAnsi" w:cstheme="minorHAnsi"/>
          <w:b/>
          <w:bCs/>
          <w:color w:val="0067B1"/>
          <w:sz w:val="20"/>
          <w:szCs w:val="20"/>
          <w:lang w:val="en-US"/>
        </w:rPr>
        <w:t>DIRETOR-PRESIDENTE</w:t>
      </w:r>
    </w:p>
    <w:p w14:paraId="7870C7B4" w14:textId="3BCB68D4" w:rsidR="005D209E" w:rsidRPr="00953011" w:rsidRDefault="00265244" w:rsidP="005D209E">
      <w:pPr>
        <w:tabs>
          <w:tab w:val="left" w:pos="0"/>
        </w:tabs>
        <w:spacing w:before="12" w:line="249" w:lineRule="auto"/>
        <w:jc w:val="center"/>
        <w:rPr>
          <w:rFonts w:asciiTheme="minorHAnsi" w:hAnsiTheme="minorHAnsi" w:cstheme="minorHAnsi"/>
          <w:color w:val="0067B1"/>
          <w:sz w:val="20"/>
          <w:szCs w:val="20"/>
        </w:rPr>
      </w:pPr>
      <w:r w:rsidRPr="00953011">
        <w:rPr>
          <w:rFonts w:asciiTheme="minorHAnsi" w:hAnsiTheme="minorHAnsi" w:cstheme="minorHAnsi"/>
          <w:color w:val="0067B1"/>
          <w:sz w:val="20"/>
          <w:szCs w:val="20"/>
        </w:rPr>
        <w:t>ANDRÉ KUHN</w:t>
      </w:r>
    </w:p>
    <w:p w14:paraId="19AA366F" w14:textId="77777777" w:rsidR="005D209E" w:rsidRPr="00953011" w:rsidRDefault="005D209E" w:rsidP="005D209E">
      <w:pPr>
        <w:tabs>
          <w:tab w:val="left" w:pos="0"/>
        </w:tabs>
        <w:spacing w:before="12" w:line="249" w:lineRule="auto"/>
        <w:jc w:val="center"/>
        <w:rPr>
          <w:rFonts w:asciiTheme="minorHAnsi" w:hAnsiTheme="minorHAnsi" w:cstheme="minorHAnsi"/>
          <w:color w:val="0067B1"/>
          <w:sz w:val="20"/>
          <w:szCs w:val="20"/>
        </w:rPr>
      </w:pPr>
    </w:p>
    <w:p w14:paraId="31F7057C" w14:textId="347640C1" w:rsidR="005D209E" w:rsidRPr="00953011" w:rsidRDefault="00265244" w:rsidP="005D209E">
      <w:pPr>
        <w:tabs>
          <w:tab w:val="left" w:pos="0"/>
        </w:tabs>
        <w:spacing w:before="12" w:line="249" w:lineRule="auto"/>
        <w:jc w:val="center"/>
        <w:rPr>
          <w:rFonts w:asciiTheme="minorHAnsi" w:hAnsiTheme="minorHAnsi" w:cstheme="minorHAnsi"/>
          <w:b/>
          <w:bCs/>
          <w:color w:val="0067B1"/>
          <w:sz w:val="20"/>
          <w:szCs w:val="20"/>
        </w:rPr>
      </w:pPr>
      <w:r w:rsidRPr="00953011">
        <w:rPr>
          <w:rFonts w:asciiTheme="minorHAnsi" w:hAnsiTheme="minorHAnsi" w:cstheme="minorHAnsi"/>
          <w:b/>
          <w:bCs/>
          <w:color w:val="0067B1"/>
          <w:sz w:val="20"/>
          <w:szCs w:val="20"/>
        </w:rPr>
        <w:t>DIRETOR DE EMPREENDIMENTOS</w:t>
      </w:r>
    </w:p>
    <w:p w14:paraId="6C9A329F" w14:textId="5315510D" w:rsidR="005D209E" w:rsidRPr="00953011" w:rsidRDefault="00265244" w:rsidP="005D209E">
      <w:pPr>
        <w:tabs>
          <w:tab w:val="left" w:pos="0"/>
        </w:tabs>
        <w:spacing w:before="12" w:line="249" w:lineRule="auto"/>
        <w:jc w:val="center"/>
        <w:rPr>
          <w:rFonts w:asciiTheme="minorHAnsi" w:hAnsiTheme="minorHAnsi" w:cstheme="minorHAnsi"/>
          <w:color w:val="0067B1"/>
          <w:sz w:val="20"/>
          <w:szCs w:val="20"/>
        </w:rPr>
      </w:pPr>
      <w:r w:rsidRPr="00953011">
        <w:rPr>
          <w:rFonts w:asciiTheme="minorHAnsi" w:hAnsiTheme="minorHAnsi" w:cstheme="minorHAnsi"/>
          <w:color w:val="0067B1"/>
          <w:sz w:val="20"/>
          <w:szCs w:val="20"/>
        </w:rPr>
        <w:t>WASHINGTON LUKE</w:t>
      </w:r>
    </w:p>
    <w:p w14:paraId="7294F006" w14:textId="77777777" w:rsidR="005D209E" w:rsidRPr="00953011" w:rsidRDefault="005D209E" w:rsidP="005D209E">
      <w:pPr>
        <w:tabs>
          <w:tab w:val="left" w:pos="0"/>
        </w:tabs>
        <w:spacing w:before="12" w:line="249" w:lineRule="auto"/>
        <w:jc w:val="center"/>
        <w:rPr>
          <w:rFonts w:asciiTheme="minorHAnsi" w:hAnsiTheme="minorHAnsi" w:cstheme="minorHAnsi"/>
          <w:color w:val="0067B1"/>
          <w:sz w:val="20"/>
          <w:szCs w:val="20"/>
        </w:rPr>
      </w:pPr>
    </w:p>
    <w:p w14:paraId="56C91688" w14:textId="1DB7778B" w:rsidR="005D209E" w:rsidRPr="00953011" w:rsidRDefault="00265244" w:rsidP="005D209E">
      <w:pPr>
        <w:tabs>
          <w:tab w:val="left" w:pos="0"/>
        </w:tabs>
        <w:spacing w:before="12" w:line="249" w:lineRule="auto"/>
        <w:jc w:val="center"/>
        <w:rPr>
          <w:rFonts w:asciiTheme="minorHAnsi" w:hAnsiTheme="minorHAnsi" w:cstheme="minorHAnsi"/>
          <w:b/>
          <w:bCs/>
          <w:color w:val="0067B1"/>
          <w:sz w:val="20"/>
          <w:szCs w:val="20"/>
        </w:rPr>
      </w:pPr>
      <w:r w:rsidRPr="00953011">
        <w:rPr>
          <w:rFonts w:asciiTheme="minorHAnsi" w:hAnsiTheme="minorHAnsi" w:cstheme="minorHAnsi"/>
          <w:b/>
          <w:bCs/>
          <w:color w:val="0067B1"/>
          <w:sz w:val="20"/>
          <w:szCs w:val="20"/>
        </w:rPr>
        <w:t>DIRETOR DE ADMINISTRAÇÃO E FINANÇAS</w:t>
      </w:r>
    </w:p>
    <w:p w14:paraId="7B723F16" w14:textId="049336A1" w:rsidR="005D209E" w:rsidRPr="00953011" w:rsidRDefault="00265244" w:rsidP="005D209E">
      <w:pPr>
        <w:tabs>
          <w:tab w:val="left" w:pos="0"/>
        </w:tabs>
        <w:spacing w:before="12" w:line="249" w:lineRule="auto"/>
        <w:jc w:val="center"/>
        <w:rPr>
          <w:rFonts w:asciiTheme="minorHAnsi" w:hAnsiTheme="minorHAnsi" w:cstheme="minorHAnsi"/>
          <w:color w:val="0067B1"/>
          <w:sz w:val="20"/>
          <w:szCs w:val="20"/>
        </w:rPr>
      </w:pPr>
      <w:r w:rsidRPr="00953011">
        <w:rPr>
          <w:rFonts w:asciiTheme="minorHAnsi" w:hAnsiTheme="minorHAnsi" w:cstheme="minorHAnsi"/>
          <w:color w:val="0067B1"/>
          <w:sz w:val="20"/>
          <w:szCs w:val="20"/>
        </w:rPr>
        <w:t>MÁRCIO LIMA MEDEIROS</w:t>
      </w:r>
    </w:p>
    <w:p w14:paraId="68EB2D78" w14:textId="77777777" w:rsidR="005D209E" w:rsidRPr="00953011" w:rsidRDefault="005D209E" w:rsidP="005D209E">
      <w:pPr>
        <w:tabs>
          <w:tab w:val="left" w:pos="0"/>
        </w:tabs>
        <w:spacing w:before="12" w:line="249" w:lineRule="auto"/>
        <w:jc w:val="center"/>
        <w:rPr>
          <w:rFonts w:asciiTheme="minorHAnsi" w:hAnsiTheme="minorHAnsi" w:cstheme="minorHAnsi"/>
          <w:color w:val="0067B1"/>
          <w:sz w:val="20"/>
          <w:szCs w:val="20"/>
        </w:rPr>
      </w:pPr>
    </w:p>
    <w:p w14:paraId="213C45D0" w14:textId="7E666D43" w:rsidR="005D209E" w:rsidRPr="00953011" w:rsidRDefault="00265244" w:rsidP="0098292D">
      <w:pPr>
        <w:tabs>
          <w:tab w:val="left" w:pos="0"/>
          <w:tab w:val="left" w:pos="2749"/>
          <w:tab w:val="center" w:pos="4252"/>
        </w:tabs>
        <w:spacing w:before="12" w:line="249" w:lineRule="auto"/>
        <w:jc w:val="center"/>
        <w:rPr>
          <w:rFonts w:asciiTheme="minorHAnsi" w:hAnsiTheme="minorHAnsi" w:cstheme="minorHAnsi"/>
          <w:b/>
          <w:bCs/>
          <w:color w:val="0067B1"/>
          <w:sz w:val="20"/>
          <w:szCs w:val="20"/>
        </w:rPr>
      </w:pPr>
      <w:r w:rsidRPr="00953011">
        <w:rPr>
          <w:rFonts w:asciiTheme="minorHAnsi" w:hAnsiTheme="minorHAnsi" w:cstheme="minorHAnsi"/>
          <w:b/>
          <w:bCs/>
          <w:color w:val="0067B1"/>
          <w:sz w:val="20"/>
          <w:szCs w:val="20"/>
        </w:rPr>
        <w:t>DIRETOR DE NEGÓCIOS</w:t>
      </w:r>
    </w:p>
    <w:p w14:paraId="204F01A6" w14:textId="3D7FD97F" w:rsidR="005D209E" w:rsidRPr="00953011" w:rsidRDefault="00265244" w:rsidP="0098292D">
      <w:pPr>
        <w:tabs>
          <w:tab w:val="left" w:pos="0"/>
        </w:tabs>
        <w:spacing w:before="12" w:line="249" w:lineRule="auto"/>
        <w:jc w:val="center"/>
        <w:rPr>
          <w:rFonts w:asciiTheme="minorHAnsi" w:hAnsiTheme="minorHAnsi" w:cstheme="minorHAnsi"/>
          <w:color w:val="0067B1"/>
          <w:sz w:val="20"/>
          <w:szCs w:val="20"/>
        </w:rPr>
      </w:pPr>
      <w:r w:rsidRPr="00953011">
        <w:rPr>
          <w:rFonts w:asciiTheme="minorHAnsi" w:hAnsiTheme="minorHAnsi" w:cstheme="minorHAnsi"/>
          <w:color w:val="0067B1"/>
          <w:sz w:val="20"/>
          <w:szCs w:val="20"/>
        </w:rPr>
        <w:t>ALEX AUGUSTO SANCHES TREVISAN</w:t>
      </w:r>
    </w:p>
    <w:p w14:paraId="43E6C3EB" w14:textId="06F6F194" w:rsidR="00265244" w:rsidRPr="00953011" w:rsidRDefault="00265244" w:rsidP="0098292D">
      <w:pPr>
        <w:tabs>
          <w:tab w:val="left" w:pos="0"/>
        </w:tabs>
        <w:spacing w:before="12" w:line="249" w:lineRule="auto"/>
        <w:jc w:val="center"/>
        <w:rPr>
          <w:rFonts w:asciiTheme="minorHAnsi" w:hAnsiTheme="minorHAnsi" w:cstheme="minorHAnsi"/>
          <w:b/>
          <w:bCs/>
          <w:color w:val="0067B1"/>
          <w:sz w:val="20"/>
          <w:szCs w:val="20"/>
        </w:rPr>
      </w:pPr>
    </w:p>
    <w:p w14:paraId="7F1F9B07" w14:textId="138A8396" w:rsidR="005D209E" w:rsidRPr="00953011" w:rsidRDefault="006C4AEC" w:rsidP="0098292D">
      <w:pPr>
        <w:tabs>
          <w:tab w:val="left" w:pos="0"/>
        </w:tabs>
        <w:spacing w:before="12" w:line="249" w:lineRule="auto"/>
        <w:jc w:val="center"/>
        <w:rPr>
          <w:rFonts w:asciiTheme="minorHAnsi" w:hAnsiTheme="minorHAnsi" w:cstheme="minorHAnsi"/>
          <w:b/>
          <w:bCs/>
          <w:color w:val="0067B1"/>
          <w:sz w:val="20"/>
          <w:szCs w:val="20"/>
        </w:rPr>
      </w:pPr>
      <w:r w:rsidRPr="00953011">
        <w:rPr>
          <w:rFonts w:asciiTheme="minorHAnsi" w:hAnsiTheme="minorHAnsi" w:cstheme="minorHAnsi"/>
          <w:b/>
          <w:bCs/>
          <w:color w:val="0067B1"/>
          <w:sz w:val="20"/>
          <w:szCs w:val="20"/>
        </w:rPr>
        <w:t>Superintendente de Integridade</w:t>
      </w:r>
    </w:p>
    <w:p w14:paraId="7A8B5B71" w14:textId="77777777" w:rsidR="005D209E" w:rsidRPr="00953011" w:rsidRDefault="005D209E" w:rsidP="0098292D">
      <w:pPr>
        <w:tabs>
          <w:tab w:val="left" w:pos="0"/>
        </w:tabs>
        <w:spacing w:before="12" w:line="249" w:lineRule="auto"/>
        <w:jc w:val="center"/>
        <w:rPr>
          <w:rFonts w:asciiTheme="minorHAnsi" w:hAnsiTheme="minorHAnsi" w:cstheme="minorHAnsi"/>
          <w:color w:val="0067B1"/>
          <w:sz w:val="20"/>
          <w:szCs w:val="20"/>
        </w:rPr>
      </w:pPr>
      <w:r w:rsidRPr="00953011">
        <w:rPr>
          <w:rFonts w:asciiTheme="minorHAnsi" w:hAnsiTheme="minorHAnsi" w:cstheme="minorHAnsi"/>
          <w:color w:val="0067B1"/>
          <w:sz w:val="20"/>
          <w:szCs w:val="20"/>
        </w:rPr>
        <w:t>Nelbe Ferraz de Freitas</w:t>
      </w:r>
    </w:p>
    <w:p w14:paraId="4F4000A6" w14:textId="77777777" w:rsidR="005D209E" w:rsidRPr="00953011" w:rsidRDefault="005D209E" w:rsidP="0098292D">
      <w:pPr>
        <w:tabs>
          <w:tab w:val="left" w:pos="0"/>
        </w:tabs>
        <w:spacing w:before="12" w:line="249" w:lineRule="auto"/>
        <w:jc w:val="center"/>
        <w:rPr>
          <w:rFonts w:asciiTheme="minorHAnsi" w:hAnsiTheme="minorHAnsi" w:cstheme="minorHAnsi"/>
          <w:color w:val="0067B1"/>
          <w:sz w:val="20"/>
          <w:szCs w:val="20"/>
        </w:rPr>
      </w:pPr>
    </w:p>
    <w:p w14:paraId="6565D138" w14:textId="000BD89E" w:rsidR="005D209E" w:rsidRPr="00953011" w:rsidRDefault="005E50F0" w:rsidP="0098292D">
      <w:pPr>
        <w:tabs>
          <w:tab w:val="left" w:pos="0"/>
        </w:tabs>
        <w:spacing w:before="12" w:line="249" w:lineRule="auto"/>
        <w:jc w:val="center"/>
        <w:rPr>
          <w:rFonts w:asciiTheme="minorHAnsi" w:hAnsiTheme="minorHAnsi" w:cstheme="minorHAnsi"/>
          <w:b/>
          <w:bCs/>
          <w:color w:val="0067B1"/>
          <w:sz w:val="20"/>
          <w:szCs w:val="20"/>
        </w:rPr>
      </w:pPr>
      <w:r w:rsidRPr="00953011">
        <w:rPr>
          <w:rFonts w:asciiTheme="minorHAnsi" w:hAnsiTheme="minorHAnsi" w:cstheme="minorHAnsi"/>
          <w:b/>
          <w:bCs/>
          <w:color w:val="0067B1"/>
          <w:sz w:val="20"/>
          <w:szCs w:val="20"/>
        </w:rPr>
        <w:t xml:space="preserve">Gerente de </w:t>
      </w:r>
      <w:r w:rsidR="006C4AEC" w:rsidRPr="00953011">
        <w:rPr>
          <w:rFonts w:asciiTheme="minorHAnsi" w:hAnsiTheme="minorHAnsi" w:cstheme="minorHAnsi"/>
          <w:b/>
          <w:bCs/>
          <w:color w:val="0067B1"/>
          <w:sz w:val="20"/>
          <w:szCs w:val="20"/>
        </w:rPr>
        <w:t>Desenvolvimento Institucional</w:t>
      </w:r>
    </w:p>
    <w:p w14:paraId="0E184749" w14:textId="77777777" w:rsidR="005D209E" w:rsidRPr="00953011" w:rsidRDefault="005D209E" w:rsidP="0098292D">
      <w:pPr>
        <w:tabs>
          <w:tab w:val="left" w:pos="0"/>
        </w:tabs>
        <w:spacing w:before="12" w:line="249" w:lineRule="auto"/>
        <w:jc w:val="center"/>
        <w:rPr>
          <w:rFonts w:asciiTheme="minorHAnsi" w:hAnsiTheme="minorHAnsi" w:cstheme="minorHAnsi"/>
          <w:color w:val="0067B1"/>
          <w:sz w:val="20"/>
          <w:szCs w:val="20"/>
        </w:rPr>
      </w:pPr>
      <w:r w:rsidRPr="00953011">
        <w:rPr>
          <w:rFonts w:asciiTheme="minorHAnsi" w:hAnsiTheme="minorHAnsi" w:cstheme="minorHAnsi"/>
          <w:color w:val="0067B1"/>
          <w:sz w:val="20"/>
          <w:szCs w:val="20"/>
        </w:rPr>
        <w:t>Karoll Haüssler Carneiro Ramos</w:t>
      </w:r>
    </w:p>
    <w:p w14:paraId="0C9B7280" w14:textId="77777777" w:rsidR="00943F00" w:rsidRPr="00953011" w:rsidRDefault="00943F00" w:rsidP="0098292D">
      <w:pPr>
        <w:tabs>
          <w:tab w:val="left" w:pos="0"/>
        </w:tabs>
        <w:spacing w:before="12" w:line="249" w:lineRule="auto"/>
        <w:jc w:val="center"/>
        <w:rPr>
          <w:rFonts w:asciiTheme="minorHAnsi" w:hAnsiTheme="minorHAnsi" w:cstheme="minorHAnsi"/>
          <w:color w:val="0067B1"/>
          <w:sz w:val="20"/>
          <w:szCs w:val="20"/>
        </w:rPr>
      </w:pPr>
    </w:p>
    <w:p w14:paraId="75E6CE19" w14:textId="77777777" w:rsidR="0098292D" w:rsidRPr="00953011" w:rsidRDefault="0098292D" w:rsidP="0098292D">
      <w:pPr>
        <w:tabs>
          <w:tab w:val="left" w:pos="0"/>
        </w:tabs>
        <w:spacing w:before="12" w:line="249" w:lineRule="auto"/>
        <w:jc w:val="center"/>
        <w:rPr>
          <w:rFonts w:asciiTheme="minorHAnsi" w:hAnsiTheme="minorHAnsi" w:cstheme="minorHAnsi"/>
          <w:b/>
          <w:bCs/>
          <w:color w:val="0067B1"/>
          <w:sz w:val="20"/>
          <w:szCs w:val="20"/>
        </w:rPr>
      </w:pPr>
    </w:p>
    <w:p w14:paraId="15341619" w14:textId="77777777" w:rsidR="0098292D" w:rsidRPr="00953011" w:rsidRDefault="0098292D" w:rsidP="0098292D">
      <w:pPr>
        <w:tabs>
          <w:tab w:val="left" w:pos="0"/>
        </w:tabs>
        <w:spacing w:before="12" w:line="249" w:lineRule="auto"/>
        <w:jc w:val="center"/>
        <w:rPr>
          <w:rFonts w:asciiTheme="minorHAnsi" w:hAnsiTheme="minorHAnsi" w:cstheme="minorHAnsi"/>
          <w:b/>
          <w:bCs/>
          <w:color w:val="0067B1"/>
          <w:sz w:val="20"/>
          <w:szCs w:val="20"/>
        </w:rPr>
      </w:pPr>
    </w:p>
    <w:p w14:paraId="64C09467" w14:textId="6CD11541" w:rsidR="0098292D" w:rsidRPr="00953011" w:rsidRDefault="0098292D" w:rsidP="0098292D">
      <w:pPr>
        <w:tabs>
          <w:tab w:val="left" w:pos="0"/>
        </w:tabs>
        <w:spacing w:before="12" w:line="249" w:lineRule="auto"/>
        <w:jc w:val="center"/>
        <w:rPr>
          <w:rFonts w:asciiTheme="minorHAnsi" w:hAnsiTheme="minorHAnsi" w:cstheme="minorHAnsi"/>
          <w:b/>
          <w:bCs/>
          <w:color w:val="0067B1"/>
          <w:sz w:val="20"/>
          <w:szCs w:val="20"/>
        </w:rPr>
      </w:pPr>
    </w:p>
    <w:p w14:paraId="2C295B25" w14:textId="499A7016" w:rsidR="00265244" w:rsidRPr="00953011" w:rsidRDefault="00265244" w:rsidP="0098292D">
      <w:pPr>
        <w:tabs>
          <w:tab w:val="left" w:pos="0"/>
        </w:tabs>
        <w:spacing w:before="12" w:line="249" w:lineRule="auto"/>
        <w:jc w:val="center"/>
        <w:rPr>
          <w:rFonts w:asciiTheme="minorHAnsi" w:hAnsiTheme="minorHAnsi" w:cstheme="minorHAnsi"/>
          <w:b/>
          <w:bCs/>
          <w:color w:val="0067B1"/>
          <w:sz w:val="20"/>
          <w:szCs w:val="20"/>
        </w:rPr>
      </w:pPr>
    </w:p>
    <w:p w14:paraId="44CAC712" w14:textId="3243D787" w:rsidR="00265244" w:rsidRPr="00953011" w:rsidRDefault="00265244" w:rsidP="0098292D">
      <w:pPr>
        <w:tabs>
          <w:tab w:val="left" w:pos="0"/>
        </w:tabs>
        <w:spacing w:before="12" w:line="249" w:lineRule="auto"/>
        <w:jc w:val="center"/>
        <w:rPr>
          <w:rFonts w:asciiTheme="minorHAnsi" w:hAnsiTheme="minorHAnsi" w:cstheme="minorHAnsi"/>
          <w:b/>
          <w:bCs/>
          <w:color w:val="0067B1"/>
          <w:sz w:val="20"/>
          <w:szCs w:val="20"/>
        </w:rPr>
      </w:pPr>
    </w:p>
    <w:p w14:paraId="62E0A287" w14:textId="7E712606" w:rsidR="00953011" w:rsidRDefault="00953011" w:rsidP="00E27BC1">
      <w:pPr>
        <w:tabs>
          <w:tab w:val="left" w:pos="0"/>
        </w:tabs>
        <w:spacing w:before="12" w:line="249" w:lineRule="auto"/>
        <w:rPr>
          <w:rFonts w:asciiTheme="minorHAnsi" w:hAnsiTheme="minorHAnsi" w:cstheme="minorHAnsi"/>
          <w:b/>
          <w:bCs/>
          <w:color w:val="0067B1"/>
          <w:sz w:val="20"/>
          <w:szCs w:val="20"/>
        </w:rPr>
      </w:pPr>
    </w:p>
    <w:p w14:paraId="55CCA3E6" w14:textId="77777777" w:rsidR="00E27BC1" w:rsidRDefault="00E27BC1" w:rsidP="00E27BC1">
      <w:pPr>
        <w:tabs>
          <w:tab w:val="left" w:pos="0"/>
        </w:tabs>
        <w:spacing w:before="12" w:line="249" w:lineRule="auto"/>
        <w:rPr>
          <w:rFonts w:asciiTheme="minorHAnsi" w:hAnsiTheme="minorHAnsi" w:cstheme="minorHAnsi"/>
          <w:b/>
          <w:bCs/>
          <w:color w:val="0067B1"/>
          <w:sz w:val="20"/>
          <w:szCs w:val="20"/>
        </w:rPr>
      </w:pPr>
    </w:p>
    <w:p w14:paraId="39298E7F" w14:textId="77777777" w:rsidR="00953011" w:rsidRDefault="00953011" w:rsidP="0098292D">
      <w:pPr>
        <w:tabs>
          <w:tab w:val="left" w:pos="0"/>
        </w:tabs>
        <w:spacing w:before="12" w:line="249" w:lineRule="auto"/>
        <w:jc w:val="center"/>
        <w:rPr>
          <w:rFonts w:asciiTheme="minorHAnsi" w:hAnsiTheme="minorHAnsi" w:cstheme="minorHAnsi"/>
          <w:b/>
          <w:bCs/>
          <w:color w:val="0067B1"/>
          <w:sz w:val="20"/>
          <w:szCs w:val="20"/>
        </w:rPr>
      </w:pPr>
    </w:p>
    <w:p w14:paraId="5C54EC71" w14:textId="5EC7FC5E" w:rsidR="0098292D" w:rsidRPr="00953011" w:rsidRDefault="0098292D" w:rsidP="0098292D">
      <w:pPr>
        <w:tabs>
          <w:tab w:val="left" w:pos="0"/>
        </w:tabs>
        <w:spacing w:before="12" w:line="249" w:lineRule="auto"/>
        <w:jc w:val="center"/>
        <w:rPr>
          <w:rFonts w:asciiTheme="minorHAnsi" w:hAnsiTheme="minorHAnsi" w:cstheme="minorHAnsi"/>
          <w:b/>
          <w:bCs/>
          <w:color w:val="0067B1"/>
          <w:sz w:val="20"/>
          <w:szCs w:val="20"/>
        </w:rPr>
      </w:pPr>
      <w:r w:rsidRPr="00953011">
        <w:rPr>
          <w:rFonts w:asciiTheme="minorHAnsi" w:hAnsiTheme="minorHAnsi" w:cstheme="minorHAnsi"/>
          <w:b/>
          <w:bCs/>
          <w:color w:val="0067B1"/>
          <w:sz w:val="20"/>
          <w:szCs w:val="20"/>
        </w:rPr>
        <w:t>Responsável Técnico</w:t>
      </w:r>
    </w:p>
    <w:p w14:paraId="40FF8CE8" w14:textId="77777777" w:rsidR="0098292D" w:rsidRPr="00953011" w:rsidRDefault="0098292D" w:rsidP="0098292D">
      <w:pPr>
        <w:tabs>
          <w:tab w:val="left" w:pos="0"/>
        </w:tabs>
        <w:spacing w:before="12" w:line="249" w:lineRule="auto"/>
        <w:jc w:val="center"/>
        <w:rPr>
          <w:rFonts w:asciiTheme="minorHAnsi" w:hAnsiTheme="minorHAnsi" w:cstheme="minorHAnsi"/>
          <w:color w:val="0067B1"/>
          <w:sz w:val="20"/>
          <w:szCs w:val="20"/>
        </w:rPr>
      </w:pPr>
      <w:r w:rsidRPr="00953011">
        <w:rPr>
          <w:rFonts w:asciiTheme="minorHAnsi" w:hAnsiTheme="minorHAnsi" w:cstheme="minorHAnsi"/>
          <w:color w:val="0067B1"/>
          <w:sz w:val="20"/>
          <w:szCs w:val="20"/>
        </w:rPr>
        <w:t>Janderley Heriberto Carneiro</w:t>
      </w:r>
    </w:p>
    <w:p w14:paraId="694F3CE3" w14:textId="475E352D" w:rsidR="00943F00" w:rsidRPr="00953011" w:rsidRDefault="00953011" w:rsidP="0098292D">
      <w:pPr>
        <w:tabs>
          <w:tab w:val="left" w:pos="0"/>
        </w:tabs>
        <w:spacing w:before="12" w:line="249" w:lineRule="auto"/>
        <w:jc w:val="center"/>
        <w:rPr>
          <w:rFonts w:asciiTheme="minorHAnsi" w:hAnsiTheme="minorHAnsi" w:cstheme="minorHAnsi"/>
          <w:i/>
          <w:iCs/>
          <w:color w:val="0067B1"/>
          <w:sz w:val="20"/>
          <w:szCs w:val="20"/>
        </w:rPr>
      </w:pPr>
      <w:r w:rsidRPr="00953011">
        <w:rPr>
          <w:rFonts w:asciiTheme="minorHAnsi" w:hAnsiTheme="minorHAnsi" w:cstheme="minorHAnsi"/>
          <w:i/>
          <w:iCs/>
          <w:color w:val="0067B1"/>
          <w:sz w:val="20"/>
          <w:szCs w:val="20"/>
        </w:rPr>
        <w:t>Apoio</w:t>
      </w:r>
    </w:p>
    <w:p w14:paraId="042AD3DF" w14:textId="34F88BA8" w:rsidR="00953011" w:rsidRDefault="00953011" w:rsidP="0098292D">
      <w:pPr>
        <w:tabs>
          <w:tab w:val="left" w:pos="0"/>
        </w:tabs>
        <w:spacing w:before="12" w:line="249" w:lineRule="auto"/>
        <w:jc w:val="center"/>
        <w:rPr>
          <w:rFonts w:asciiTheme="minorHAnsi" w:hAnsiTheme="minorHAnsi" w:cstheme="minorHAnsi"/>
          <w:color w:val="0067B1"/>
          <w:sz w:val="20"/>
          <w:szCs w:val="20"/>
        </w:rPr>
      </w:pPr>
      <w:r>
        <w:rPr>
          <w:rFonts w:asciiTheme="minorHAnsi" w:hAnsiTheme="minorHAnsi" w:cstheme="minorHAnsi"/>
          <w:color w:val="0067B1"/>
          <w:sz w:val="20"/>
          <w:szCs w:val="20"/>
        </w:rPr>
        <w:t>Ivania Dolores Bezerra</w:t>
      </w:r>
    </w:p>
    <w:p w14:paraId="3E1274F0" w14:textId="204FC8A7" w:rsidR="00953011" w:rsidRDefault="00953011" w:rsidP="0098292D">
      <w:pPr>
        <w:tabs>
          <w:tab w:val="left" w:pos="0"/>
        </w:tabs>
        <w:spacing w:before="12" w:line="249" w:lineRule="auto"/>
        <w:jc w:val="center"/>
        <w:rPr>
          <w:rFonts w:asciiTheme="minorHAnsi" w:hAnsiTheme="minorHAnsi" w:cstheme="minorHAnsi"/>
          <w:color w:val="0067B1"/>
          <w:sz w:val="20"/>
          <w:szCs w:val="20"/>
        </w:rPr>
      </w:pPr>
      <w:r>
        <w:rPr>
          <w:rFonts w:asciiTheme="minorHAnsi" w:hAnsiTheme="minorHAnsi" w:cstheme="minorHAnsi"/>
          <w:color w:val="0067B1"/>
          <w:sz w:val="20"/>
          <w:szCs w:val="20"/>
        </w:rPr>
        <w:t>Vanessa Coimbra de Resende</w:t>
      </w:r>
    </w:p>
    <w:p w14:paraId="2FD17BB2" w14:textId="77777777" w:rsidR="00953011" w:rsidRPr="00953011" w:rsidRDefault="00953011" w:rsidP="0098292D">
      <w:pPr>
        <w:tabs>
          <w:tab w:val="left" w:pos="0"/>
        </w:tabs>
        <w:spacing w:before="12" w:line="249" w:lineRule="auto"/>
        <w:jc w:val="center"/>
        <w:rPr>
          <w:rFonts w:asciiTheme="minorHAnsi" w:hAnsiTheme="minorHAnsi" w:cstheme="minorHAnsi"/>
          <w:color w:val="0067B1"/>
          <w:sz w:val="20"/>
          <w:szCs w:val="20"/>
        </w:rPr>
      </w:pPr>
    </w:p>
    <w:p w14:paraId="12E47A58" w14:textId="1A26098D" w:rsidR="0098292D" w:rsidRPr="00953011" w:rsidRDefault="0098292D" w:rsidP="0098292D">
      <w:pPr>
        <w:tabs>
          <w:tab w:val="left" w:pos="0"/>
        </w:tabs>
        <w:spacing w:before="12" w:line="249" w:lineRule="auto"/>
        <w:jc w:val="center"/>
        <w:rPr>
          <w:rFonts w:asciiTheme="minorHAnsi" w:hAnsiTheme="minorHAnsi" w:cstheme="minorHAnsi"/>
          <w:color w:val="0067B1"/>
          <w:sz w:val="20"/>
          <w:szCs w:val="20"/>
        </w:rPr>
      </w:pPr>
      <w:r w:rsidRPr="00953011">
        <w:rPr>
          <w:rFonts w:asciiTheme="minorHAnsi" w:hAnsiTheme="minorHAnsi" w:cstheme="minorHAnsi"/>
          <w:b/>
          <w:bCs/>
          <w:color w:val="0067B1"/>
          <w:sz w:val="20"/>
          <w:szCs w:val="20"/>
        </w:rPr>
        <w:t>Facilitadores da Presidência</w:t>
      </w:r>
    </w:p>
    <w:p w14:paraId="1F279F77" w14:textId="0D820086" w:rsidR="0098292D" w:rsidRPr="00953011" w:rsidRDefault="0098292D" w:rsidP="0098292D">
      <w:pPr>
        <w:tabs>
          <w:tab w:val="left" w:pos="0"/>
        </w:tabs>
        <w:spacing w:before="12" w:line="249" w:lineRule="auto"/>
        <w:jc w:val="center"/>
        <w:rPr>
          <w:rFonts w:asciiTheme="minorHAnsi" w:hAnsiTheme="minorHAnsi" w:cstheme="minorHAnsi"/>
          <w:color w:val="0067B1"/>
          <w:sz w:val="20"/>
          <w:szCs w:val="20"/>
        </w:rPr>
      </w:pPr>
      <w:r w:rsidRPr="00953011">
        <w:rPr>
          <w:rFonts w:asciiTheme="minorHAnsi" w:hAnsiTheme="minorHAnsi" w:cstheme="minorHAnsi"/>
          <w:color w:val="0067B1"/>
          <w:sz w:val="20"/>
          <w:szCs w:val="20"/>
        </w:rPr>
        <w:t>Olyntho Gomes de Sá, Chefe de Gabinete</w:t>
      </w:r>
    </w:p>
    <w:p w14:paraId="4F5AC4B5" w14:textId="77777777" w:rsidR="0098292D" w:rsidRPr="00953011" w:rsidRDefault="0098292D" w:rsidP="0098292D">
      <w:pPr>
        <w:tabs>
          <w:tab w:val="left" w:pos="0"/>
        </w:tabs>
        <w:spacing w:before="12" w:line="249" w:lineRule="auto"/>
        <w:jc w:val="center"/>
        <w:rPr>
          <w:rFonts w:asciiTheme="minorHAnsi" w:hAnsiTheme="minorHAnsi" w:cstheme="minorHAnsi"/>
          <w:color w:val="0067B1"/>
          <w:sz w:val="20"/>
          <w:szCs w:val="20"/>
        </w:rPr>
      </w:pPr>
    </w:p>
    <w:p w14:paraId="1D89AC3E" w14:textId="48FCE744" w:rsidR="0098292D" w:rsidRPr="00953011" w:rsidRDefault="0098292D" w:rsidP="0098292D">
      <w:pPr>
        <w:tabs>
          <w:tab w:val="left" w:pos="0"/>
        </w:tabs>
        <w:spacing w:before="12" w:line="249" w:lineRule="auto"/>
        <w:jc w:val="center"/>
        <w:rPr>
          <w:rFonts w:asciiTheme="minorHAnsi" w:hAnsiTheme="minorHAnsi" w:cstheme="minorHAnsi"/>
          <w:color w:val="0067B1"/>
          <w:sz w:val="20"/>
          <w:szCs w:val="20"/>
        </w:rPr>
      </w:pPr>
      <w:r w:rsidRPr="00953011">
        <w:rPr>
          <w:rFonts w:asciiTheme="minorHAnsi" w:hAnsiTheme="minorHAnsi" w:cstheme="minorHAnsi"/>
          <w:b/>
          <w:bCs/>
          <w:color w:val="0067B1"/>
          <w:sz w:val="20"/>
          <w:szCs w:val="20"/>
        </w:rPr>
        <w:t>Facilitadores da Diretoria de Administração e Finanças</w:t>
      </w:r>
      <w:r w:rsidRPr="00953011">
        <w:rPr>
          <w:rFonts w:asciiTheme="minorHAnsi" w:hAnsiTheme="minorHAnsi" w:cstheme="minorHAnsi"/>
          <w:color w:val="0070C0"/>
          <w:sz w:val="20"/>
          <w:szCs w:val="20"/>
        </w:rPr>
        <w:t xml:space="preserve"> </w:t>
      </w:r>
      <w:r w:rsidRPr="00953011">
        <w:rPr>
          <w:rFonts w:asciiTheme="minorHAnsi" w:hAnsiTheme="minorHAnsi" w:cstheme="minorHAnsi"/>
          <w:color w:val="0067B1"/>
          <w:sz w:val="20"/>
          <w:szCs w:val="20"/>
        </w:rPr>
        <w:t>– Daniella Lemes Corado</w:t>
      </w:r>
      <w:r w:rsidR="004D1A40" w:rsidRPr="00953011">
        <w:rPr>
          <w:rFonts w:asciiTheme="minorHAnsi" w:hAnsiTheme="minorHAnsi" w:cstheme="minorHAnsi"/>
          <w:color w:val="0067B1"/>
          <w:sz w:val="20"/>
          <w:szCs w:val="20"/>
        </w:rPr>
        <w:t xml:space="preserve"> e Hugo Marcus Silva Teixeirense</w:t>
      </w:r>
    </w:p>
    <w:p w14:paraId="7712354E" w14:textId="77777777" w:rsidR="0098292D" w:rsidRPr="00953011" w:rsidRDefault="0098292D" w:rsidP="0098292D">
      <w:pPr>
        <w:tabs>
          <w:tab w:val="left" w:pos="0"/>
        </w:tabs>
        <w:spacing w:before="12" w:line="249" w:lineRule="auto"/>
        <w:jc w:val="center"/>
        <w:rPr>
          <w:rFonts w:asciiTheme="minorHAnsi" w:hAnsiTheme="minorHAnsi" w:cstheme="minorHAnsi"/>
          <w:color w:val="0067B1"/>
          <w:sz w:val="20"/>
          <w:szCs w:val="20"/>
        </w:rPr>
      </w:pPr>
    </w:p>
    <w:p w14:paraId="45A1925A" w14:textId="1A7FE343" w:rsidR="0098292D" w:rsidRPr="00953011" w:rsidRDefault="0098292D" w:rsidP="0098292D">
      <w:pPr>
        <w:tabs>
          <w:tab w:val="left" w:pos="0"/>
        </w:tabs>
        <w:spacing w:before="12" w:line="249" w:lineRule="auto"/>
        <w:jc w:val="center"/>
        <w:rPr>
          <w:rFonts w:asciiTheme="minorHAnsi" w:hAnsiTheme="minorHAnsi" w:cstheme="minorHAnsi"/>
          <w:color w:val="0067B1"/>
          <w:sz w:val="20"/>
          <w:szCs w:val="20"/>
        </w:rPr>
      </w:pPr>
      <w:r w:rsidRPr="00953011">
        <w:rPr>
          <w:rFonts w:asciiTheme="minorHAnsi" w:hAnsiTheme="minorHAnsi" w:cstheme="minorHAnsi"/>
          <w:b/>
          <w:bCs/>
          <w:color w:val="0067B1"/>
          <w:sz w:val="20"/>
          <w:szCs w:val="20"/>
        </w:rPr>
        <w:t>Facilitadores da Diretoria de Negócios</w:t>
      </w:r>
      <w:r w:rsidRPr="00953011">
        <w:rPr>
          <w:rFonts w:asciiTheme="minorHAnsi" w:hAnsiTheme="minorHAnsi" w:cstheme="minorHAnsi"/>
          <w:color w:val="0070C0"/>
          <w:sz w:val="20"/>
          <w:szCs w:val="20"/>
        </w:rPr>
        <w:t xml:space="preserve"> </w:t>
      </w:r>
      <w:r w:rsidRPr="00953011">
        <w:rPr>
          <w:rFonts w:asciiTheme="minorHAnsi" w:hAnsiTheme="minorHAnsi" w:cstheme="minorHAnsi"/>
          <w:color w:val="0067B1"/>
          <w:sz w:val="20"/>
          <w:szCs w:val="20"/>
        </w:rPr>
        <w:t xml:space="preserve">– Bruno Marques dos Santos Silva e </w:t>
      </w:r>
      <w:r w:rsidR="00F8631D" w:rsidRPr="00953011">
        <w:rPr>
          <w:rFonts w:asciiTheme="minorHAnsi" w:hAnsiTheme="minorHAnsi" w:cstheme="minorHAnsi"/>
          <w:color w:val="0067B1"/>
          <w:sz w:val="20"/>
          <w:szCs w:val="20"/>
        </w:rPr>
        <w:t>José Fernando Torrente</w:t>
      </w:r>
    </w:p>
    <w:p w14:paraId="18131C88" w14:textId="77777777" w:rsidR="0098292D" w:rsidRPr="00953011" w:rsidRDefault="0098292D" w:rsidP="0098292D">
      <w:pPr>
        <w:tabs>
          <w:tab w:val="left" w:pos="0"/>
        </w:tabs>
        <w:spacing w:before="12" w:line="249" w:lineRule="auto"/>
        <w:jc w:val="center"/>
        <w:rPr>
          <w:rFonts w:asciiTheme="minorHAnsi" w:hAnsiTheme="minorHAnsi" w:cstheme="minorHAnsi"/>
          <w:color w:val="0067B1"/>
          <w:sz w:val="20"/>
          <w:szCs w:val="20"/>
        </w:rPr>
      </w:pPr>
    </w:p>
    <w:p w14:paraId="627859A4" w14:textId="77777777" w:rsidR="0098292D" w:rsidRPr="00953011" w:rsidRDefault="0098292D" w:rsidP="0098292D">
      <w:pPr>
        <w:tabs>
          <w:tab w:val="left" w:pos="0"/>
        </w:tabs>
        <w:spacing w:before="12" w:line="249" w:lineRule="auto"/>
        <w:jc w:val="center"/>
        <w:rPr>
          <w:rFonts w:asciiTheme="minorHAnsi" w:hAnsiTheme="minorHAnsi" w:cstheme="minorHAnsi"/>
          <w:color w:val="0067B1"/>
          <w:sz w:val="20"/>
          <w:szCs w:val="20"/>
        </w:rPr>
      </w:pPr>
      <w:r w:rsidRPr="00953011">
        <w:rPr>
          <w:rFonts w:asciiTheme="minorHAnsi" w:hAnsiTheme="minorHAnsi" w:cstheme="minorHAnsi"/>
          <w:b/>
          <w:bCs/>
          <w:color w:val="0067B1"/>
          <w:sz w:val="20"/>
          <w:szCs w:val="20"/>
        </w:rPr>
        <w:t>Facilitadores da Diretoria de Empreendimentos</w:t>
      </w:r>
      <w:r w:rsidRPr="00953011">
        <w:rPr>
          <w:rFonts w:asciiTheme="minorHAnsi" w:hAnsiTheme="minorHAnsi" w:cstheme="minorHAnsi"/>
          <w:color w:val="0070C0"/>
          <w:sz w:val="20"/>
          <w:szCs w:val="20"/>
        </w:rPr>
        <w:t xml:space="preserve"> </w:t>
      </w:r>
      <w:r w:rsidRPr="00953011">
        <w:rPr>
          <w:rFonts w:asciiTheme="minorHAnsi" w:hAnsiTheme="minorHAnsi" w:cstheme="minorHAnsi"/>
          <w:color w:val="0067B1"/>
          <w:sz w:val="20"/>
          <w:szCs w:val="20"/>
        </w:rPr>
        <w:t>– Edmilson Gama da Silva e Natália Bittencourt de Oliveira Angarten</w:t>
      </w:r>
    </w:p>
    <w:p w14:paraId="17866F81" w14:textId="77777777" w:rsidR="0098292D" w:rsidRPr="00252D7B" w:rsidRDefault="0098292D" w:rsidP="0098292D">
      <w:pPr>
        <w:tabs>
          <w:tab w:val="left" w:pos="0"/>
        </w:tabs>
        <w:spacing w:before="12" w:line="249" w:lineRule="auto"/>
        <w:rPr>
          <w:rFonts w:asciiTheme="minorHAnsi" w:hAnsiTheme="minorHAnsi" w:cstheme="minorHAnsi"/>
          <w:color w:val="0067B1"/>
          <w:sz w:val="24"/>
          <w:szCs w:val="24"/>
        </w:rPr>
      </w:pPr>
    </w:p>
    <w:p w14:paraId="4FEDA618" w14:textId="3DD7DEC3" w:rsidR="00C86822" w:rsidRPr="00252D7B" w:rsidRDefault="00C86822" w:rsidP="005D209E">
      <w:pPr>
        <w:tabs>
          <w:tab w:val="left" w:pos="0"/>
        </w:tabs>
        <w:spacing w:before="12" w:line="249" w:lineRule="auto"/>
        <w:jc w:val="center"/>
        <w:rPr>
          <w:rFonts w:asciiTheme="minorHAnsi" w:hAnsiTheme="minorHAnsi" w:cstheme="minorHAnsi"/>
          <w:color w:val="0067B1"/>
          <w:sz w:val="24"/>
          <w:szCs w:val="24"/>
        </w:rPr>
      </w:pPr>
    </w:p>
    <w:p w14:paraId="73FC5D85" w14:textId="77777777" w:rsidR="005D209E" w:rsidRPr="00252D7B" w:rsidRDefault="005D209E" w:rsidP="00C93F5D">
      <w:pPr>
        <w:rPr>
          <w:rFonts w:asciiTheme="minorHAnsi" w:hAnsiTheme="minorHAnsi" w:cstheme="minorHAnsi"/>
        </w:rPr>
        <w:sectPr w:rsidR="005D209E" w:rsidRPr="00252D7B" w:rsidSect="00983F5F">
          <w:type w:val="continuous"/>
          <w:pgSz w:w="11906" w:h="16838"/>
          <w:pgMar w:top="1417" w:right="1701" w:bottom="1417" w:left="1701" w:header="708" w:footer="708" w:gutter="0"/>
          <w:cols w:num="2" w:space="708"/>
          <w:docGrid w:linePitch="360"/>
        </w:sectPr>
      </w:pPr>
    </w:p>
    <w:p w14:paraId="10ECD66F" w14:textId="24A93D4A" w:rsidR="00C93F5D" w:rsidRPr="00252D7B" w:rsidRDefault="00C93F5D" w:rsidP="00C93F5D">
      <w:pPr>
        <w:rPr>
          <w:rFonts w:asciiTheme="minorHAnsi" w:hAnsiTheme="minorHAnsi" w:cstheme="minorHAnsi"/>
        </w:rPr>
      </w:pPr>
    </w:p>
    <w:p w14:paraId="0BA0FC81" w14:textId="384A290C" w:rsidR="005D209E" w:rsidRPr="00252D7B" w:rsidRDefault="005D209E" w:rsidP="005D209E">
      <w:pPr>
        <w:jc w:val="center"/>
        <w:rPr>
          <w:rFonts w:asciiTheme="minorHAnsi" w:hAnsiTheme="minorHAnsi" w:cstheme="minorHAnsi"/>
          <w:b/>
          <w:bCs/>
        </w:rPr>
      </w:pPr>
      <w:r w:rsidRPr="00252D7B">
        <w:rPr>
          <w:rFonts w:asciiTheme="minorHAnsi" w:hAnsiTheme="minorHAnsi" w:cstheme="minorHAnsi"/>
          <w:b/>
          <w:bCs/>
        </w:rPr>
        <w:t>Todos os direitos reservados.</w:t>
      </w:r>
    </w:p>
    <w:p w14:paraId="73A438AD" w14:textId="7C007F0E" w:rsidR="005D209E" w:rsidRPr="00252D7B" w:rsidRDefault="005D209E" w:rsidP="005C0C13">
      <w:pPr>
        <w:jc w:val="center"/>
        <w:rPr>
          <w:rFonts w:asciiTheme="minorHAnsi" w:hAnsiTheme="minorHAnsi" w:cstheme="minorHAnsi"/>
        </w:rPr>
      </w:pPr>
      <w:r w:rsidRPr="00252D7B">
        <w:rPr>
          <w:rFonts w:asciiTheme="minorHAnsi" w:hAnsiTheme="minorHAnsi" w:cstheme="minorHAnsi"/>
        </w:rPr>
        <w:t>A reprodução não autorizada desta publicação, no todo ou em parte, constitui violação dos direitos autorais (Lei n°</w:t>
      </w:r>
      <w:r w:rsidR="006C4AEC" w:rsidRPr="00252D7B">
        <w:rPr>
          <w:rFonts w:asciiTheme="minorHAnsi" w:hAnsiTheme="minorHAnsi" w:cstheme="minorHAnsi"/>
        </w:rPr>
        <w:t xml:space="preserve"> </w:t>
      </w:r>
      <w:r w:rsidRPr="00252D7B">
        <w:rPr>
          <w:rFonts w:asciiTheme="minorHAnsi" w:hAnsiTheme="minorHAnsi" w:cstheme="minorHAnsi"/>
        </w:rPr>
        <w:t>9.610</w:t>
      </w:r>
      <w:r w:rsidR="006C4AEC" w:rsidRPr="00252D7B">
        <w:rPr>
          <w:rFonts w:asciiTheme="minorHAnsi" w:hAnsiTheme="minorHAnsi" w:cstheme="minorHAnsi"/>
        </w:rPr>
        <w:t>, de 19 de fevereiro de 1998</w:t>
      </w:r>
      <w:r w:rsidRPr="00252D7B">
        <w:rPr>
          <w:rFonts w:asciiTheme="minorHAnsi" w:hAnsiTheme="minorHAnsi" w:cstheme="minorHAnsi"/>
        </w:rPr>
        <w:t>).</w:t>
      </w:r>
    </w:p>
    <w:p w14:paraId="3A173C10" w14:textId="77777777" w:rsidR="005C0C13" w:rsidRPr="00252D7B" w:rsidRDefault="005C0C13" w:rsidP="005C0C13">
      <w:pPr>
        <w:jc w:val="center"/>
        <w:rPr>
          <w:rFonts w:asciiTheme="minorHAnsi" w:hAnsiTheme="minorHAnsi" w:cstheme="minorHAnsi"/>
          <w:sz w:val="20"/>
          <w:szCs w:val="20"/>
        </w:rPr>
      </w:pPr>
    </w:p>
    <w:tbl>
      <w:tblPr>
        <w:tblStyle w:val="Tabelacomgrade"/>
        <w:tblW w:w="10447" w:type="dxa"/>
        <w:tblInd w:w="-5" w:type="dxa"/>
        <w:tblLook w:val="04A0" w:firstRow="1" w:lastRow="0" w:firstColumn="1" w:lastColumn="0" w:noHBand="0" w:noVBand="1"/>
      </w:tblPr>
      <w:tblGrid>
        <w:gridCol w:w="10447"/>
      </w:tblGrid>
      <w:tr w:rsidR="005D209E" w:rsidRPr="00252D7B" w14:paraId="4961E07A" w14:textId="77777777" w:rsidTr="005C0C13">
        <w:trPr>
          <w:trHeight w:val="1125"/>
        </w:trPr>
        <w:tc>
          <w:tcPr>
            <w:tcW w:w="10447" w:type="dxa"/>
          </w:tcPr>
          <w:p w14:paraId="3DBFB621" w14:textId="77777777" w:rsidR="00814E2D" w:rsidRPr="00252D7B" w:rsidRDefault="005D209E" w:rsidP="00814E2D">
            <w:pPr>
              <w:widowControl/>
              <w:autoSpaceDE/>
              <w:autoSpaceDN/>
              <w:rPr>
                <w:rFonts w:asciiTheme="minorHAnsi" w:hAnsiTheme="minorHAnsi" w:cstheme="minorHAnsi"/>
                <w:sz w:val="20"/>
                <w:szCs w:val="20"/>
              </w:rPr>
            </w:pPr>
            <w:r w:rsidRPr="00252D7B">
              <w:rPr>
                <w:rFonts w:asciiTheme="minorHAnsi" w:hAnsiTheme="minorHAnsi" w:cstheme="minorHAnsi"/>
                <w:sz w:val="20"/>
                <w:szCs w:val="20"/>
              </w:rPr>
              <w:t>Valec.</w:t>
            </w:r>
          </w:p>
          <w:p w14:paraId="60E3C846" w14:textId="5A6D24BD" w:rsidR="005D209E" w:rsidRPr="00252D7B" w:rsidRDefault="00814E2D" w:rsidP="00814E2D">
            <w:pPr>
              <w:widowControl/>
              <w:autoSpaceDE/>
              <w:autoSpaceDN/>
              <w:rPr>
                <w:rFonts w:asciiTheme="minorHAnsi" w:hAnsiTheme="minorHAnsi" w:cstheme="minorHAnsi"/>
                <w:sz w:val="20"/>
                <w:szCs w:val="20"/>
              </w:rPr>
            </w:pPr>
            <w:r w:rsidRPr="00252D7B">
              <w:rPr>
                <w:rFonts w:asciiTheme="minorHAnsi" w:hAnsiTheme="minorHAnsi" w:cstheme="minorHAnsi"/>
                <w:sz w:val="20"/>
                <w:szCs w:val="20"/>
              </w:rPr>
              <w:t>Relatório de Gestão</w:t>
            </w:r>
            <w:r w:rsidR="00B45B48">
              <w:rPr>
                <w:rFonts w:asciiTheme="minorHAnsi" w:hAnsiTheme="minorHAnsi" w:cstheme="minorHAnsi"/>
                <w:sz w:val="20"/>
                <w:szCs w:val="20"/>
              </w:rPr>
              <w:t xml:space="preserve"> Integrado</w:t>
            </w:r>
            <w:r w:rsidRPr="00252D7B">
              <w:rPr>
                <w:rFonts w:asciiTheme="minorHAnsi" w:hAnsiTheme="minorHAnsi" w:cstheme="minorHAnsi"/>
                <w:sz w:val="20"/>
                <w:szCs w:val="20"/>
              </w:rPr>
              <w:t xml:space="preserve">, </w:t>
            </w:r>
            <w:r w:rsidR="00B45B48">
              <w:rPr>
                <w:rFonts w:asciiTheme="minorHAnsi" w:hAnsiTheme="minorHAnsi" w:cstheme="minorHAnsi"/>
                <w:sz w:val="20"/>
                <w:szCs w:val="20"/>
              </w:rPr>
              <w:t>ano base 2021</w:t>
            </w:r>
            <w:r w:rsidR="005D209E" w:rsidRPr="00252D7B">
              <w:rPr>
                <w:rFonts w:asciiTheme="minorHAnsi" w:hAnsiTheme="minorHAnsi" w:cstheme="minorHAnsi"/>
                <w:sz w:val="20"/>
                <w:szCs w:val="20"/>
              </w:rPr>
              <w:t xml:space="preserve"> /</w:t>
            </w:r>
            <w:r w:rsidRPr="00252D7B">
              <w:rPr>
                <w:rFonts w:asciiTheme="minorHAnsi" w:hAnsiTheme="minorHAnsi" w:cstheme="minorHAnsi"/>
                <w:sz w:val="20"/>
                <w:szCs w:val="20"/>
              </w:rPr>
              <w:t xml:space="preserve"> </w:t>
            </w:r>
            <w:r w:rsidR="005D209E" w:rsidRPr="00252D7B">
              <w:rPr>
                <w:rFonts w:asciiTheme="minorHAnsi" w:hAnsiTheme="minorHAnsi" w:cstheme="minorHAnsi"/>
                <w:sz w:val="20"/>
                <w:szCs w:val="20"/>
              </w:rPr>
              <w:t>Valec Engenharia, Con</w:t>
            </w:r>
            <w:r w:rsidR="006E04FA" w:rsidRPr="00252D7B">
              <w:rPr>
                <w:rFonts w:asciiTheme="minorHAnsi" w:hAnsiTheme="minorHAnsi" w:cstheme="minorHAnsi"/>
                <w:sz w:val="20"/>
                <w:szCs w:val="20"/>
              </w:rPr>
              <w:t>s</w:t>
            </w:r>
            <w:r w:rsidR="005D209E" w:rsidRPr="00252D7B">
              <w:rPr>
                <w:rFonts w:asciiTheme="minorHAnsi" w:hAnsiTheme="minorHAnsi" w:cstheme="minorHAnsi"/>
                <w:sz w:val="20"/>
                <w:szCs w:val="20"/>
              </w:rPr>
              <w:t>truções e Ferrovia</w:t>
            </w:r>
            <w:r w:rsidRPr="00252D7B">
              <w:rPr>
                <w:rFonts w:asciiTheme="minorHAnsi" w:hAnsiTheme="minorHAnsi" w:cstheme="minorHAnsi"/>
                <w:sz w:val="20"/>
                <w:szCs w:val="20"/>
              </w:rPr>
              <w:t>s S.A.</w:t>
            </w:r>
            <w:r w:rsidR="005D209E" w:rsidRPr="00252D7B">
              <w:rPr>
                <w:rFonts w:asciiTheme="minorHAnsi" w:hAnsiTheme="minorHAnsi" w:cstheme="minorHAnsi"/>
                <w:sz w:val="20"/>
                <w:szCs w:val="20"/>
              </w:rPr>
              <w:t xml:space="preserve"> – Brasília, DF: Valec, 2022</w:t>
            </w:r>
            <w:r w:rsidR="00AA5BEA" w:rsidRPr="00252D7B">
              <w:rPr>
                <w:rFonts w:asciiTheme="minorHAnsi" w:hAnsiTheme="minorHAnsi" w:cstheme="minorHAnsi"/>
                <w:sz w:val="20"/>
                <w:szCs w:val="20"/>
              </w:rPr>
              <w:t xml:space="preserve"> (</w:t>
            </w:r>
            <w:r w:rsidR="00F002A8" w:rsidRPr="00252D7B">
              <w:rPr>
                <w:rFonts w:asciiTheme="minorHAnsi" w:hAnsiTheme="minorHAnsi" w:cstheme="minorHAnsi"/>
                <w:sz w:val="20"/>
                <w:szCs w:val="20"/>
              </w:rPr>
              <w:t>v.</w:t>
            </w:r>
            <w:r w:rsidR="00DD41B5">
              <w:rPr>
                <w:rFonts w:asciiTheme="minorHAnsi" w:hAnsiTheme="minorHAnsi" w:cstheme="minorHAnsi"/>
                <w:sz w:val="20"/>
                <w:szCs w:val="20"/>
              </w:rPr>
              <w:t>2</w:t>
            </w:r>
            <w:r w:rsidR="00F002A8" w:rsidRPr="00252D7B">
              <w:rPr>
                <w:rFonts w:asciiTheme="minorHAnsi" w:hAnsiTheme="minorHAnsi" w:cstheme="minorHAnsi"/>
                <w:sz w:val="20"/>
                <w:szCs w:val="20"/>
              </w:rPr>
              <w:t>.</w:t>
            </w:r>
            <w:r w:rsidR="00145210">
              <w:rPr>
                <w:rFonts w:asciiTheme="minorHAnsi" w:hAnsiTheme="minorHAnsi" w:cstheme="minorHAnsi"/>
                <w:sz w:val="20"/>
                <w:szCs w:val="20"/>
              </w:rPr>
              <w:t>0</w:t>
            </w:r>
            <w:r w:rsidR="00AA5BEA" w:rsidRPr="00252D7B">
              <w:rPr>
                <w:rFonts w:asciiTheme="minorHAnsi" w:hAnsiTheme="minorHAnsi" w:cstheme="minorHAnsi"/>
                <w:sz w:val="20"/>
                <w:szCs w:val="20"/>
              </w:rPr>
              <w:t>)</w:t>
            </w:r>
          </w:p>
          <w:p w14:paraId="3C740147" w14:textId="765EF255" w:rsidR="005D209E" w:rsidRPr="00252D7B" w:rsidRDefault="00814E2D" w:rsidP="00814E2D">
            <w:pPr>
              <w:pStyle w:val="PargrafodaLista"/>
              <w:widowControl/>
              <w:autoSpaceDE/>
              <w:autoSpaceDN/>
              <w:ind w:left="0"/>
              <w:rPr>
                <w:rFonts w:asciiTheme="minorHAnsi" w:hAnsiTheme="minorHAnsi" w:cstheme="minorHAnsi"/>
              </w:rPr>
            </w:pPr>
            <w:r w:rsidRPr="00252D7B">
              <w:rPr>
                <w:rFonts w:asciiTheme="minorHAnsi" w:hAnsiTheme="minorHAnsi" w:cstheme="minorHAnsi"/>
                <w:sz w:val="20"/>
                <w:szCs w:val="20"/>
              </w:rPr>
              <w:t>1 Visão geral organizacional e ambiente externo</w:t>
            </w:r>
            <w:r w:rsidR="005D209E" w:rsidRPr="00252D7B">
              <w:rPr>
                <w:rFonts w:asciiTheme="minorHAnsi" w:hAnsiTheme="minorHAnsi" w:cstheme="minorHAnsi"/>
                <w:sz w:val="20"/>
                <w:szCs w:val="20"/>
              </w:rPr>
              <w:t xml:space="preserve">. 2 </w:t>
            </w:r>
            <w:r w:rsidRPr="00252D7B">
              <w:rPr>
                <w:rFonts w:asciiTheme="minorHAnsi" w:hAnsiTheme="minorHAnsi" w:cstheme="minorHAnsi"/>
                <w:sz w:val="20"/>
                <w:szCs w:val="20"/>
              </w:rPr>
              <w:t>Riscos, oportunidades e perspectivas</w:t>
            </w:r>
            <w:r w:rsidR="005D209E" w:rsidRPr="00252D7B">
              <w:rPr>
                <w:rFonts w:asciiTheme="minorHAnsi" w:hAnsiTheme="minorHAnsi" w:cstheme="minorHAnsi"/>
                <w:sz w:val="20"/>
                <w:szCs w:val="20"/>
              </w:rPr>
              <w:t xml:space="preserve">. </w:t>
            </w:r>
            <w:r w:rsidRPr="00252D7B">
              <w:rPr>
                <w:rFonts w:asciiTheme="minorHAnsi" w:hAnsiTheme="minorHAnsi" w:cstheme="minorHAnsi"/>
                <w:sz w:val="20"/>
                <w:szCs w:val="20"/>
              </w:rPr>
              <w:t>3 Governança e estratégia</w:t>
            </w:r>
            <w:r w:rsidR="005D209E" w:rsidRPr="00252D7B">
              <w:rPr>
                <w:rFonts w:asciiTheme="minorHAnsi" w:hAnsiTheme="minorHAnsi" w:cstheme="minorHAnsi"/>
                <w:sz w:val="20"/>
                <w:szCs w:val="20"/>
              </w:rPr>
              <w:t>.</w:t>
            </w:r>
            <w:r w:rsidR="005C0C13" w:rsidRPr="00252D7B">
              <w:rPr>
                <w:rFonts w:asciiTheme="minorHAnsi" w:hAnsiTheme="minorHAnsi" w:cstheme="minorHAnsi"/>
                <w:sz w:val="20"/>
                <w:szCs w:val="20"/>
              </w:rPr>
              <w:t xml:space="preserve"> 4 Resultados da gestão</w:t>
            </w:r>
            <w:r w:rsidR="00145210">
              <w:rPr>
                <w:rFonts w:asciiTheme="minorHAnsi" w:hAnsiTheme="minorHAnsi" w:cstheme="minorHAnsi"/>
                <w:sz w:val="20"/>
                <w:szCs w:val="20"/>
              </w:rPr>
              <w:t xml:space="preserve">. 5 </w:t>
            </w:r>
            <w:r w:rsidR="00145210" w:rsidRPr="00145210">
              <w:rPr>
                <w:rFonts w:asciiTheme="minorHAnsi" w:hAnsiTheme="minorHAnsi" w:cstheme="minorHAnsi"/>
                <w:sz w:val="20"/>
                <w:szCs w:val="20"/>
              </w:rPr>
              <w:t>Informações orçamentárias, financeiras e contábeis</w:t>
            </w:r>
            <w:r w:rsidR="005D209E" w:rsidRPr="00252D7B">
              <w:rPr>
                <w:rFonts w:asciiTheme="minorHAnsi" w:hAnsiTheme="minorHAnsi" w:cstheme="minorHAnsi"/>
                <w:sz w:val="20"/>
                <w:szCs w:val="20"/>
              </w:rPr>
              <w:t xml:space="preserve"> I. Título</w:t>
            </w:r>
          </w:p>
        </w:tc>
      </w:tr>
    </w:tbl>
    <w:p w14:paraId="5F4219E5" w14:textId="77777777" w:rsidR="00265244" w:rsidRPr="00252D7B" w:rsidRDefault="00265244">
      <w:pPr>
        <w:widowControl/>
        <w:autoSpaceDE/>
        <w:autoSpaceDN/>
        <w:spacing w:after="160" w:line="259" w:lineRule="auto"/>
        <w:rPr>
          <w:rFonts w:asciiTheme="minorHAnsi" w:hAnsiTheme="minorHAnsi" w:cstheme="minorHAnsi"/>
          <w:b/>
          <w:color w:val="323E4F" w:themeColor="text2" w:themeShade="BF"/>
          <w:w w:val="110"/>
          <w:sz w:val="40"/>
          <w:szCs w:val="40"/>
        </w:rPr>
      </w:pPr>
      <w:r w:rsidRPr="00252D7B">
        <w:rPr>
          <w:rFonts w:asciiTheme="minorHAnsi" w:hAnsiTheme="minorHAnsi" w:cstheme="minorHAnsi"/>
          <w:b/>
          <w:color w:val="323E4F" w:themeColor="text2" w:themeShade="BF"/>
          <w:w w:val="110"/>
          <w:sz w:val="40"/>
          <w:szCs w:val="40"/>
        </w:rPr>
        <w:br w:type="page"/>
      </w:r>
    </w:p>
    <w:p w14:paraId="0351258C" w14:textId="7828FC67" w:rsidR="005D209E" w:rsidRPr="00252D7B" w:rsidRDefault="005D209E">
      <w:pPr>
        <w:widowControl/>
        <w:autoSpaceDE/>
        <w:autoSpaceDN/>
        <w:spacing w:after="160" w:line="259" w:lineRule="auto"/>
        <w:rPr>
          <w:rFonts w:asciiTheme="minorHAnsi" w:hAnsiTheme="minorHAnsi" w:cstheme="minorHAnsi"/>
          <w:b/>
          <w:color w:val="323E4F" w:themeColor="text2" w:themeShade="BF"/>
          <w:w w:val="110"/>
          <w:sz w:val="40"/>
          <w:szCs w:val="40"/>
        </w:rPr>
      </w:pPr>
      <w:r w:rsidRPr="00252D7B">
        <w:rPr>
          <w:rFonts w:asciiTheme="minorHAnsi" w:hAnsiTheme="minorHAnsi" w:cstheme="minorHAnsi"/>
          <w:b/>
          <w:color w:val="323E4F" w:themeColor="text2" w:themeShade="BF"/>
          <w:w w:val="110"/>
          <w:sz w:val="40"/>
          <w:szCs w:val="40"/>
        </w:rPr>
        <w:lastRenderedPageBreak/>
        <w:t>Carta do Presidente</w:t>
      </w:r>
    </w:p>
    <w:tbl>
      <w:tblPr>
        <w:tblStyle w:val="Tabelacomgrade"/>
        <w:tblpPr w:leftFromText="141" w:rightFromText="141" w:vertAnchor="text" w:horzAnchor="margin" w:tblpY="90"/>
        <w:tblW w:w="9634" w:type="dxa"/>
        <w:tblLook w:val="04A0" w:firstRow="1" w:lastRow="0" w:firstColumn="1" w:lastColumn="0" w:noHBand="0" w:noVBand="1"/>
      </w:tblPr>
      <w:tblGrid>
        <w:gridCol w:w="9634"/>
      </w:tblGrid>
      <w:tr w:rsidR="002E1510" w:rsidRPr="00252D7B" w14:paraId="3EB132F4" w14:textId="77777777" w:rsidTr="00730167">
        <w:tc>
          <w:tcPr>
            <w:tcW w:w="9634" w:type="dxa"/>
          </w:tcPr>
          <w:p w14:paraId="35F2738B" w14:textId="7A9D1A1E" w:rsidR="00F314B1" w:rsidRDefault="006F3CE6" w:rsidP="00F314B1">
            <w:pPr>
              <w:spacing w:before="120" w:after="120"/>
              <w:jc w:val="both"/>
            </w:pPr>
            <w:r w:rsidRPr="00252D7B">
              <w:rPr>
                <w:rFonts w:asciiTheme="minorHAnsi" w:hAnsiTheme="minorHAnsi" w:cstheme="minorHAnsi"/>
                <w:noProof/>
                <w:sz w:val="24"/>
                <w:szCs w:val="24"/>
              </w:rPr>
              <w:drawing>
                <wp:anchor distT="0" distB="0" distL="114300" distR="114300" simplePos="0" relativeHeight="251663872" behindDoc="0" locked="0" layoutInCell="1" allowOverlap="1" wp14:anchorId="713610FD" wp14:editId="02BBF4D3">
                  <wp:simplePos x="0" y="0"/>
                  <wp:positionH relativeFrom="column">
                    <wp:posOffset>53975</wp:posOffset>
                  </wp:positionH>
                  <wp:positionV relativeFrom="paragraph">
                    <wp:posOffset>66040</wp:posOffset>
                  </wp:positionV>
                  <wp:extent cx="2558415" cy="1919605"/>
                  <wp:effectExtent l="0" t="0" r="0" b="4445"/>
                  <wp:wrapSquare wrapText="bothSides"/>
                  <wp:docPr id="4" name="Imagem 4" descr="Homem de terno e grava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Homem de terno e gravata&#10;&#10;Descrição gerada automa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8415" cy="1919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14B1" w:rsidRPr="00E83061">
              <w:rPr>
                <w:rFonts w:asciiTheme="minorHAnsi" w:hAnsiTheme="minorHAnsi" w:cstheme="minorHAnsi"/>
                <w:color w:val="000000"/>
                <w:sz w:val="24"/>
                <w:szCs w:val="24"/>
              </w:rPr>
              <w:t>Em 2021, na Ferrovia de Integração Oeste-Leste (FIOL), trecho compreendido entre Caetité/BA - Barreiras-BA, intitulado como FIOL II, foram investidos cerca de R$ 350,89 milhões, gerando um avanço físico de 9,9% (valor estimado sem o fechamento de dezembro), resultando na finalização de 73km de lançamento de trilhos e chegando a um acumulado de 56% no avanço físico das obras.</w:t>
            </w:r>
            <w:r w:rsidR="00F314B1">
              <w:rPr>
                <w:rFonts w:asciiTheme="minorHAnsi" w:hAnsiTheme="minorHAnsi" w:cstheme="minorHAnsi"/>
                <w:color w:val="000000"/>
                <w:sz w:val="24"/>
                <w:szCs w:val="24"/>
              </w:rPr>
              <w:t xml:space="preserve"> </w:t>
            </w:r>
            <w:r w:rsidR="00F314B1" w:rsidRPr="00E83061">
              <w:rPr>
                <w:rFonts w:ascii="Times New Roman" w:eastAsia="Times New Roman" w:hAnsi="Times New Roman" w:cs="Times New Roman"/>
                <w:sz w:val="24"/>
                <w:szCs w:val="24"/>
                <w:lang w:val="pt-PT" w:bidi="ar-SA"/>
              </w:rPr>
              <w:t xml:space="preserve"> </w:t>
            </w:r>
            <w:r w:rsidR="00F314B1" w:rsidRPr="00E83061">
              <w:rPr>
                <w:rFonts w:asciiTheme="minorHAnsi" w:hAnsiTheme="minorHAnsi" w:cstheme="minorHAnsi"/>
                <w:color w:val="000000"/>
                <w:sz w:val="24"/>
                <w:szCs w:val="24"/>
                <w:lang w:val="pt-PT"/>
              </w:rPr>
              <w:t xml:space="preserve">Importante marco ferroviário se deu em 2021, quando a Estatal firmou relevante contrato de Subconcessão com a </w:t>
            </w:r>
            <w:r w:rsidR="0030527B">
              <w:rPr>
                <w:rFonts w:asciiTheme="minorHAnsi" w:hAnsiTheme="minorHAnsi" w:cstheme="minorHAnsi"/>
                <w:color w:val="000000"/>
                <w:sz w:val="24"/>
                <w:szCs w:val="24"/>
                <w:lang w:val="pt-PT"/>
              </w:rPr>
              <w:t>Bahia Mineração S.A.</w:t>
            </w:r>
            <w:r w:rsidR="00F314B1" w:rsidRPr="00E83061">
              <w:rPr>
                <w:rFonts w:asciiTheme="minorHAnsi" w:hAnsiTheme="minorHAnsi" w:cstheme="minorHAnsi"/>
                <w:color w:val="000000"/>
                <w:sz w:val="24"/>
                <w:szCs w:val="24"/>
                <w:lang w:val="pt-PT"/>
              </w:rPr>
              <w:t>, cujo objeto é a construção e prestação do serviço público de transporte ferroviário de cargas associado à exploração da infraestrutura ferroviária da EF-334 (FIOL), no trecho compreendido entre Ilhéus/BA e Caetité/BA, com o valor de outorga de R$ 32,7 milhões com previsão de investimentos da ordem de R$ 3,3 bilhões, sendo R$ 1,6 bilhões para a conclusão das obras.</w:t>
            </w:r>
            <w:r w:rsidR="00F314B1">
              <w:rPr>
                <w:rFonts w:asciiTheme="minorHAnsi" w:hAnsiTheme="minorHAnsi" w:cstheme="minorHAnsi"/>
                <w:color w:val="000000"/>
                <w:sz w:val="24"/>
                <w:szCs w:val="24"/>
                <w:lang w:val="pt-PT"/>
              </w:rPr>
              <w:t xml:space="preserve"> </w:t>
            </w:r>
            <w:r w:rsidR="00F314B1" w:rsidRPr="00E83061">
              <w:rPr>
                <w:rFonts w:asciiTheme="minorHAnsi" w:hAnsiTheme="minorHAnsi" w:cstheme="minorHAnsi"/>
                <w:color w:val="000000"/>
                <w:sz w:val="24"/>
                <w:szCs w:val="24"/>
                <w:lang w:val="pt-PT"/>
              </w:rPr>
              <w:t>Soma-se a isso, a Assinatura do Contrato – Terminal Lote 05 do Pátio de Porto Franco (MA); Leilão – Terminal de Guaraí (TO); Suporte na elaboração dos estudos acerca da viabilidade econômico-financeira da Transnordestina Logística S.A. – TLSA entre outros. Para 2022, estão previstos os seguintes leilões: Terminal de Granéis Líquidos de Santa Helena (GO); Terminal Lote 04 do Pátio de Porto Franco (MA); outras áreas para implantação de terminais ao longo da Ferrovia Norte-Sul.</w:t>
            </w:r>
            <w:r w:rsidR="00F314B1">
              <w:rPr>
                <w:rFonts w:asciiTheme="minorHAnsi" w:hAnsiTheme="minorHAnsi" w:cstheme="minorHAnsi"/>
                <w:color w:val="000000"/>
                <w:sz w:val="24"/>
                <w:szCs w:val="24"/>
                <w:lang w:val="pt-PT"/>
              </w:rPr>
              <w:t xml:space="preserve"> </w:t>
            </w:r>
            <w:r w:rsidR="00F314B1">
              <w:t xml:space="preserve"> </w:t>
            </w:r>
          </w:p>
          <w:p w14:paraId="314765E7" w14:textId="12000D41" w:rsidR="00F314B1" w:rsidRDefault="00F314B1" w:rsidP="00F314B1">
            <w:pPr>
              <w:spacing w:before="120" w:after="120"/>
              <w:jc w:val="both"/>
              <w:rPr>
                <w:rFonts w:asciiTheme="minorHAnsi" w:hAnsiTheme="minorHAnsi" w:cstheme="minorHAnsi"/>
                <w:color w:val="000000"/>
                <w:sz w:val="24"/>
                <w:szCs w:val="24"/>
                <w:lang w:val="pt-PT"/>
              </w:rPr>
            </w:pPr>
            <w:r w:rsidRPr="004D12E4">
              <w:rPr>
                <w:rFonts w:asciiTheme="minorHAnsi" w:hAnsiTheme="minorHAnsi" w:cstheme="minorHAnsi"/>
                <w:color w:val="000000"/>
                <w:sz w:val="24"/>
                <w:szCs w:val="24"/>
                <w:lang w:val="pt-PT"/>
              </w:rPr>
              <w:t xml:space="preserve">Em relação aos recursos em 2021, a </w:t>
            </w:r>
            <w:r w:rsidR="00B448C2" w:rsidRPr="004D12E4">
              <w:rPr>
                <w:rFonts w:asciiTheme="minorHAnsi" w:hAnsiTheme="minorHAnsi" w:cstheme="minorHAnsi"/>
                <w:color w:val="000000"/>
                <w:sz w:val="24"/>
                <w:szCs w:val="24"/>
                <w:lang w:val="pt-PT"/>
              </w:rPr>
              <w:t xml:space="preserve">Valec </w:t>
            </w:r>
            <w:r w:rsidRPr="004D12E4">
              <w:rPr>
                <w:rFonts w:asciiTheme="minorHAnsi" w:hAnsiTheme="minorHAnsi" w:cstheme="minorHAnsi"/>
                <w:color w:val="000000"/>
                <w:sz w:val="24"/>
                <w:szCs w:val="24"/>
                <w:lang w:val="pt-PT"/>
              </w:rPr>
              <w:t xml:space="preserve">recebeu R$ 612,8 milhões em recursos totais, dos quais, destacam-se R$435,1 milhões para realização dos empreendimentos ativos. A </w:t>
            </w:r>
            <w:r w:rsidR="00B448C2" w:rsidRPr="004D12E4">
              <w:rPr>
                <w:rFonts w:asciiTheme="minorHAnsi" w:hAnsiTheme="minorHAnsi" w:cstheme="minorHAnsi"/>
                <w:color w:val="000000"/>
                <w:sz w:val="24"/>
                <w:szCs w:val="24"/>
                <w:lang w:val="pt-PT"/>
              </w:rPr>
              <w:t>Valec</w:t>
            </w:r>
            <w:r w:rsidRPr="004D12E4">
              <w:rPr>
                <w:rFonts w:asciiTheme="minorHAnsi" w:hAnsiTheme="minorHAnsi" w:cstheme="minorHAnsi"/>
                <w:color w:val="000000"/>
                <w:sz w:val="24"/>
                <w:szCs w:val="24"/>
                <w:lang w:val="pt-PT"/>
              </w:rPr>
              <w:t>, também, contou com receitas próprias, através do recebimento de aluguéis dos pátios já construídos e em operação, além de participação na subconcessão da FIOL I. Até outubro de 2021, a empresa recebeu R$34,7 milhões de recursos próprios.</w:t>
            </w:r>
            <w:r>
              <w:rPr>
                <w:rFonts w:asciiTheme="minorHAnsi" w:hAnsiTheme="minorHAnsi" w:cstheme="minorHAnsi"/>
                <w:color w:val="000000"/>
                <w:sz w:val="24"/>
                <w:szCs w:val="24"/>
                <w:lang w:val="pt-PT"/>
              </w:rPr>
              <w:t xml:space="preserve"> </w:t>
            </w:r>
            <w:r w:rsidRPr="004D12E4">
              <w:rPr>
                <w:rFonts w:asciiTheme="minorHAnsi" w:hAnsiTheme="minorHAnsi" w:cstheme="minorHAnsi"/>
                <w:color w:val="000000"/>
                <w:sz w:val="24"/>
                <w:szCs w:val="24"/>
                <w:lang w:val="pt-PT"/>
              </w:rPr>
              <w:t xml:space="preserve">Na aplicação dos recursos administrativos, a </w:t>
            </w:r>
            <w:r w:rsidR="00B448C2">
              <w:rPr>
                <w:rFonts w:asciiTheme="minorHAnsi" w:hAnsiTheme="minorHAnsi" w:cstheme="minorHAnsi"/>
                <w:color w:val="000000"/>
                <w:sz w:val="24"/>
                <w:szCs w:val="24"/>
                <w:lang w:val="pt-PT"/>
              </w:rPr>
              <w:t>Valec</w:t>
            </w:r>
            <w:r w:rsidRPr="004D12E4">
              <w:rPr>
                <w:rFonts w:asciiTheme="minorHAnsi" w:hAnsiTheme="minorHAnsi" w:cstheme="minorHAnsi"/>
                <w:color w:val="000000"/>
                <w:sz w:val="24"/>
                <w:szCs w:val="24"/>
                <w:lang w:val="pt-PT"/>
              </w:rPr>
              <w:t xml:space="preserve"> prosseguiu com a tendência de redução de despesas que teve em 2020, consolidando a economia adicional para 2021, de R$ 4,2 milhões. Cabe destaque, a organização do acervo documental da empresa, que além de preservar a memória ferroviária sob posse da </w:t>
            </w:r>
            <w:r w:rsidR="00B448C2">
              <w:rPr>
                <w:rFonts w:asciiTheme="minorHAnsi" w:hAnsiTheme="minorHAnsi" w:cstheme="minorHAnsi"/>
                <w:color w:val="000000"/>
                <w:sz w:val="24"/>
                <w:szCs w:val="24"/>
                <w:lang w:val="pt-PT"/>
              </w:rPr>
              <w:t>Valec</w:t>
            </w:r>
            <w:r w:rsidRPr="004D12E4">
              <w:rPr>
                <w:rFonts w:asciiTheme="minorHAnsi" w:hAnsiTheme="minorHAnsi" w:cstheme="minorHAnsi"/>
                <w:color w:val="000000"/>
                <w:sz w:val="24"/>
                <w:szCs w:val="24"/>
                <w:lang w:val="pt-PT"/>
              </w:rPr>
              <w:t xml:space="preserve"> (50 anos em fevereiro/2022), evidencia o engajamento da Estatal com a inclusão social, realizando o trabalho através de uma cooperativa que capacita e coloca no mercado de trabalho de pessoas com deficiência auditiva, inclusive, difundindo o conhecimento da Língua Brasileira de Sinais - LIBRAS.</w:t>
            </w:r>
            <w:r>
              <w:rPr>
                <w:rFonts w:asciiTheme="minorHAnsi" w:hAnsiTheme="minorHAnsi" w:cstheme="minorHAnsi"/>
                <w:color w:val="000000"/>
                <w:sz w:val="24"/>
                <w:szCs w:val="24"/>
                <w:lang w:val="pt-PT"/>
              </w:rPr>
              <w:t xml:space="preserve"> </w:t>
            </w:r>
            <w:r w:rsidRPr="004D12E4">
              <w:rPr>
                <w:rFonts w:asciiTheme="minorHAnsi" w:hAnsiTheme="minorHAnsi" w:cstheme="minorHAnsi"/>
                <w:color w:val="000000"/>
                <w:sz w:val="24"/>
                <w:szCs w:val="24"/>
                <w:lang w:val="pt-PT"/>
              </w:rPr>
              <w:t xml:space="preserve">Importante ressaltar que, nos últimos anos, a </w:t>
            </w:r>
            <w:r w:rsidR="00B448C2">
              <w:rPr>
                <w:rFonts w:asciiTheme="minorHAnsi" w:hAnsiTheme="minorHAnsi" w:cstheme="minorHAnsi"/>
                <w:color w:val="000000"/>
                <w:sz w:val="24"/>
                <w:szCs w:val="24"/>
                <w:lang w:val="pt-PT"/>
              </w:rPr>
              <w:t>Valec</w:t>
            </w:r>
            <w:r w:rsidRPr="004D12E4">
              <w:rPr>
                <w:rFonts w:asciiTheme="minorHAnsi" w:hAnsiTheme="minorHAnsi" w:cstheme="minorHAnsi"/>
                <w:color w:val="000000"/>
                <w:sz w:val="24"/>
                <w:szCs w:val="24"/>
                <w:lang w:val="pt-PT"/>
              </w:rPr>
              <w:t xml:space="preserve"> vem atuando de maneira a reduzir o custo da folha de pagamento, através de Programas de Demissão Voluntária(PDV) e redução da estrutura organizacional.  A empresa possuía 774 empregados em 2018, para os atuais 629 empregados, em 2021.</w:t>
            </w:r>
            <w:r>
              <w:rPr>
                <w:rFonts w:asciiTheme="minorHAnsi" w:hAnsiTheme="minorHAnsi" w:cstheme="minorHAnsi"/>
                <w:color w:val="000000"/>
                <w:sz w:val="24"/>
                <w:szCs w:val="24"/>
                <w:lang w:val="pt-PT"/>
              </w:rPr>
              <w:t xml:space="preserve"> </w:t>
            </w:r>
            <w:r w:rsidRPr="004D12E4">
              <w:rPr>
                <w:rFonts w:asciiTheme="minorHAnsi" w:hAnsiTheme="minorHAnsi" w:cstheme="minorHAnsi"/>
                <w:color w:val="000000"/>
                <w:sz w:val="24"/>
                <w:szCs w:val="24"/>
                <w:lang w:val="pt-PT"/>
              </w:rPr>
              <w:t xml:space="preserve">Assim, verifica-se uma redução do custo efetivo da folha de pagamento de 187,2 milhões em 2018, para atuais, 113,8 milhões. </w:t>
            </w:r>
          </w:p>
          <w:p w14:paraId="4510F5EC" w14:textId="1AF294A6" w:rsidR="00F314B1" w:rsidRPr="00252D7B" w:rsidRDefault="00F314B1" w:rsidP="00F314B1">
            <w:pPr>
              <w:spacing w:before="120" w:after="120"/>
              <w:jc w:val="both"/>
              <w:rPr>
                <w:rFonts w:asciiTheme="minorHAnsi" w:hAnsiTheme="minorHAnsi" w:cstheme="minorHAnsi"/>
                <w:i/>
                <w:iCs/>
                <w:sz w:val="24"/>
                <w:szCs w:val="24"/>
              </w:rPr>
            </w:pPr>
            <w:r w:rsidRPr="00252D7B">
              <w:rPr>
                <w:rStyle w:val="normaltextrun"/>
                <w:rFonts w:asciiTheme="minorHAnsi" w:hAnsiTheme="minorHAnsi" w:cstheme="minorHAnsi"/>
                <w:color w:val="000000"/>
                <w:sz w:val="24"/>
                <w:szCs w:val="24"/>
              </w:rPr>
              <w:t xml:space="preserve">Mantendo o modelo de gestão que se baseia nos pilares Tecnologia e Inovação; Receitas e Novos Negócios; Comunicação; e Sinergia, a Diretoria Executiva emitiu diretrizes que alinham a empresa aos programas do Ministério da Infraestrutura (MINFRA).  A Valec, por intermédio de sua Diretoria de Empreendimentos, está envolvida na construção da Ferrovia de Integração Oeste-Leste (FIOL 2) e na fiscalização das obras da Ferrovia de Integração Centro-Oeste (FICO).  Destaca-se, neste contexto, o trabalho desenvolvido pela Diretoria de Administração e Finanças na viabilização do investimento cruzado, uma inovação idealizada pelo próprio MINFRA, que viabilizou a construção da FICO com capital privado, que por sua vez trouxe enormes desafios </w:t>
            </w:r>
            <w:r w:rsidRPr="00252D7B">
              <w:rPr>
                <w:rStyle w:val="normaltextrun"/>
                <w:rFonts w:asciiTheme="minorHAnsi" w:hAnsiTheme="minorHAnsi" w:cstheme="minorHAnsi"/>
                <w:color w:val="000000"/>
                <w:sz w:val="24"/>
                <w:szCs w:val="24"/>
              </w:rPr>
              <w:lastRenderedPageBreak/>
              <w:t>administrativos e contábeis.  Em outra direção, ressalta-se o trabalho desenvolvido pela Diretoria de Negócios, não só na fiscalização e acompanhamento da operação de Ferrovia Norte-Sul (FNS) e seus terminais, como também na crescente inserção da empresa no mercado, tendo como pano de fundo o Programa de Autorizações Ferroviárias, Pro Trilhos - criado por meio da Medida Provisória nº 1.065/21, que instaura o instituto da outorga por autorização para o setor ferroviário, permitindo a livre iniciativa no mercado ferroviário. A adesão ao Programa de Prevenção à Corrupção, do Ministério da Infraestrutura, já trouxe frutos e permitiu a seleção de quadros experientes e capacitados, fortalecendo a cultura de integridade na empresa. Muito foi feito, mas novos projetos precisam ser planejados e conduzidos, com o entendimento que o esforço atual garantirá o reconhecimento da Valec pela sociedade, que nos trará orgulho e gratidão, aos termos a oportunidade de estarmos presente neste momento histórico de revolução do modal ferroviário no país.”</w:t>
            </w:r>
            <w:r w:rsidRPr="00252D7B">
              <w:rPr>
                <w:rFonts w:asciiTheme="minorHAnsi" w:hAnsiTheme="minorHAnsi" w:cstheme="minorHAnsi"/>
                <w:sz w:val="24"/>
                <w:szCs w:val="24"/>
              </w:rPr>
              <w:t>.</w:t>
            </w:r>
            <w:r w:rsidRPr="00252D7B">
              <w:rPr>
                <w:rFonts w:asciiTheme="minorHAnsi" w:hAnsiTheme="minorHAnsi" w:cstheme="minorHAnsi"/>
                <w:i/>
                <w:iCs/>
                <w:sz w:val="24"/>
                <w:szCs w:val="24"/>
              </w:rPr>
              <w:t xml:space="preserve">                              </w:t>
            </w:r>
          </w:p>
          <w:p w14:paraId="3D8A647B" w14:textId="6E0F157E" w:rsidR="00F314B1" w:rsidRPr="00252D7B" w:rsidRDefault="00F314B1" w:rsidP="00F314B1">
            <w:pPr>
              <w:spacing w:before="120" w:after="120"/>
              <w:jc w:val="both"/>
              <w:rPr>
                <w:rFonts w:asciiTheme="minorHAnsi" w:hAnsiTheme="minorHAnsi" w:cstheme="minorHAnsi"/>
                <w:i/>
                <w:iCs/>
                <w:sz w:val="24"/>
                <w:szCs w:val="24"/>
              </w:rPr>
            </w:pPr>
            <w:r w:rsidRPr="00252D7B">
              <w:rPr>
                <w:rFonts w:asciiTheme="minorHAnsi" w:hAnsiTheme="minorHAnsi" w:cstheme="minorHAnsi"/>
                <w:i/>
                <w:iCs/>
                <w:sz w:val="24"/>
                <w:szCs w:val="24"/>
              </w:rPr>
              <w:t xml:space="preserve">                                        </w:t>
            </w:r>
            <w:r>
              <w:rPr>
                <w:rFonts w:asciiTheme="minorHAnsi" w:hAnsiTheme="minorHAnsi" w:cstheme="minorHAnsi"/>
                <w:i/>
                <w:iCs/>
                <w:sz w:val="24"/>
                <w:szCs w:val="24"/>
              </w:rPr>
              <w:t xml:space="preserve">                             </w:t>
            </w:r>
            <w:r w:rsidRPr="00252D7B">
              <w:rPr>
                <w:rFonts w:asciiTheme="minorHAnsi" w:hAnsiTheme="minorHAnsi" w:cstheme="minorHAnsi"/>
                <w:i/>
                <w:iCs/>
                <w:sz w:val="24"/>
                <w:szCs w:val="24"/>
              </w:rPr>
              <w:t>André Kuhn</w:t>
            </w:r>
            <w:r w:rsidRPr="00252D7B">
              <w:rPr>
                <w:rStyle w:val="normaltextrun"/>
                <w:rFonts w:asciiTheme="minorHAnsi" w:hAnsiTheme="minorHAnsi" w:cstheme="minorHAnsi"/>
                <w:color w:val="000000"/>
                <w:sz w:val="24"/>
                <w:szCs w:val="24"/>
              </w:rPr>
              <w:t xml:space="preserve"> </w:t>
            </w:r>
          </w:p>
          <w:p w14:paraId="4BACC93E" w14:textId="16AA70CC" w:rsidR="002E1510" w:rsidRPr="00252D7B" w:rsidRDefault="002E1510" w:rsidP="00212197">
            <w:pPr>
              <w:widowControl/>
              <w:autoSpaceDE/>
              <w:autoSpaceDN/>
              <w:spacing w:before="120" w:after="120" w:line="259" w:lineRule="auto"/>
              <w:ind w:firstLine="2007"/>
              <w:rPr>
                <w:rFonts w:asciiTheme="minorHAnsi" w:hAnsiTheme="minorHAnsi" w:cstheme="minorHAnsi"/>
                <w:i/>
                <w:iCs/>
                <w:sz w:val="24"/>
                <w:szCs w:val="24"/>
              </w:rPr>
            </w:pPr>
          </w:p>
        </w:tc>
      </w:tr>
    </w:tbl>
    <w:p w14:paraId="722D7943" w14:textId="5592066F" w:rsidR="00502D5A" w:rsidRPr="00252D7B" w:rsidRDefault="00502D5A">
      <w:pPr>
        <w:widowControl/>
        <w:autoSpaceDE/>
        <w:autoSpaceDN/>
        <w:spacing w:after="160" w:line="259" w:lineRule="auto"/>
        <w:rPr>
          <w:rFonts w:asciiTheme="minorHAnsi" w:hAnsiTheme="minorHAnsi" w:cstheme="minorHAnsi"/>
          <w:b/>
          <w:color w:val="323E4F" w:themeColor="text2" w:themeShade="BF"/>
          <w:w w:val="110"/>
          <w:sz w:val="40"/>
          <w:szCs w:val="40"/>
        </w:rPr>
      </w:pPr>
      <w:r w:rsidRPr="00252D7B">
        <w:rPr>
          <w:rFonts w:asciiTheme="minorHAnsi" w:hAnsiTheme="minorHAnsi" w:cstheme="minorHAnsi"/>
          <w:b/>
          <w:color w:val="323E4F" w:themeColor="text2" w:themeShade="BF"/>
          <w:w w:val="110"/>
          <w:sz w:val="40"/>
          <w:szCs w:val="40"/>
        </w:rPr>
        <w:lastRenderedPageBreak/>
        <w:br w:type="page"/>
      </w:r>
    </w:p>
    <w:sdt>
      <w:sdtPr>
        <w:rPr>
          <w:rFonts w:asciiTheme="minorHAnsi" w:eastAsia="Calibri" w:hAnsiTheme="minorHAnsi" w:cstheme="minorHAnsi"/>
          <w:color w:val="auto"/>
          <w:sz w:val="22"/>
          <w:szCs w:val="22"/>
          <w:lang w:eastAsia="en-US" w:bidi="en-US"/>
        </w:rPr>
        <w:id w:val="-1571028981"/>
        <w:docPartObj>
          <w:docPartGallery w:val="Table of Contents"/>
          <w:docPartUnique/>
        </w:docPartObj>
      </w:sdtPr>
      <w:sdtEndPr>
        <w:rPr>
          <w:b/>
          <w:bCs/>
        </w:rPr>
      </w:sdtEndPr>
      <w:sdtContent>
        <w:p w14:paraId="1A92F5D9" w14:textId="3C101CD2" w:rsidR="00BE6714" w:rsidRPr="00252D7B" w:rsidRDefault="00BE6714" w:rsidP="002E1510">
          <w:pPr>
            <w:pStyle w:val="CabealhodoSumrio"/>
            <w:numPr>
              <w:ilvl w:val="0"/>
              <w:numId w:val="0"/>
            </w:numPr>
            <w:ind w:left="432"/>
            <w:rPr>
              <w:rStyle w:val="Ttulo1Char"/>
              <w:rFonts w:asciiTheme="minorHAnsi" w:hAnsiTheme="minorHAnsi" w:cstheme="minorHAnsi"/>
            </w:rPr>
          </w:pPr>
          <w:r w:rsidRPr="00252D7B">
            <w:rPr>
              <w:rStyle w:val="Ttulo1Char"/>
              <w:rFonts w:asciiTheme="minorHAnsi" w:hAnsiTheme="minorHAnsi" w:cstheme="minorHAnsi"/>
            </w:rPr>
            <w:t>Sumário</w:t>
          </w:r>
        </w:p>
        <w:p w14:paraId="73016F82" w14:textId="2697C335" w:rsidR="00B572AE" w:rsidRDefault="00EC4D9A">
          <w:pPr>
            <w:pStyle w:val="Sumrio1"/>
            <w:tabs>
              <w:tab w:val="right" w:leader="dot" w:pos="9736"/>
            </w:tabs>
            <w:rPr>
              <w:rFonts w:asciiTheme="minorHAnsi" w:eastAsiaTheme="minorEastAsia" w:hAnsiTheme="minorHAnsi" w:cstheme="minorBidi"/>
              <w:b w:val="0"/>
              <w:bCs w:val="0"/>
              <w:caps w:val="0"/>
              <w:noProof/>
              <w:sz w:val="22"/>
              <w:szCs w:val="22"/>
              <w:lang w:eastAsia="pt-BR" w:bidi="ar-SA"/>
            </w:rPr>
          </w:pPr>
          <w:r w:rsidRPr="00252D7B">
            <w:rPr>
              <w:rFonts w:asciiTheme="minorHAnsi" w:hAnsiTheme="minorHAnsi" w:cstheme="minorHAnsi"/>
              <w:b w:val="0"/>
              <w:bCs w:val="0"/>
              <w:caps w:val="0"/>
            </w:rPr>
            <w:fldChar w:fldCharType="begin"/>
          </w:r>
          <w:r w:rsidRPr="00252D7B">
            <w:rPr>
              <w:rFonts w:asciiTheme="minorHAnsi" w:hAnsiTheme="minorHAnsi" w:cstheme="minorHAnsi"/>
              <w:b w:val="0"/>
              <w:bCs w:val="0"/>
              <w:caps w:val="0"/>
            </w:rPr>
            <w:instrText xml:space="preserve"> TOC \o "1-5" \h \z \u </w:instrText>
          </w:r>
          <w:r w:rsidRPr="00252D7B">
            <w:rPr>
              <w:rFonts w:asciiTheme="minorHAnsi" w:hAnsiTheme="minorHAnsi" w:cstheme="minorHAnsi"/>
              <w:b w:val="0"/>
              <w:bCs w:val="0"/>
              <w:caps w:val="0"/>
            </w:rPr>
            <w:fldChar w:fldCharType="separate"/>
          </w:r>
          <w:hyperlink w:anchor="_Toc103680497" w:history="1">
            <w:r w:rsidR="00B572AE" w:rsidRPr="00764BE3">
              <w:rPr>
                <w:rStyle w:val="Hyperlink"/>
                <w:rFonts w:cstheme="minorHAnsi"/>
                <w:noProof/>
              </w:rPr>
              <w:t>Índice de Tabelas</w:t>
            </w:r>
            <w:r w:rsidR="00B572AE">
              <w:rPr>
                <w:noProof/>
                <w:webHidden/>
              </w:rPr>
              <w:tab/>
            </w:r>
            <w:r w:rsidR="00B572AE">
              <w:rPr>
                <w:noProof/>
                <w:webHidden/>
              </w:rPr>
              <w:fldChar w:fldCharType="begin"/>
            </w:r>
            <w:r w:rsidR="00B572AE">
              <w:rPr>
                <w:noProof/>
                <w:webHidden/>
              </w:rPr>
              <w:instrText xml:space="preserve"> PAGEREF _Toc103680497 \h </w:instrText>
            </w:r>
            <w:r w:rsidR="00B572AE">
              <w:rPr>
                <w:noProof/>
                <w:webHidden/>
              </w:rPr>
            </w:r>
            <w:r w:rsidR="00B572AE">
              <w:rPr>
                <w:noProof/>
                <w:webHidden/>
              </w:rPr>
              <w:fldChar w:fldCharType="separate"/>
            </w:r>
            <w:r w:rsidR="00B572AE">
              <w:rPr>
                <w:noProof/>
                <w:webHidden/>
              </w:rPr>
              <w:t>9</w:t>
            </w:r>
            <w:r w:rsidR="00B572AE">
              <w:rPr>
                <w:noProof/>
                <w:webHidden/>
              </w:rPr>
              <w:fldChar w:fldCharType="end"/>
            </w:r>
          </w:hyperlink>
        </w:p>
        <w:p w14:paraId="191FBED9" w14:textId="5F941772" w:rsidR="00B572AE" w:rsidRDefault="008A3D44">
          <w:pPr>
            <w:pStyle w:val="Sumrio1"/>
            <w:tabs>
              <w:tab w:val="right" w:leader="dot" w:pos="9736"/>
            </w:tabs>
            <w:rPr>
              <w:rFonts w:asciiTheme="minorHAnsi" w:eastAsiaTheme="minorEastAsia" w:hAnsiTheme="minorHAnsi" w:cstheme="minorBidi"/>
              <w:b w:val="0"/>
              <w:bCs w:val="0"/>
              <w:caps w:val="0"/>
              <w:noProof/>
              <w:sz w:val="22"/>
              <w:szCs w:val="22"/>
              <w:lang w:eastAsia="pt-BR" w:bidi="ar-SA"/>
            </w:rPr>
          </w:pPr>
          <w:hyperlink w:anchor="_Toc103680498" w:history="1">
            <w:r w:rsidR="00B572AE" w:rsidRPr="00764BE3">
              <w:rPr>
                <w:rStyle w:val="Hyperlink"/>
                <w:rFonts w:cstheme="minorHAnsi"/>
                <w:noProof/>
              </w:rPr>
              <w:t>Índice de Quadros</w:t>
            </w:r>
            <w:r w:rsidR="00B572AE">
              <w:rPr>
                <w:noProof/>
                <w:webHidden/>
              </w:rPr>
              <w:tab/>
            </w:r>
            <w:r w:rsidR="00B572AE">
              <w:rPr>
                <w:noProof/>
                <w:webHidden/>
              </w:rPr>
              <w:fldChar w:fldCharType="begin"/>
            </w:r>
            <w:r w:rsidR="00B572AE">
              <w:rPr>
                <w:noProof/>
                <w:webHidden/>
              </w:rPr>
              <w:instrText xml:space="preserve"> PAGEREF _Toc103680498 \h </w:instrText>
            </w:r>
            <w:r w:rsidR="00B572AE">
              <w:rPr>
                <w:noProof/>
                <w:webHidden/>
              </w:rPr>
            </w:r>
            <w:r w:rsidR="00B572AE">
              <w:rPr>
                <w:noProof/>
                <w:webHidden/>
              </w:rPr>
              <w:fldChar w:fldCharType="separate"/>
            </w:r>
            <w:r w:rsidR="00B572AE">
              <w:rPr>
                <w:noProof/>
                <w:webHidden/>
              </w:rPr>
              <w:t>11</w:t>
            </w:r>
            <w:r w:rsidR="00B572AE">
              <w:rPr>
                <w:noProof/>
                <w:webHidden/>
              </w:rPr>
              <w:fldChar w:fldCharType="end"/>
            </w:r>
          </w:hyperlink>
        </w:p>
        <w:p w14:paraId="71E93E9B" w14:textId="0F7AAA03" w:rsidR="00B572AE" w:rsidRDefault="008A3D44">
          <w:pPr>
            <w:pStyle w:val="Sumrio1"/>
            <w:tabs>
              <w:tab w:val="right" w:leader="dot" w:pos="9736"/>
            </w:tabs>
            <w:rPr>
              <w:rFonts w:asciiTheme="minorHAnsi" w:eastAsiaTheme="minorEastAsia" w:hAnsiTheme="minorHAnsi" w:cstheme="minorBidi"/>
              <w:b w:val="0"/>
              <w:bCs w:val="0"/>
              <w:caps w:val="0"/>
              <w:noProof/>
              <w:sz w:val="22"/>
              <w:szCs w:val="22"/>
              <w:lang w:eastAsia="pt-BR" w:bidi="ar-SA"/>
            </w:rPr>
          </w:pPr>
          <w:hyperlink w:anchor="_Toc103680499" w:history="1">
            <w:r w:rsidR="00B572AE" w:rsidRPr="00764BE3">
              <w:rPr>
                <w:rStyle w:val="Hyperlink"/>
                <w:rFonts w:cstheme="minorHAnsi"/>
                <w:noProof/>
              </w:rPr>
              <w:t>Índice de Figuras</w:t>
            </w:r>
            <w:r w:rsidR="00B572AE">
              <w:rPr>
                <w:noProof/>
                <w:webHidden/>
              </w:rPr>
              <w:tab/>
            </w:r>
            <w:r w:rsidR="00B572AE">
              <w:rPr>
                <w:noProof/>
                <w:webHidden/>
              </w:rPr>
              <w:fldChar w:fldCharType="begin"/>
            </w:r>
            <w:r w:rsidR="00B572AE">
              <w:rPr>
                <w:noProof/>
                <w:webHidden/>
              </w:rPr>
              <w:instrText xml:space="preserve"> PAGEREF _Toc103680499 \h </w:instrText>
            </w:r>
            <w:r w:rsidR="00B572AE">
              <w:rPr>
                <w:noProof/>
                <w:webHidden/>
              </w:rPr>
            </w:r>
            <w:r w:rsidR="00B572AE">
              <w:rPr>
                <w:noProof/>
                <w:webHidden/>
              </w:rPr>
              <w:fldChar w:fldCharType="separate"/>
            </w:r>
            <w:r w:rsidR="00B572AE">
              <w:rPr>
                <w:noProof/>
                <w:webHidden/>
              </w:rPr>
              <w:t>12</w:t>
            </w:r>
            <w:r w:rsidR="00B572AE">
              <w:rPr>
                <w:noProof/>
                <w:webHidden/>
              </w:rPr>
              <w:fldChar w:fldCharType="end"/>
            </w:r>
          </w:hyperlink>
        </w:p>
        <w:p w14:paraId="1C13ADDB" w14:textId="3F02B972" w:rsidR="00B572AE" w:rsidRDefault="008A3D44">
          <w:pPr>
            <w:pStyle w:val="Sumrio1"/>
            <w:tabs>
              <w:tab w:val="right" w:leader="dot" w:pos="9736"/>
            </w:tabs>
            <w:rPr>
              <w:rFonts w:asciiTheme="minorHAnsi" w:eastAsiaTheme="minorEastAsia" w:hAnsiTheme="minorHAnsi" w:cstheme="minorBidi"/>
              <w:b w:val="0"/>
              <w:bCs w:val="0"/>
              <w:caps w:val="0"/>
              <w:noProof/>
              <w:sz w:val="22"/>
              <w:szCs w:val="22"/>
              <w:lang w:eastAsia="pt-BR" w:bidi="ar-SA"/>
            </w:rPr>
          </w:pPr>
          <w:hyperlink w:anchor="_Toc103680500" w:history="1">
            <w:r w:rsidR="00B572AE" w:rsidRPr="00764BE3">
              <w:rPr>
                <w:rStyle w:val="Hyperlink"/>
                <w:rFonts w:cstheme="minorHAnsi"/>
                <w:noProof/>
              </w:rPr>
              <w:t>Índice de Gráficos</w:t>
            </w:r>
            <w:r w:rsidR="00B572AE">
              <w:rPr>
                <w:noProof/>
                <w:webHidden/>
              </w:rPr>
              <w:tab/>
            </w:r>
            <w:r w:rsidR="00B572AE">
              <w:rPr>
                <w:noProof/>
                <w:webHidden/>
              </w:rPr>
              <w:fldChar w:fldCharType="begin"/>
            </w:r>
            <w:r w:rsidR="00B572AE">
              <w:rPr>
                <w:noProof/>
                <w:webHidden/>
              </w:rPr>
              <w:instrText xml:space="preserve"> PAGEREF _Toc103680500 \h </w:instrText>
            </w:r>
            <w:r w:rsidR="00B572AE">
              <w:rPr>
                <w:noProof/>
                <w:webHidden/>
              </w:rPr>
            </w:r>
            <w:r w:rsidR="00B572AE">
              <w:rPr>
                <w:noProof/>
                <w:webHidden/>
              </w:rPr>
              <w:fldChar w:fldCharType="separate"/>
            </w:r>
            <w:r w:rsidR="00B572AE">
              <w:rPr>
                <w:noProof/>
                <w:webHidden/>
              </w:rPr>
              <w:t>13</w:t>
            </w:r>
            <w:r w:rsidR="00B572AE">
              <w:rPr>
                <w:noProof/>
                <w:webHidden/>
              </w:rPr>
              <w:fldChar w:fldCharType="end"/>
            </w:r>
          </w:hyperlink>
        </w:p>
        <w:p w14:paraId="3A01739D" w14:textId="1ED936A0" w:rsidR="00B572AE" w:rsidRDefault="008A3D44">
          <w:pPr>
            <w:pStyle w:val="Sumrio1"/>
            <w:tabs>
              <w:tab w:val="right" w:leader="dot" w:pos="9736"/>
            </w:tabs>
            <w:rPr>
              <w:rFonts w:asciiTheme="minorHAnsi" w:eastAsiaTheme="minorEastAsia" w:hAnsiTheme="minorHAnsi" w:cstheme="minorBidi"/>
              <w:b w:val="0"/>
              <w:bCs w:val="0"/>
              <w:caps w:val="0"/>
              <w:noProof/>
              <w:sz w:val="22"/>
              <w:szCs w:val="22"/>
              <w:lang w:eastAsia="pt-BR" w:bidi="ar-SA"/>
            </w:rPr>
          </w:pPr>
          <w:hyperlink w:anchor="_Toc103680501" w:history="1">
            <w:r w:rsidR="00B572AE" w:rsidRPr="00764BE3">
              <w:rPr>
                <w:rStyle w:val="Hyperlink"/>
                <w:rFonts w:cstheme="minorHAnsi"/>
                <w:noProof/>
              </w:rPr>
              <w:t>Lista de Siglas</w:t>
            </w:r>
            <w:r w:rsidR="00B572AE">
              <w:rPr>
                <w:noProof/>
                <w:webHidden/>
              </w:rPr>
              <w:tab/>
            </w:r>
            <w:r w:rsidR="00B572AE">
              <w:rPr>
                <w:noProof/>
                <w:webHidden/>
              </w:rPr>
              <w:fldChar w:fldCharType="begin"/>
            </w:r>
            <w:r w:rsidR="00B572AE">
              <w:rPr>
                <w:noProof/>
                <w:webHidden/>
              </w:rPr>
              <w:instrText xml:space="preserve"> PAGEREF _Toc103680501 \h </w:instrText>
            </w:r>
            <w:r w:rsidR="00B572AE">
              <w:rPr>
                <w:noProof/>
                <w:webHidden/>
              </w:rPr>
            </w:r>
            <w:r w:rsidR="00B572AE">
              <w:rPr>
                <w:noProof/>
                <w:webHidden/>
              </w:rPr>
              <w:fldChar w:fldCharType="separate"/>
            </w:r>
            <w:r w:rsidR="00B572AE">
              <w:rPr>
                <w:noProof/>
                <w:webHidden/>
              </w:rPr>
              <w:t>14</w:t>
            </w:r>
            <w:r w:rsidR="00B572AE">
              <w:rPr>
                <w:noProof/>
                <w:webHidden/>
              </w:rPr>
              <w:fldChar w:fldCharType="end"/>
            </w:r>
          </w:hyperlink>
        </w:p>
        <w:p w14:paraId="64BD2BB2" w14:textId="428EC8D4" w:rsidR="00B572AE" w:rsidRDefault="008A3D44">
          <w:pPr>
            <w:pStyle w:val="Sumrio1"/>
            <w:tabs>
              <w:tab w:val="right" w:leader="dot" w:pos="9736"/>
            </w:tabs>
            <w:rPr>
              <w:rFonts w:asciiTheme="minorHAnsi" w:eastAsiaTheme="minorEastAsia" w:hAnsiTheme="minorHAnsi" w:cstheme="minorBidi"/>
              <w:b w:val="0"/>
              <w:bCs w:val="0"/>
              <w:caps w:val="0"/>
              <w:noProof/>
              <w:sz w:val="22"/>
              <w:szCs w:val="22"/>
              <w:lang w:eastAsia="pt-BR" w:bidi="ar-SA"/>
            </w:rPr>
          </w:pPr>
          <w:hyperlink w:anchor="_Toc103680502" w:history="1">
            <w:r w:rsidR="00B572AE" w:rsidRPr="00764BE3">
              <w:rPr>
                <w:rStyle w:val="Hyperlink"/>
                <w:rFonts w:cstheme="minorHAnsi"/>
                <w:noProof/>
              </w:rPr>
              <w:t>Determinação da Materialidade das Informações</w:t>
            </w:r>
            <w:r w:rsidR="00B572AE">
              <w:rPr>
                <w:noProof/>
                <w:webHidden/>
              </w:rPr>
              <w:tab/>
            </w:r>
            <w:r w:rsidR="00B572AE">
              <w:rPr>
                <w:noProof/>
                <w:webHidden/>
              </w:rPr>
              <w:fldChar w:fldCharType="begin"/>
            </w:r>
            <w:r w:rsidR="00B572AE">
              <w:rPr>
                <w:noProof/>
                <w:webHidden/>
              </w:rPr>
              <w:instrText xml:space="preserve"> PAGEREF _Toc103680502 \h </w:instrText>
            </w:r>
            <w:r w:rsidR="00B572AE">
              <w:rPr>
                <w:noProof/>
                <w:webHidden/>
              </w:rPr>
            </w:r>
            <w:r w:rsidR="00B572AE">
              <w:rPr>
                <w:noProof/>
                <w:webHidden/>
              </w:rPr>
              <w:fldChar w:fldCharType="separate"/>
            </w:r>
            <w:r w:rsidR="00B572AE">
              <w:rPr>
                <w:noProof/>
                <w:webHidden/>
              </w:rPr>
              <w:t>21</w:t>
            </w:r>
            <w:r w:rsidR="00B572AE">
              <w:rPr>
                <w:noProof/>
                <w:webHidden/>
              </w:rPr>
              <w:fldChar w:fldCharType="end"/>
            </w:r>
          </w:hyperlink>
        </w:p>
        <w:p w14:paraId="48422773" w14:textId="1CA74C35" w:rsidR="00B572AE" w:rsidRDefault="008A3D44">
          <w:pPr>
            <w:pStyle w:val="Sumrio1"/>
            <w:tabs>
              <w:tab w:val="left" w:pos="440"/>
              <w:tab w:val="right" w:leader="dot" w:pos="9736"/>
            </w:tabs>
            <w:rPr>
              <w:rFonts w:asciiTheme="minorHAnsi" w:eastAsiaTheme="minorEastAsia" w:hAnsiTheme="minorHAnsi" w:cstheme="minorBidi"/>
              <w:b w:val="0"/>
              <w:bCs w:val="0"/>
              <w:caps w:val="0"/>
              <w:noProof/>
              <w:sz w:val="22"/>
              <w:szCs w:val="22"/>
              <w:lang w:eastAsia="pt-BR" w:bidi="ar-SA"/>
            </w:rPr>
          </w:pPr>
          <w:hyperlink w:anchor="_Toc103680503" w:history="1">
            <w:r w:rsidR="00B572AE" w:rsidRPr="00764BE3">
              <w:rPr>
                <w:rStyle w:val="Hyperlink"/>
                <w:rFonts w:cstheme="minorHAnsi"/>
                <w:noProof/>
              </w:rPr>
              <w:t>1</w:t>
            </w:r>
            <w:r w:rsidR="00B572AE">
              <w:rPr>
                <w:rFonts w:asciiTheme="minorHAnsi" w:eastAsiaTheme="minorEastAsia" w:hAnsiTheme="minorHAnsi" w:cstheme="minorBidi"/>
                <w:b w:val="0"/>
                <w:bCs w:val="0"/>
                <w:caps w:val="0"/>
                <w:noProof/>
                <w:sz w:val="22"/>
                <w:szCs w:val="22"/>
                <w:lang w:eastAsia="pt-BR" w:bidi="ar-SA"/>
              </w:rPr>
              <w:tab/>
            </w:r>
            <w:r w:rsidR="00B572AE" w:rsidRPr="00764BE3">
              <w:rPr>
                <w:rStyle w:val="Hyperlink"/>
                <w:rFonts w:cstheme="minorHAnsi"/>
                <w:noProof/>
              </w:rPr>
              <w:t>VISÃO GERAL ORGANIZACIONAL E AMBIENTE EXTERNO</w:t>
            </w:r>
            <w:r w:rsidR="00B572AE">
              <w:rPr>
                <w:noProof/>
                <w:webHidden/>
              </w:rPr>
              <w:tab/>
            </w:r>
            <w:r w:rsidR="00B572AE">
              <w:rPr>
                <w:noProof/>
                <w:webHidden/>
              </w:rPr>
              <w:fldChar w:fldCharType="begin"/>
            </w:r>
            <w:r w:rsidR="00B572AE">
              <w:rPr>
                <w:noProof/>
                <w:webHidden/>
              </w:rPr>
              <w:instrText xml:space="preserve"> PAGEREF _Toc103680503 \h </w:instrText>
            </w:r>
            <w:r w:rsidR="00B572AE">
              <w:rPr>
                <w:noProof/>
                <w:webHidden/>
              </w:rPr>
            </w:r>
            <w:r w:rsidR="00B572AE">
              <w:rPr>
                <w:noProof/>
                <w:webHidden/>
              </w:rPr>
              <w:fldChar w:fldCharType="separate"/>
            </w:r>
            <w:r w:rsidR="00B572AE">
              <w:rPr>
                <w:noProof/>
                <w:webHidden/>
              </w:rPr>
              <w:t>23</w:t>
            </w:r>
            <w:r w:rsidR="00B572AE">
              <w:rPr>
                <w:noProof/>
                <w:webHidden/>
              </w:rPr>
              <w:fldChar w:fldCharType="end"/>
            </w:r>
          </w:hyperlink>
        </w:p>
        <w:p w14:paraId="2CF0542D" w14:textId="2FA051A8" w:rsidR="00B572AE" w:rsidRDefault="008A3D44">
          <w:pPr>
            <w:pStyle w:val="Sumrio2"/>
            <w:tabs>
              <w:tab w:val="left" w:pos="660"/>
              <w:tab w:val="right" w:leader="dot" w:pos="9736"/>
            </w:tabs>
            <w:rPr>
              <w:rFonts w:asciiTheme="minorHAnsi" w:eastAsiaTheme="minorEastAsia" w:hAnsiTheme="minorHAnsi" w:cstheme="minorBidi"/>
              <w:b w:val="0"/>
              <w:bCs w:val="0"/>
              <w:noProof/>
              <w:sz w:val="22"/>
              <w:szCs w:val="22"/>
              <w:lang w:eastAsia="pt-BR" w:bidi="ar-SA"/>
            </w:rPr>
          </w:pPr>
          <w:hyperlink w:anchor="_Toc103680504" w:history="1">
            <w:r w:rsidR="00B572AE" w:rsidRPr="00764BE3">
              <w:rPr>
                <w:rStyle w:val="Hyperlink"/>
                <w:noProof/>
              </w:rPr>
              <w:t>1.1</w:t>
            </w:r>
            <w:r w:rsidR="00B572AE">
              <w:rPr>
                <w:rFonts w:asciiTheme="minorHAnsi" w:eastAsiaTheme="minorEastAsia" w:hAnsiTheme="minorHAnsi" w:cstheme="minorBidi"/>
                <w:b w:val="0"/>
                <w:bCs w:val="0"/>
                <w:noProof/>
                <w:sz w:val="22"/>
                <w:szCs w:val="22"/>
                <w:lang w:eastAsia="pt-BR" w:bidi="ar-SA"/>
              </w:rPr>
              <w:tab/>
            </w:r>
            <w:r w:rsidR="00B572AE" w:rsidRPr="00764BE3">
              <w:rPr>
                <w:rStyle w:val="Hyperlink"/>
                <w:noProof/>
              </w:rPr>
              <w:t>Competências</w:t>
            </w:r>
            <w:r w:rsidR="00B572AE">
              <w:rPr>
                <w:noProof/>
                <w:webHidden/>
              </w:rPr>
              <w:tab/>
            </w:r>
            <w:r w:rsidR="00B572AE">
              <w:rPr>
                <w:noProof/>
                <w:webHidden/>
              </w:rPr>
              <w:fldChar w:fldCharType="begin"/>
            </w:r>
            <w:r w:rsidR="00B572AE">
              <w:rPr>
                <w:noProof/>
                <w:webHidden/>
              </w:rPr>
              <w:instrText xml:space="preserve"> PAGEREF _Toc103680504 \h </w:instrText>
            </w:r>
            <w:r w:rsidR="00B572AE">
              <w:rPr>
                <w:noProof/>
                <w:webHidden/>
              </w:rPr>
            </w:r>
            <w:r w:rsidR="00B572AE">
              <w:rPr>
                <w:noProof/>
                <w:webHidden/>
              </w:rPr>
              <w:fldChar w:fldCharType="separate"/>
            </w:r>
            <w:r w:rsidR="00B572AE">
              <w:rPr>
                <w:noProof/>
                <w:webHidden/>
              </w:rPr>
              <w:t>23</w:t>
            </w:r>
            <w:r w:rsidR="00B572AE">
              <w:rPr>
                <w:noProof/>
                <w:webHidden/>
              </w:rPr>
              <w:fldChar w:fldCharType="end"/>
            </w:r>
          </w:hyperlink>
        </w:p>
        <w:p w14:paraId="1AD9FD52" w14:textId="081272E8"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505" w:history="1">
            <w:r w:rsidR="00B572AE" w:rsidRPr="00764BE3">
              <w:rPr>
                <w:rStyle w:val="Hyperlink"/>
                <w:rFonts w:cstheme="minorHAnsi"/>
                <w:noProof/>
              </w:rPr>
              <w:t>1.1.1</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Principais normas direcionadores de atuação da Valec</w:t>
            </w:r>
            <w:r w:rsidR="00B572AE">
              <w:rPr>
                <w:noProof/>
                <w:webHidden/>
              </w:rPr>
              <w:tab/>
            </w:r>
            <w:r w:rsidR="00B572AE">
              <w:rPr>
                <w:noProof/>
                <w:webHidden/>
              </w:rPr>
              <w:fldChar w:fldCharType="begin"/>
            </w:r>
            <w:r w:rsidR="00B572AE">
              <w:rPr>
                <w:noProof/>
                <w:webHidden/>
              </w:rPr>
              <w:instrText xml:space="preserve"> PAGEREF _Toc103680505 \h </w:instrText>
            </w:r>
            <w:r w:rsidR="00B572AE">
              <w:rPr>
                <w:noProof/>
                <w:webHidden/>
              </w:rPr>
            </w:r>
            <w:r w:rsidR="00B572AE">
              <w:rPr>
                <w:noProof/>
                <w:webHidden/>
              </w:rPr>
              <w:fldChar w:fldCharType="separate"/>
            </w:r>
            <w:r w:rsidR="00B572AE">
              <w:rPr>
                <w:noProof/>
                <w:webHidden/>
              </w:rPr>
              <w:t>24</w:t>
            </w:r>
            <w:r w:rsidR="00B572AE">
              <w:rPr>
                <w:noProof/>
                <w:webHidden/>
              </w:rPr>
              <w:fldChar w:fldCharType="end"/>
            </w:r>
          </w:hyperlink>
        </w:p>
        <w:p w14:paraId="37D7E464" w14:textId="18F4B052" w:rsidR="00B572AE" w:rsidRDefault="008A3D44">
          <w:pPr>
            <w:pStyle w:val="Sumrio2"/>
            <w:tabs>
              <w:tab w:val="left" w:pos="660"/>
              <w:tab w:val="right" w:leader="dot" w:pos="9736"/>
            </w:tabs>
            <w:rPr>
              <w:rFonts w:asciiTheme="minorHAnsi" w:eastAsiaTheme="minorEastAsia" w:hAnsiTheme="minorHAnsi" w:cstheme="minorBidi"/>
              <w:b w:val="0"/>
              <w:bCs w:val="0"/>
              <w:noProof/>
              <w:sz w:val="22"/>
              <w:szCs w:val="22"/>
              <w:lang w:eastAsia="pt-BR" w:bidi="ar-SA"/>
            </w:rPr>
          </w:pPr>
          <w:hyperlink w:anchor="_Toc103680506" w:history="1">
            <w:r w:rsidR="00B572AE" w:rsidRPr="00764BE3">
              <w:rPr>
                <w:rStyle w:val="Hyperlink"/>
                <w:noProof/>
              </w:rPr>
              <w:t>1.2</w:t>
            </w:r>
            <w:r w:rsidR="00B572AE">
              <w:rPr>
                <w:rFonts w:asciiTheme="minorHAnsi" w:eastAsiaTheme="minorEastAsia" w:hAnsiTheme="minorHAnsi" w:cstheme="minorBidi"/>
                <w:b w:val="0"/>
                <w:bCs w:val="0"/>
                <w:noProof/>
                <w:sz w:val="22"/>
                <w:szCs w:val="22"/>
                <w:lang w:eastAsia="pt-BR" w:bidi="ar-SA"/>
              </w:rPr>
              <w:tab/>
            </w:r>
            <w:r w:rsidR="00B572AE" w:rsidRPr="00764BE3">
              <w:rPr>
                <w:rStyle w:val="Hyperlink"/>
                <w:noProof/>
              </w:rPr>
              <w:t>Missão e visão</w:t>
            </w:r>
            <w:r w:rsidR="00B572AE">
              <w:rPr>
                <w:noProof/>
                <w:webHidden/>
              </w:rPr>
              <w:tab/>
            </w:r>
            <w:r w:rsidR="00B572AE">
              <w:rPr>
                <w:noProof/>
                <w:webHidden/>
              </w:rPr>
              <w:fldChar w:fldCharType="begin"/>
            </w:r>
            <w:r w:rsidR="00B572AE">
              <w:rPr>
                <w:noProof/>
                <w:webHidden/>
              </w:rPr>
              <w:instrText xml:space="preserve"> PAGEREF _Toc103680506 \h </w:instrText>
            </w:r>
            <w:r w:rsidR="00B572AE">
              <w:rPr>
                <w:noProof/>
                <w:webHidden/>
              </w:rPr>
            </w:r>
            <w:r w:rsidR="00B572AE">
              <w:rPr>
                <w:noProof/>
                <w:webHidden/>
              </w:rPr>
              <w:fldChar w:fldCharType="separate"/>
            </w:r>
            <w:r w:rsidR="00B572AE">
              <w:rPr>
                <w:noProof/>
                <w:webHidden/>
              </w:rPr>
              <w:t>25</w:t>
            </w:r>
            <w:r w:rsidR="00B572AE">
              <w:rPr>
                <w:noProof/>
                <w:webHidden/>
              </w:rPr>
              <w:fldChar w:fldCharType="end"/>
            </w:r>
          </w:hyperlink>
        </w:p>
        <w:p w14:paraId="7061B39B" w14:textId="66114F36" w:rsidR="00B572AE" w:rsidRDefault="008A3D44">
          <w:pPr>
            <w:pStyle w:val="Sumrio2"/>
            <w:tabs>
              <w:tab w:val="left" w:pos="660"/>
              <w:tab w:val="right" w:leader="dot" w:pos="9736"/>
            </w:tabs>
            <w:rPr>
              <w:rFonts w:asciiTheme="minorHAnsi" w:eastAsiaTheme="minorEastAsia" w:hAnsiTheme="minorHAnsi" w:cstheme="minorBidi"/>
              <w:b w:val="0"/>
              <w:bCs w:val="0"/>
              <w:noProof/>
              <w:sz w:val="22"/>
              <w:szCs w:val="22"/>
              <w:lang w:eastAsia="pt-BR" w:bidi="ar-SA"/>
            </w:rPr>
          </w:pPr>
          <w:hyperlink w:anchor="_Toc103680507" w:history="1">
            <w:r w:rsidR="00B572AE" w:rsidRPr="00764BE3">
              <w:rPr>
                <w:rStyle w:val="Hyperlink"/>
                <w:noProof/>
              </w:rPr>
              <w:t>1.3</w:t>
            </w:r>
            <w:r w:rsidR="00B572AE">
              <w:rPr>
                <w:rFonts w:asciiTheme="minorHAnsi" w:eastAsiaTheme="minorEastAsia" w:hAnsiTheme="minorHAnsi" w:cstheme="minorBidi"/>
                <w:b w:val="0"/>
                <w:bCs w:val="0"/>
                <w:noProof/>
                <w:sz w:val="22"/>
                <w:szCs w:val="22"/>
                <w:lang w:eastAsia="pt-BR" w:bidi="ar-SA"/>
              </w:rPr>
              <w:tab/>
            </w:r>
            <w:r w:rsidR="00B572AE" w:rsidRPr="00764BE3">
              <w:rPr>
                <w:rStyle w:val="Hyperlink"/>
                <w:noProof/>
              </w:rPr>
              <w:t>Estrutura organizacional</w:t>
            </w:r>
            <w:r w:rsidR="00B572AE">
              <w:rPr>
                <w:noProof/>
                <w:webHidden/>
              </w:rPr>
              <w:tab/>
            </w:r>
            <w:r w:rsidR="00B572AE">
              <w:rPr>
                <w:noProof/>
                <w:webHidden/>
              </w:rPr>
              <w:fldChar w:fldCharType="begin"/>
            </w:r>
            <w:r w:rsidR="00B572AE">
              <w:rPr>
                <w:noProof/>
                <w:webHidden/>
              </w:rPr>
              <w:instrText xml:space="preserve"> PAGEREF _Toc103680507 \h </w:instrText>
            </w:r>
            <w:r w:rsidR="00B572AE">
              <w:rPr>
                <w:noProof/>
                <w:webHidden/>
              </w:rPr>
            </w:r>
            <w:r w:rsidR="00B572AE">
              <w:rPr>
                <w:noProof/>
                <w:webHidden/>
              </w:rPr>
              <w:fldChar w:fldCharType="separate"/>
            </w:r>
            <w:r w:rsidR="00B572AE">
              <w:rPr>
                <w:noProof/>
                <w:webHidden/>
              </w:rPr>
              <w:t>25</w:t>
            </w:r>
            <w:r w:rsidR="00B572AE">
              <w:rPr>
                <w:noProof/>
                <w:webHidden/>
              </w:rPr>
              <w:fldChar w:fldCharType="end"/>
            </w:r>
          </w:hyperlink>
        </w:p>
        <w:p w14:paraId="6F3434FF" w14:textId="6EADA13A" w:rsidR="00B572AE" w:rsidRDefault="008A3D44">
          <w:pPr>
            <w:pStyle w:val="Sumrio2"/>
            <w:tabs>
              <w:tab w:val="left" w:pos="660"/>
              <w:tab w:val="right" w:leader="dot" w:pos="9736"/>
            </w:tabs>
            <w:rPr>
              <w:rFonts w:asciiTheme="minorHAnsi" w:eastAsiaTheme="minorEastAsia" w:hAnsiTheme="minorHAnsi" w:cstheme="minorBidi"/>
              <w:b w:val="0"/>
              <w:bCs w:val="0"/>
              <w:noProof/>
              <w:sz w:val="22"/>
              <w:szCs w:val="22"/>
              <w:lang w:eastAsia="pt-BR" w:bidi="ar-SA"/>
            </w:rPr>
          </w:pPr>
          <w:hyperlink w:anchor="_Toc103680508" w:history="1">
            <w:r w:rsidR="00B572AE" w:rsidRPr="00764BE3">
              <w:rPr>
                <w:rStyle w:val="Hyperlink"/>
                <w:noProof/>
              </w:rPr>
              <w:t>1.4</w:t>
            </w:r>
            <w:r w:rsidR="00B572AE">
              <w:rPr>
                <w:rFonts w:asciiTheme="minorHAnsi" w:eastAsiaTheme="minorEastAsia" w:hAnsiTheme="minorHAnsi" w:cstheme="minorBidi"/>
                <w:b w:val="0"/>
                <w:bCs w:val="0"/>
                <w:noProof/>
                <w:sz w:val="22"/>
                <w:szCs w:val="22"/>
                <w:lang w:eastAsia="pt-BR" w:bidi="ar-SA"/>
              </w:rPr>
              <w:tab/>
            </w:r>
            <w:r w:rsidR="00B572AE" w:rsidRPr="00764BE3">
              <w:rPr>
                <w:rStyle w:val="Hyperlink"/>
                <w:noProof/>
              </w:rPr>
              <w:t>Modelo de negócio</w:t>
            </w:r>
            <w:r w:rsidR="00B572AE">
              <w:rPr>
                <w:noProof/>
                <w:webHidden/>
              </w:rPr>
              <w:tab/>
            </w:r>
            <w:r w:rsidR="00B572AE">
              <w:rPr>
                <w:noProof/>
                <w:webHidden/>
              </w:rPr>
              <w:fldChar w:fldCharType="begin"/>
            </w:r>
            <w:r w:rsidR="00B572AE">
              <w:rPr>
                <w:noProof/>
                <w:webHidden/>
              </w:rPr>
              <w:instrText xml:space="preserve"> PAGEREF _Toc103680508 \h </w:instrText>
            </w:r>
            <w:r w:rsidR="00B572AE">
              <w:rPr>
                <w:noProof/>
                <w:webHidden/>
              </w:rPr>
            </w:r>
            <w:r w:rsidR="00B572AE">
              <w:rPr>
                <w:noProof/>
                <w:webHidden/>
              </w:rPr>
              <w:fldChar w:fldCharType="separate"/>
            </w:r>
            <w:r w:rsidR="00B572AE">
              <w:rPr>
                <w:noProof/>
                <w:webHidden/>
              </w:rPr>
              <w:t>27</w:t>
            </w:r>
            <w:r w:rsidR="00B572AE">
              <w:rPr>
                <w:noProof/>
                <w:webHidden/>
              </w:rPr>
              <w:fldChar w:fldCharType="end"/>
            </w:r>
          </w:hyperlink>
        </w:p>
        <w:p w14:paraId="40E205DC" w14:textId="3B2F970A" w:rsidR="00B572AE" w:rsidRDefault="008A3D44">
          <w:pPr>
            <w:pStyle w:val="Sumrio2"/>
            <w:tabs>
              <w:tab w:val="left" w:pos="660"/>
              <w:tab w:val="right" w:leader="dot" w:pos="9736"/>
            </w:tabs>
            <w:rPr>
              <w:rFonts w:asciiTheme="minorHAnsi" w:eastAsiaTheme="minorEastAsia" w:hAnsiTheme="minorHAnsi" w:cstheme="minorBidi"/>
              <w:b w:val="0"/>
              <w:bCs w:val="0"/>
              <w:noProof/>
              <w:sz w:val="22"/>
              <w:szCs w:val="22"/>
              <w:lang w:eastAsia="pt-BR" w:bidi="ar-SA"/>
            </w:rPr>
          </w:pPr>
          <w:hyperlink w:anchor="_Toc103680509" w:history="1">
            <w:r w:rsidR="00B572AE" w:rsidRPr="00764BE3">
              <w:rPr>
                <w:rStyle w:val="Hyperlink"/>
                <w:noProof/>
              </w:rPr>
              <w:t>1.5</w:t>
            </w:r>
            <w:r w:rsidR="00B572AE">
              <w:rPr>
                <w:rFonts w:asciiTheme="minorHAnsi" w:eastAsiaTheme="minorEastAsia" w:hAnsiTheme="minorHAnsi" w:cstheme="minorBidi"/>
                <w:b w:val="0"/>
                <w:bCs w:val="0"/>
                <w:noProof/>
                <w:sz w:val="22"/>
                <w:szCs w:val="22"/>
                <w:lang w:eastAsia="pt-BR" w:bidi="ar-SA"/>
              </w:rPr>
              <w:tab/>
            </w:r>
            <w:r w:rsidR="00B572AE" w:rsidRPr="00764BE3">
              <w:rPr>
                <w:rStyle w:val="Hyperlink"/>
                <w:noProof/>
              </w:rPr>
              <w:t>Cadeia de valor</w:t>
            </w:r>
            <w:r w:rsidR="00B572AE">
              <w:rPr>
                <w:noProof/>
                <w:webHidden/>
              </w:rPr>
              <w:tab/>
            </w:r>
            <w:r w:rsidR="00B572AE">
              <w:rPr>
                <w:noProof/>
                <w:webHidden/>
              </w:rPr>
              <w:fldChar w:fldCharType="begin"/>
            </w:r>
            <w:r w:rsidR="00B572AE">
              <w:rPr>
                <w:noProof/>
                <w:webHidden/>
              </w:rPr>
              <w:instrText xml:space="preserve"> PAGEREF _Toc103680509 \h </w:instrText>
            </w:r>
            <w:r w:rsidR="00B572AE">
              <w:rPr>
                <w:noProof/>
                <w:webHidden/>
              </w:rPr>
            </w:r>
            <w:r w:rsidR="00B572AE">
              <w:rPr>
                <w:noProof/>
                <w:webHidden/>
              </w:rPr>
              <w:fldChar w:fldCharType="separate"/>
            </w:r>
            <w:r w:rsidR="00B572AE">
              <w:rPr>
                <w:noProof/>
                <w:webHidden/>
              </w:rPr>
              <w:t>29</w:t>
            </w:r>
            <w:r w:rsidR="00B572AE">
              <w:rPr>
                <w:noProof/>
                <w:webHidden/>
              </w:rPr>
              <w:fldChar w:fldCharType="end"/>
            </w:r>
          </w:hyperlink>
        </w:p>
        <w:p w14:paraId="3A07A010" w14:textId="37E2C0C9" w:rsidR="00B572AE" w:rsidRDefault="008A3D44">
          <w:pPr>
            <w:pStyle w:val="Sumrio2"/>
            <w:tabs>
              <w:tab w:val="left" w:pos="660"/>
              <w:tab w:val="right" w:leader="dot" w:pos="9736"/>
            </w:tabs>
            <w:rPr>
              <w:rFonts w:asciiTheme="minorHAnsi" w:eastAsiaTheme="minorEastAsia" w:hAnsiTheme="minorHAnsi" w:cstheme="minorBidi"/>
              <w:b w:val="0"/>
              <w:bCs w:val="0"/>
              <w:noProof/>
              <w:sz w:val="22"/>
              <w:szCs w:val="22"/>
              <w:lang w:eastAsia="pt-BR" w:bidi="ar-SA"/>
            </w:rPr>
          </w:pPr>
          <w:hyperlink w:anchor="_Toc103680510" w:history="1">
            <w:r w:rsidR="00B572AE" w:rsidRPr="00764BE3">
              <w:rPr>
                <w:rStyle w:val="Hyperlink"/>
                <w:noProof/>
              </w:rPr>
              <w:t>1.6</w:t>
            </w:r>
            <w:r w:rsidR="00B572AE">
              <w:rPr>
                <w:rFonts w:asciiTheme="minorHAnsi" w:eastAsiaTheme="minorEastAsia" w:hAnsiTheme="minorHAnsi" w:cstheme="minorBidi"/>
                <w:b w:val="0"/>
                <w:bCs w:val="0"/>
                <w:noProof/>
                <w:sz w:val="22"/>
                <w:szCs w:val="22"/>
                <w:lang w:eastAsia="pt-BR" w:bidi="ar-SA"/>
              </w:rPr>
              <w:tab/>
            </w:r>
            <w:r w:rsidR="00B572AE" w:rsidRPr="00764BE3">
              <w:rPr>
                <w:rStyle w:val="Hyperlink"/>
                <w:noProof/>
              </w:rPr>
              <w:t>Empreendimentos ferroviários</w:t>
            </w:r>
            <w:r w:rsidR="00B572AE">
              <w:rPr>
                <w:noProof/>
                <w:webHidden/>
              </w:rPr>
              <w:tab/>
            </w:r>
            <w:r w:rsidR="00B572AE">
              <w:rPr>
                <w:noProof/>
                <w:webHidden/>
              </w:rPr>
              <w:fldChar w:fldCharType="begin"/>
            </w:r>
            <w:r w:rsidR="00B572AE">
              <w:rPr>
                <w:noProof/>
                <w:webHidden/>
              </w:rPr>
              <w:instrText xml:space="preserve"> PAGEREF _Toc103680510 \h </w:instrText>
            </w:r>
            <w:r w:rsidR="00B572AE">
              <w:rPr>
                <w:noProof/>
                <w:webHidden/>
              </w:rPr>
            </w:r>
            <w:r w:rsidR="00B572AE">
              <w:rPr>
                <w:noProof/>
                <w:webHidden/>
              </w:rPr>
              <w:fldChar w:fldCharType="separate"/>
            </w:r>
            <w:r w:rsidR="00B572AE">
              <w:rPr>
                <w:noProof/>
                <w:webHidden/>
              </w:rPr>
              <w:t>35</w:t>
            </w:r>
            <w:r w:rsidR="00B572AE">
              <w:rPr>
                <w:noProof/>
                <w:webHidden/>
              </w:rPr>
              <w:fldChar w:fldCharType="end"/>
            </w:r>
          </w:hyperlink>
        </w:p>
        <w:p w14:paraId="5194692B" w14:textId="09B4FEE0"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511" w:history="1">
            <w:r w:rsidR="00B572AE" w:rsidRPr="00764BE3">
              <w:rPr>
                <w:rStyle w:val="Hyperlink"/>
                <w:rFonts w:cstheme="minorHAnsi"/>
                <w:noProof/>
              </w:rPr>
              <w:t>1.6.1</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EF-151 (Ferrovia Norte-Sul)</w:t>
            </w:r>
            <w:r w:rsidR="00B572AE">
              <w:rPr>
                <w:noProof/>
                <w:webHidden/>
              </w:rPr>
              <w:tab/>
            </w:r>
            <w:r w:rsidR="00B572AE">
              <w:rPr>
                <w:noProof/>
                <w:webHidden/>
              </w:rPr>
              <w:fldChar w:fldCharType="begin"/>
            </w:r>
            <w:r w:rsidR="00B572AE">
              <w:rPr>
                <w:noProof/>
                <w:webHidden/>
              </w:rPr>
              <w:instrText xml:space="preserve"> PAGEREF _Toc103680511 \h </w:instrText>
            </w:r>
            <w:r w:rsidR="00B572AE">
              <w:rPr>
                <w:noProof/>
                <w:webHidden/>
              </w:rPr>
            </w:r>
            <w:r w:rsidR="00B572AE">
              <w:rPr>
                <w:noProof/>
                <w:webHidden/>
              </w:rPr>
              <w:fldChar w:fldCharType="separate"/>
            </w:r>
            <w:r w:rsidR="00B572AE">
              <w:rPr>
                <w:noProof/>
                <w:webHidden/>
              </w:rPr>
              <w:t>35</w:t>
            </w:r>
            <w:r w:rsidR="00B572AE">
              <w:rPr>
                <w:noProof/>
                <w:webHidden/>
              </w:rPr>
              <w:fldChar w:fldCharType="end"/>
            </w:r>
          </w:hyperlink>
        </w:p>
        <w:p w14:paraId="45936AEA" w14:textId="31613136"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512" w:history="1">
            <w:r w:rsidR="00B572AE" w:rsidRPr="00764BE3">
              <w:rPr>
                <w:rStyle w:val="Hyperlink"/>
                <w:rFonts w:cstheme="minorHAnsi"/>
                <w:noProof/>
              </w:rPr>
              <w:t>1.6.2</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EF-334 (Ferrovia de Integração Oeste-Leste)</w:t>
            </w:r>
            <w:r w:rsidR="00B572AE">
              <w:rPr>
                <w:noProof/>
                <w:webHidden/>
              </w:rPr>
              <w:tab/>
            </w:r>
            <w:r w:rsidR="00B572AE">
              <w:rPr>
                <w:noProof/>
                <w:webHidden/>
              </w:rPr>
              <w:fldChar w:fldCharType="begin"/>
            </w:r>
            <w:r w:rsidR="00B572AE">
              <w:rPr>
                <w:noProof/>
                <w:webHidden/>
              </w:rPr>
              <w:instrText xml:space="preserve"> PAGEREF _Toc103680512 \h </w:instrText>
            </w:r>
            <w:r w:rsidR="00B572AE">
              <w:rPr>
                <w:noProof/>
                <w:webHidden/>
              </w:rPr>
            </w:r>
            <w:r w:rsidR="00B572AE">
              <w:rPr>
                <w:noProof/>
                <w:webHidden/>
              </w:rPr>
              <w:fldChar w:fldCharType="separate"/>
            </w:r>
            <w:r w:rsidR="00B572AE">
              <w:rPr>
                <w:noProof/>
                <w:webHidden/>
              </w:rPr>
              <w:t>35</w:t>
            </w:r>
            <w:r w:rsidR="00B572AE">
              <w:rPr>
                <w:noProof/>
                <w:webHidden/>
              </w:rPr>
              <w:fldChar w:fldCharType="end"/>
            </w:r>
          </w:hyperlink>
        </w:p>
        <w:p w14:paraId="43797A1C" w14:textId="7F5BCFD3"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513" w:history="1">
            <w:r w:rsidR="00B572AE" w:rsidRPr="00764BE3">
              <w:rPr>
                <w:rStyle w:val="Hyperlink"/>
                <w:rFonts w:cstheme="minorHAnsi"/>
                <w:noProof/>
              </w:rPr>
              <w:t>1.6.3</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EF-354 (Ferrovia Transcontinental e Ferrovia de Integração Centro-Oeste)</w:t>
            </w:r>
            <w:r w:rsidR="00B572AE">
              <w:rPr>
                <w:noProof/>
                <w:webHidden/>
              </w:rPr>
              <w:tab/>
            </w:r>
            <w:r w:rsidR="00B572AE">
              <w:rPr>
                <w:noProof/>
                <w:webHidden/>
              </w:rPr>
              <w:fldChar w:fldCharType="begin"/>
            </w:r>
            <w:r w:rsidR="00B572AE">
              <w:rPr>
                <w:noProof/>
                <w:webHidden/>
              </w:rPr>
              <w:instrText xml:space="preserve"> PAGEREF _Toc103680513 \h </w:instrText>
            </w:r>
            <w:r w:rsidR="00B572AE">
              <w:rPr>
                <w:noProof/>
                <w:webHidden/>
              </w:rPr>
            </w:r>
            <w:r w:rsidR="00B572AE">
              <w:rPr>
                <w:noProof/>
                <w:webHidden/>
              </w:rPr>
              <w:fldChar w:fldCharType="separate"/>
            </w:r>
            <w:r w:rsidR="00B572AE">
              <w:rPr>
                <w:noProof/>
                <w:webHidden/>
              </w:rPr>
              <w:t>38</w:t>
            </w:r>
            <w:r w:rsidR="00B572AE">
              <w:rPr>
                <w:noProof/>
                <w:webHidden/>
              </w:rPr>
              <w:fldChar w:fldCharType="end"/>
            </w:r>
          </w:hyperlink>
        </w:p>
        <w:p w14:paraId="264E5B9D" w14:textId="52ECC21E"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514" w:history="1">
            <w:r w:rsidR="00B572AE" w:rsidRPr="00764BE3">
              <w:rPr>
                <w:rStyle w:val="Hyperlink"/>
                <w:rFonts w:cstheme="minorHAnsi"/>
                <w:noProof/>
              </w:rPr>
              <w:t>1.6.4</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Terminais Logísticos de Carga: Gestão e fiscalização dos contratos ao longo de 2021</w:t>
            </w:r>
            <w:r w:rsidR="00B572AE">
              <w:rPr>
                <w:noProof/>
                <w:webHidden/>
              </w:rPr>
              <w:tab/>
            </w:r>
            <w:r w:rsidR="00B572AE">
              <w:rPr>
                <w:noProof/>
                <w:webHidden/>
              </w:rPr>
              <w:fldChar w:fldCharType="begin"/>
            </w:r>
            <w:r w:rsidR="00B572AE">
              <w:rPr>
                <w:noProof/>
                <w:webHidden/>
              </w:rPr>
              <w:instrText xml:space="preserve"> PAGEREF _Toc103680514 \h </w:instrText>
            </w:r>
            <w:r w:rsidR="00B572AE">
              <w:rPr>
                <w:noProof/>
                <w:webHidden/>
              </w:rPr>
            </w:r>
            <w:r w:rsidR="00B572AE">
              <w:rPr>
                <w:noProof/>
                <w:webHidden/>
              </w:rPr>
              <w:fldChar w:fldCharType="separate"/>
            </w:r>
            <w:r w:rsidR="00B572AE">
              <w:rPr>
                <w:noProof/>
                <w:webHidden/>
              </w:rPr>
              <w:t>39</w:t>
            </w:r>
            <w:r w:rsidR="00B572AE">
              <w:rPr>
                <w:noProof/>
                <w:webHidden/>
              </w:rPr>
              <w:fldChar w:fldCharType="end"/>
            </w:r>
          </w:hyperlink>
        </w:p>
        <w:p w14:paraId="271D6EE7" w14:textId="2D637673"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515" w:history="1">
            <w:r w:rsidR="00B572AE" w:rsidRPr="00764BE3">
              <w:rPr>
                <w:rStyle w:val="Hyperlink"/>
                <w:rFonts w:cstheme="minorHAnsi"/>
                <w:noProof/>
              </w:rPr>
              <w:t>1.6.5</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Terminais Logísticos de Carga: Credenciamento para realização de estudos</w:t>
            </w:r>
            <w:r w:rsidR="00B572AE">
              <w:rPr>
                <w:noProof/>
                <w:webHidden/>
              </w:rPr>
              <w:tab/>
            </w:r>
            <w:r w:rsidR="00B572AE">
              <w:rPr>
                <w:noProof/>
                <w:webHidden/>
              </w:rPr>
              <w:fldChar w:fldCharType="begin"/>
            </w:r>
            <w:r w:rsidR="00B572AE">
              <w:rPr>
                <w:noProof/>
                <w:webHidden/>
              </w:rPr>
              <w:instrText xml:space="preserve"> PAGEREF _Toc103680515 \h </w:instrText>
            </w:r>
            <w:r w:rsidR="00B572AE">
              <w:rPr>
                <w:noProof/>
                <w:webHidden/>
              </w:rPr>
            </w:r>
            <w:r w:rsidR="00B572AE">
              <w:rPr>
                <w:noProof/>
                <w:webHidden/>
              </w:rPr>
              <w:fldChar w:fldCharType="separate"/>
            </w:r>
            <w:r w:rsidR="00B572AE">
              <w:rPr>
                <w:noProof/>
                <w:webHidden/>
              </w:rPr>
              <w:t>41</w:t>
            </w:r>
            <w:r w:rsidR="00B572AE">
              <w:rPr>
                <w:noProof/>
                <w:webHidden/>
              </w:rPr>
              <w:fldChar w:fldCharType="end"/>
            </w:r>
          </w:hyperlink>
        </w:p>
        <w:p w14:paraId="2F3457BB" w14:textId="155562BC" w:rsidR="00B572AE" w:rsidRDefault="008A3D44">
          <w:pPr>
            <w:pStyle w:val="Sumrio2"/>
            <w:tabs>
              <w:tab w:val="left" w:pos="660"/>
              <w:tab w:val="right" w:leader="dot" w:pos="9736"/>
            </w:tabs>
            <w:rPr>
              <w:rFonts w:asciiTheme="minorHAnsi" w:eastAsiaTheme="minorEastAsia" w:hAnsiTheme="minorHAnsi" w:cstheme="minorBidi"/>
              <w:b w:val="0"/>
              <w:bCs w:val="0"/>
              <w:noProof/>
              <w:sz w:val="22"/>
              <w:szCs w:val="22"/>
              <w:lang w:eastAsia="pt-BR" w:bidi="ar-SA"/>
            </w:rPr>
          </w:pPr>
          <w:hyperlink w:anchor="_Toc103680516" w:history="1">
            <w:r w:rsidR="00B572AE" w:rsidRPr="00764BE3">
              <w:rPr>
                <w:rStyle w:val="Hyperlink"/>
                <w:noProof/>
              </w:rPr>
              <w:t>1.7</w:t>
            </w:r>
            <w:r w:rsidR="00B572AE">
              <w:rPr>
                <w:rFonts w:asciiTheme="minorHAnsi" w:eastAsiaTheme="minorEastAsia" w:hAnsiTheme="minorHAnsi" w:cstheme="minorBidi"/>
                <w:b w:val="0"/>
                <w:bCs w:val="0"/>
                <w:noProof/>
                <w:sz w:val="22"/>
                <w:szCs w:val="22"/>
                <w:lang w:eastAsia="pt-BR" w:bidi="ar-SA"/>
              </w:rPr>
              <w:tab/>
            </w:r>
            <w:r w:rsidR="00B572AE" w:rsidRPr="00764BE3">
              <w:rPr>
                <w:rStyle w:val="Hyperlink"/>
                <w:noProof/>
              </w:rPr>
              <w:t>Cenário nacional e internacional do modal ferroviário</w:t>
            </w:r>
            <w:r w:rsidR="00B572AE">
              <w:rPr>
                <w:noProof/>
                <w:webHidden/>
              </w:rPr>
              <w:tab/>
            </w:r>
            <w:r w:rsidR="00B572AE">
              <w:rPr>
                <w:noProof/>
                <w:webHidden/>
              </w:rPr>
              <w:fldChar w:fldCharType="begin"/>
            </w:r>
            <w:r w:rsidR="00B572AE">
              <w:rPr>
                <w:noProof/>
                <w:webHidden/>
              </w:rPr>
              <w:instrText xml:space="preserve"> PAGEREF _Toc103680516 \h </w:instrText>
            </w:r>
            <w:r w:rsidR="00B572AE">
              <w:rPr>
                <w:noProof/>
                <w:webHidden/>
              </w:rPr>
            </w:r>
            <w:r w:rsidR="00B572AE">
              <w:rPr>
                <w:noProof/>
                <w:webHidden/>
              </w:rPr>
              <w:fldChar w:fldCharType="separate"/>
            </w:r>
            <w:r w:rsidR="00B572AE">
              <w:rPr>
                <w:noProof/>
                <w:webHidden/>
              </w:rPr>
              <w:t>43</w:t>
            </w:r>
            <w:r w:rsidR="00B572AE">
              <w:rPr>
                <w:noProof/>
                <w:webHidden/>
              </w:rPr>
              <w:fldChar w:fldCharType="end"/>
            </w:r>
          </w:hyperlink>
        </w:p>
        <w:p w14:paraId="0616632D" w14:textId="25714FED" w:rsidR="00B572AE" w:rsidRDefault="008A3D44">
          <w:pPr>
            <w:pStyle w:val="Sumrio2"/>
            <w:tabs>
              <w:tab w:val="left" w:pos="660"/>
              <w:tab w:val="right" w:leader="dot" w:pos="9736"/>
            </w:tabs>
            <w:rPr>
              <w:rFonts w:asciiTheme="minorHAnsi" w:eastAsiaTheme="minorEastAsia" w:hAnsiTheme="minorHAnsi" w:cstheme="minorBidi"/>
              <w:b w:val="0"/>
              <w:bCs w:val="0"/>
              <w:noProof/>
              <w:sz w:val="22"/>
              <w:szCs w:val="22"/>
              <w:lang w:eastAsia="pt-BR" w:bidi="ar-SA"/>
            </w:rPr>
          </w:pPr>
          <w:hyperlink w:anchor="_Toc103680517" w:history="1">
            <w:r w:rsidR="00B572AE" w:rsidRPr="00764BE3">
              <w:rPr>
                <w:rStyle w:val="Hyperlink"/>
                <w:noProof/>
              </w:rPr>
              <w:t>1.8</w:t>
            </w:r>
            <w:r w:rsidR="00B572AE">
              <w:rPr>
                <w:rFonts w:asciiTheme="minorHAnsi" w:eastAsiaTheme="minorEastAsia" w:hAnsiTheme="minorHAnsi" w:cstheme="minorBidi"/>
                <w:b w:val="0"/>
                <w:bCs w:val="0"/>
                <w:noProof/>
                <w:sz w:val="22"/>
                <w:szCs w:val="22"/>
                <w:lang w:eastAsia="pt-BR" w:bidi="ar-SA"/>
              </w:rPr>
              <w:tab/>
            </w:r>
            <w:r w:rsidR="00B572AE" w:rsidRPr="00764BE3">
              <w:rPr>
                <w:rStyle w:val="Hyperlink"/>
                <w:noProof/>
              </w:rPr>
              <w:t>Capital social e participação em outras sociedades</w:t>
            </w:r>
            <w:r w:rsidR="00B572AE">
              <w:rPr>
                <w:noProof/>
                <w:webHidden/>
              </w:rPr>
              <w:tab/>
            </w:r>
            <w:r w:rsidR="00B572AE">
              <w:rPr>
                <w:noProof/>
                <w:webHidden/>
              </w:rPr>
              <w:fldChar w:fldCharType="begin"/>
            </w:r>
            <w:r w:rsidR="00B572AE">
              <w:rPr>
                <w:noProof/>
                <w:webHidden/>
              </w:rPr>
              <w:instrText xml:space="preserve"> PAGEREF _Toc103680517 \h </w:instrText>
            </w:r>
            <w:r w:rsidR="00B572AE">
              <w:rPr>
                <w:noProof/>
                <w:webHidden/>
              </w:rPr>
            </w:r>
            <w:r w:rsidR="00B572AE">
              <w:rPr>
                <w:noProof/>
                <w:webHidden/>
              </w:rPr>
              <w:fldChar w:fldCharType="separate"/>
            </w:r>
            <w:r w:rsidR="00B572AE">
              <w:rPr>
                <w:noProof/>
                <w:webHidden/>
              </w:rPr>
              <w:t>46</w:t>
            </w:r>
            <w:r w:rsidR="00B572AE">
              <w:rPr>
                <w:noProof/>
                <w:webHidden/>
              </w:rPr>
              <w:fldChar w:fldCharType="end"/>
            </w:r>
          </w:hyperlink>
        </w:p>
        <w:p w14:paraId="23E75857" w14:textId="32688944"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518" w:history="1">
            <w:r w:rsidR="00B572AE" w:rsidRPr="00764BE3">
              <w:rPr>
                <w:rStyle w:val="Hyperlink"/>
                <w:rFonts w:cstheme="minorHAnsi"/>
                <w:noProof/>
              </w:rPr>
              <w:t>1.8.1</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Gestão das participações</w:t>
            </w:r>
            <w:r w:rsidR="00B572AE">
              <w:rPr>
                <w:noProof/>
                <w:webHidden/>
              </w:rPr>
              <w:tab/>
            </w:r>
            <w:r w:rsidR="00B572AE">
              <w:rPr>
                <w:noProof/>
                <w:webHidden/>
              </w:rPr>
              <w:fldChar w:fldCharType="begin"/>
            </w:r>
            <w:r w:rsidR="00B572AE">
              <w:rPr>
                <w:noProof/>
                <w:webHidden/>
              </w:rPr>
              <w:instrText xml:space="preserve"> PAGEREF _Toc103680518 \h </w:instrText>
            </w:r>
            <w:r w:rsidR="00B572AE">
              <w:rPr>
                <w:noProof/>
                <w:webHidden/>
              </w:rPr>
            </w:r>
            <w:r w:rsidR="00B572AE">
              <w:rPr>
                <w:noProof/>
                <w:webHidden/>
              </w:rPr>
              <w:fldChar w:fldCharType="separate"/>
            </w:r>
            <w:r w:rsidR="00B572AE">
              <w:rPr>
                <w:noProof/>
                <w:webHidden/>
              </w:rPr>
              <w:t>46</w:t>
            </w:r>
            <w:r w:rsidR="00B572AE">
              <w:rPr>
                <w:noProof/>
                <w:webHidden/>
              </w:rPr>
              <w:fldChar w:fldCharType="end"/>
            </w:r>
          </w:hyperlink>
        </w:p>
        <w:p w14:paraId="7D34D4C6" w14:textId="790C9BA2" w:rsidR="00B572AE" w:rsidRDefault="008A3D44">
          <w:pPr>
            <w:pStyle w:val="Sumrio4"/>
            <w:tabs>
              <w:tab w:val="left" w:pos="1320"/>
              <w:tab w:val="right" w:leader="dot" w:pos="9736"/>
            </w:tabs>
            <w:rPr>
              <w:rFonts w:asciiTheme="minorHAnsi" w:eastAsiaTheme="minorEastAsia" w:hAnsiTheme="minorHAnsi" w:cstheme="minorBidi"/>
              <w:noProof/>
              <w:sz w:val="22"/>
              <w:szCs w:val="22"/>
              <w:lang w:eastAsia="pt-BR" w:bidi="ar-SA"/>
            </w:rPr>
          </w:pPr>
          <w:hyperlink w:anchor="_Toc103680519" w:history="1">
            <w:r w:rsidR="00B572AE" w:rsidRPr="00764BE3">
              <w:rPr>
                <w:rStyle w:val="Hyperlink"/>
                <w:rFonts w:cstheme="minorHAnsi"/>
                <w:noProof/>
              </w:rPr>
              <w:t>1.8.1.1</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Transnordestina Logística S/A</w:t>
            </w:r>
            <w:r w:rsidR="00B572AE">
              <w:rPr>
                <w:noProof/>
                <w:webHidden/>
              </w:rPr>
              <w:tab/>
            </w:r>
            <w:r w:rsidR="00B572AE">
              <w:rPr>
                <w:noProof/>
                <w:webHidden/>
              </w:rPr>
              <w:fldChar w:fldCharType="begin"/>
            </w:r>
            <w:r w:rsidR="00B572AE">
              <w:rPr>
                <w:noProof/>
                <w:webHidden/>
              </w:rPr>
              <w:instrText xml:space="preserve"> PAGEREF _Toc103680519 \h </w:instrText>
            </w:r>
            <w:r w:rsidR="00B572AE">
              <w:rPr>
                <w:noProof/>
                <w:webHidden/>
              </w:rPr>
            </w:r>
            <w:r w:rsidR="00B572AE">
              <w:rPr>
                <w:noProof/>
                <w:webHidden/>
              </w:rPr>
              <w:fldChar w:fldCharType="separate"/>
            </w:r>
            <w:r w:rsidR="00B572AE">
              <w:rPr>
                <w:noProof/>
                <w:webHidden/>
              </w:rPr>
              <w:t>47</w:t>
            </w:r>
            <w:r w:rsidR="00B572AE">
              <w:rPr>
                <w:noProof/>
                <w:webHidden/>
              </w:rPr>
              <w:fldChar w:fldCharType="end"/>
            </w:r>
          </w:hyperlink>
        </w:p>
        <w:p w14:paraId="6ED3A198" w14:textId="34E549FA" w:rsidR="00B572AE" w:rsidRDefault="008A3D44">
          <w:pPr>
            <w:pStyle w:val="Sumrio4"/>
            <w:tabs>
              <w:tab w:val="left" w:pos="1320"/>
              <w:tab w:val="right" w:leader="dot" w:pos="9736"/>
            </w:tabs>
            <w:rPr>
              <w:rFonts w:asciiTheme="minorHAnsi" w:eastAsiaTheme="minorEastAsia" w:hAnsiTheme="minorHAnsi" w:cstheme="minorBidi"/>
              <w:noProof/>
              <w:sz w:val="22"/>
              <w:szCs w:val="22"/>
              <w:lang w:eastAsia="pt-BR" w:bidi="ar-SA"/>
            </w:rPr>
          </w:pPr>
          <w:hyperlink w:anchor="_Toc103680520" w:history="1">
            <w:r w:rsidR="00B572AE" w:rsidRPr="00764BE3">
              <w:rPr>
                <w:rStyle w:val="Hyperlink"/>
                <w:rFonts w:cstheme="minorHAnsi"/>
                <w:noProof/>
              </w:rPr>
              <w:t>1.8.1.2</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Estrada de Ferro Paraná Oeste S.A</w:t>
            </w:r>
            <w:r w:rsidR="00B572AE">
              <w:rPr>
                <w:noProof/>
                <w:webHidden/>
              </w:rPr>
              <w:tab/>
            </w:r>
            <w:r w:rsidR="00B572AE">
              <w:rPr>
                <w:noProof/>
                <w:webHidden/>
              </w:rPr>
              <w:fldChar w:fldCharType="begin"/>
            </w:r>
            <w:r w:rsidR="00B572AE">
              <w:rPr>
                <w:noProof/>
                <w:webHidden/>
              </w:rPr>
              <w:instrText xml:space="preserve"> PAGEREF _Toc103680520 \h </w:instrText>
            </w:r>
            <w:r w:rsidR="00B572AE">
              <w:rPr>
                <w:noProof/>
                <w:webHidden/>
              </w:rPr>
            </w:r>
            <w:r w:rsidR="00B572AE">
              <w:rPr>
                <w:noProof/>
                <w:webHidden/>
              </w:rPr>
              <w:fldChar w:fldCharType="separate"/>
            </w:r>
            <w:r w:rsidR="00B572AE">
              <w:rPr>
                <w:noProof/>
                <w:webHidden/>
              </w:rPr>
              <w:t>48</w:t>
            </w:r>
            <w:r w:rsidR="00B572AE">
              <w:rPr>
                <w:noProof/>
                <w:webHidden/>
              </w:rPr>
              <w:fldChar w:fldCharType="end"/>
            </w:r>
          </w:hyperlink>
        </w:p>
        <w:p w14:paraId="47EB3330" w14:textId="0C0061F4" w:rsidR="00B572AE" w:rsidRDefault="008A3D44">
          <w:pPr>
            <w:pStyle w:val="Sumrio1"/>
            <w:tabs>
              <w:tab w:val="left" w:pos="440"/>
              <w:tab w:val="right" w:leader="dot" w:pos="9736"/>
            </w:tabs>
            <w:rPr>
              <w:rFonts w:asciiTheme="minorHAnsi" w:eastAsiaTheme="minorEastAsia" w:hAnsiTheme="minorHAnsi" w:cstheme="minorBidi"/>
              <w:b w:val="0"/>
              <w:bCs w:val="0"/>
              <w:caps w:val="0"/>
              <w:noProof/>
              <w:sz w:val="22"/>
              <w:szCs w:val="22"/>
              <w:lang w:eastAsia="pt-BR" w:bidi="ar-SA"/>
            </w:rPr>
          </w:pPr>
          <w:hyperlink w:anchor="_Toc103680521" w:history="1">
            <w:r w:rsidR="00B572AE" w:rsidRPr="00764BE3">
              <w:rPr>
                <w:rStyle w:val="Hyperlink"/>
                <w:rFonts w:cstheme="minorHAnsi"/>
                <w:noProof/>
              </w:rPr>
              <w:t>2</w:t>
            </w:r>
            <w:r w:rsidR="00B572AE">
              <w:rPr>
                <w:rFonts w:asciiTheme="minorHAnsi" w:eastAsiaTheme="minorEastAsia" w:hAnsiTheme="minorHAnsi" w:cstheme="minorBidi"/>
                <w:b w:val="0"/>
                <w:bCs w:val="0"/>
                <w:caps w:val="0"/>
                <w:noProof/>
                <w:sz w:val="22"/>
                <w:szCs w:val="22"/>
                <w:lang w:eastAsia="pt-BR" w:bidi="ar-SA"/>
              </w:rPr>
              <w:tab/>
            </w:r>
            <w:r w:rsidR="00B572AE" w:rsidRPr="00764BE3">
              <w:rPr>
                <w:rStyle w:val="Hyperlink"/>
                <w:rFonts w:cstheme="minorHAnsi"/>
                <w:noProof/>
              </w:rPr>
              <w:t>RISCOS, OPORTUNIDADES E PERSPECTIVAS</w:t>
            </w:r>
            <w:r w:rsidR="00B572AE">
              <w:rPr>
                <w:noProof/>
                <w:webHidden/>
              </w:rPr>
              <w:tab/>
            </w:r>
            <w:r w:rsidR="00B572AE">
              <w:rPr>
                <w:noProof/>
                <w:webHidden/>
              </w:rPr>
              <w:fldChar w:fldCharType="begin"/>
            </w:r>
            <w:r w:rsidR="00B572AE">
              <w:rPr>
                <w:noProof/>
                <w:webHidden/>
              </w:rPr>
              <w:instrText xml:space="preserve"> PAGEREF _Toc103680521 \h </w:instrText>
            </w:r>
            <w:r w:rsidR="00B572AE">
              <w:rPr>
                <w:noProof/>
                <w:webHidden/>
              </w:rPr>
            </w:r>
            <w:r w:rsidR="00B572AE">
              <w:rPr>
                <w:noProof/>
                <w:webHidden/>
              </w:rPr>
              <w:fldChar w:fldCharType="separate"/>
            </w:r>
            <w:r w:rsidR="00B572AE">
              <w:rPr>
                <w:noProof/>
                <w:webHidden/>
              </w:rPr>
              <w:t>50</w:t>
            </w:r>
            <w:r w:rsidR="00B572AE">
              <w:rPr>
                <w:noProof/>
                <w:webHidden/>
              </w:rPr>
              <w:fldChar w:fldCharType="end"/>
            </w:r>
          </w:hyperlink>
        </w:p>
        <w:p w14:paraId="251792BA" w14:textId="42B90782" w:rsidR="00B572AE" w:rsidRDefault="008A3D44">
          <w:pPr>
            <w:pStyle w:val="Sumrio2"/>
            <w:tabs>
              <w:tab w:val="left" w:pos="660"/>
              <w:tab w:val="right" w:leader="dot" w:pos="9736"/>
            </w:tabs>
            <w:rPr>
              <w:rFonts w:asciiTheme="minorHAnsi" w:eastAsiaTheme="minorEastAsia" w:hAnsiTheme="minorHAnsi" w:cstheme="minorBidi"/>
              <w:b w:val="0"/>
              <w:bCs w:val="0"/>
              <w:noProof/>
              <w:sz w:val="22"/>
              <w:szCs w:val="22"/>
              <w:lang w:eastAsia="pt-BR" w:bidi="ar-SA"/>
            </w:rPr>
          </w:pPr>
          <w:hyperlink w:anchor="_Toc103680522" w:history="1">
            <w:r w:rsidR="00B572AE" w:rsidRPr="00764BE3">
              <w:rPr>
                <w:rStyle w:val="Hyperlink"/>
                <w:noProof/>
              </w:rPr>
              <w:t>2.1</w:t>
            </w:r>
            <w:r w:rsidR="00B572AE">
              <w:rPr>
                <w:rFonts w:asciiTheme="minorHAnsi" w:eastAsiaTheme="minorEastAsia" w:hAnsiTheme="minorHAnsi" w:cstheme="minorBidi"/>
                <w:b w:val="0"/>
                <w:bCs w:val="0"/>
                <w:noProof/>
                <w:sz w:val="22"/>
                <w:szCs w:val="22"/>
                <w:lang w:eastAsia="pt-BR" w:bidi="ar-SA"/>
              </w:rPr>
              <w:tab/>
            </w:r>
            <w:r w:rsidR="00B572AE" w:rsidRPr="00764BE3">
              <w:rPr>
                <w:rStyle w:val="Hyperlink"/>
                <w:noProof/>
              </w:rPr>
              <w:t>Gestão de riscos e controles internos</w:t>
            </w:r>
            <w:r w:rsidR="00B572AE">
              <w:rPr>
                <w:noProof/>
                <w:webHidden/>
              </w:rPr>
              <w:tab/>
            </w:r>
            <w:r w:rsidR="00B572AE">
              <w:rPr>
                <w:noProof/>
                <w:webHidden/>
              </w:rPr>
              <w:fldChar w:fldCharType="begin"/>
            </w:r>
            <w:r w:rsidR="00B572AE">
              <w:rPr>
                <w:noProof/>
                <w:webHidden/>
              </w:rPr>
              <w:instrText xml:space="preserve"> PAGEREF _Toc103680522 \h </w:instrText>
            </w:r>
            <w:r w:rsidR="00B572AE">
              <w:rPr>
                <w:noProof/>
                <w:webHidden/>
              </w:rPr>
            </w:r>
            <w:r w:rsidR="00B572AE">
              <w:rPr>
                <w:noProof/>
                <w:webHidden/>
              </w:rPr>
              <w:fldChar w:fldCharType="separate"/>
            </w:r>
            <w:r w:rsidR="00B572AE">
              <w:rPr>
                <w:noProof/>
                <w:webHidden/>
              </w:rPr>
              <w:t>51</w:t>
            </w:r>
            <w:r w:rsidR="00B572AE">
              <w:rPr>
                <w:noProof/>
                <w:webHidden/>
              </w:rPr>
              <w:fldChar w:fldCharType="end"/>
            </w:r>
          </w:hyperlink>
        </w:p>
        <w:p w14:paraId="1464BEB1" w14:textId="0996A3A7"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523" w:history="1">
            <w:r w:rsidR="00B572AE" w:rsidRPr="00764BE3">
              <w:rPr>
                <w:rStyle w:val="Hyperlink"/>
                <w:rFonts w:cstheme="minorHAnsi"/>
                <w:noProof/>
              </w:rPr>
              <w:t>2.1.1</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Principais riscos identificados</w:t>
            </w:r>
            <w:r w:rsidR="00B572AE">
              <w:rPr>
                <w:noProof/>
                <w:webHidden/>
              </w:rPr>
              <w:tab/>
            </w:r>
            <w:r w:rsidR="00B572AE">
              <w:rPr>
                <w:noProof/>
                <w:webHidden/>
              </w:rPr>
              <w:fldChar w:fldCharType="begin"/>
            </w:r>
            <w:r w:rsidR="00B572AE">
              <w:rPr>
                <w:noProof/>
                <w:webHidden/>
              </w:rPr>
              <w:instrText xml:space="preserve"> PAGEREF _Toc103680523 \h </w:instrText>
            </w:r>
            <w:r w:rsidR="00B572AE">
              <w:rPr>
                <w:noProof/>
                <w:webHidden/>
              </w:rPr>
            </w:r>
            <w:r w:rsidR="00B572AE">
              <w:rPr>
                <w:noProof/>
                <w:webHidden/>
              </w:rPr>
              <w:fldChar w:fldCharType="separate"/>
            </w:r>
            <w:r w:rsidR="00B572AE">
              <w:rPr>
                <w:noProof/>
                <w:webHidden/>
              </w:rPr>
              <w:t>51</w:t>
            </w:r>
            <w:r w:rsidR="00B572AE">
              <w:rPr>
                <w:noProof/>
                <w:webHidden/>
              </w:rPr>
              <w:fldChar w:fldCharType="end"/>
            </w:r>
          </w:hyperlink>
        </w:p>
        <w:p w14:paraId="77F44CF6" w14:textId="3F2C0AAB"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524" w:history="1">
            <w:r w:rsidR="00B572AE" w:rsidRPr="00764BE3">
              <w:rPr>
                <w:rStyle w:val="Hyperlink"/>
                <w:rFonts w:cstheme="minorHAnsi"/>
                <w:noProof/>
              </w:rPr>
              <w:t>2.1.2</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Oportunidades e perspectivas</w:t>
            </w:r>
            <w:r w:rsidR="00B572AE">
              <w:rPr>
                <w:noProof/>
                <w:webHidden/>
              </w:rPr>
              <w:tab/>
            </w:r>
            <w:r w:rsidR="00B572AE">
              <w:rPr>
                <w:noProof/>
                <w:webHidden/>
              </w:rPr>
              <w:fldChar w:fldCharType="begin"/>
            </w:r>
            <w:r w:rsidR="00B572AE">
              <w:rPr>
                <w:noProof/>
                <w:webHidden/>
              </w:rPr>
              <w:instrText xml:space="preserve"> PAGEREF _Toc103680524 \h </w:instrText>
            </w:r>
            <w:r w:rsidR="00B572AE">
              <w:rPr>
                <w:noProof/>
                <w:webHidden/>
              </w:rPr>
            </w:r>
            <w:r w:rsidR="00B572AE">
              <w:rPr>
                <w:noProof/>
                <w:webHidden/>
              </w:rPr>
              <w:fldChar w:fldCharType="separate"/>
            </w:r>
            <w:r w:rsidR="00B572AE">
              <w:rPr>
                <w:noProof/>
                <w:webHidden/>
              </w:rPr>
              <w:t>52</w:t>
            </w:r>
            <w:r w:rsidR="00B572AE">
              <w:rPr>
                <w:noProof/>
                <w:webHidden/>
              </w:rPr>
              <w:fldChar w:fldCharType="end"/>
            </w:r>
          </w:hyperlink>
        </w:p>
        <w:p w14:paraId="72397033" w14:textId="6FA32404"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525" w:history="1">
            <w:r w:rsidR="00B572AE" w:rsidRPr="00764BE3">
              <w:rPr>
                <w:rStyle w:val="Hyperlink"/>
                <w:rFonts w:cstheme="minorHAnsi"/>
                <w:noProof/>
              </w:rPr>
              <w:t>2.1.3</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Grau de exposição, fonte de riscos e planos de tratamento</w:t>
            </w:r>
            <w:r w:rsidR="00B572AE">
              <w:rPr>
                <w:noProof/>
                <w:webHidden/>
              </w:rPr>
              <w:tab/>
            </w:r>
            <w:r w:rsidR="00B572AE">
              <w:rPr>
                <w:noProof/>
                <w:webHidden/>
              </w:rPr>
              <w:fldChar w:fldCharType="begin"/>
            </w:r>
            <w:r w:rsidR="00B572AE">
              <w:rPr>
                <w:noProof/>
                <w:webHidden/>
              </w:rPr>
              <w:instrText xml:space="preserve"> PAGEREF _Toc103680525 \h </w:instrText>
            </w:r>
            <w:r w:rsidR="00B572AE">
              <w:rPr>
                <w:noProof/>
                <w:webHidden/>
              </w:rPr>
            </w:r>
            <w:r w:rsidR="00B572AE">
              <w:rPr>
                <w:noProof/>
                <w:webHidden/>
              </w:rPr>
              <w:fldChar w:fldCharType="separate"/>
            </w:r>
            <w:r w:rsidR="00B572AE">
              <w:rPr>
                <w:noProof/>
                <w:webHidden/>
              </w:rPr>
              <w:t>53</w:t>
            </w:r>
            <w:r w:rsidR="00B572AE">
              <w:rPr>
                <w:noProof/>
                <w:webHidden/>
              </w:rPr>
              <w:fldChar w:fldCharType="end"/>
            </w:r>
          </w:hyperlink>
        </w:p>
        <w:p w14:paraId="20925807" w14:textId="78BBAE3A" w:rsidR="00B572AE" w:rsidRDefault="008A3D44">
          <w:pPr>
            <w:pStyle w:val="Sumrio1"/>
            <w:tabs>
              <w:tab w:val="left" w:pos="440"/>
              <w:tab w:val="right" w:leader="dot" w:pos="9736"/>
            </w:tabs>
            <w:rPr>
              <w:rFonts w:asciiTheme="minorHAnsi" w:eastAsiaTheme="minorEastAsia" w:hAnsiTheme="minorHAnsi" w:cstheme="minorBidi"/>
              <w:b w:val="0"/>
              <w:bCs w:val="0"/>
              <w:caps w:val="0"/>
              <w:noProof/>
              <w:sz w:val="22"/>
              <w:szCs w:val="22"/>
              <w:lang w:eastAsia="pt-BR" w:bidi="ar-SA"/>
            </w:rPr>
          </w:pPr>
          <w:hyperlink w:anchor="_Toc103680526" w:history="1">
            <w:r w:rsidR="00B572AE" w:rsidRPr="00764BE3">
              <w:rPr>
                <w:rStyle w:val="Hyperlink"/>
                <w:rFonts w:cstheme="minorHAnsi"/>
                <w:noProof/>
              </w:rPr>
              <w:t>3</w:t>
            </w:r>
            <w:r w:rsidR="00B572AE">
              <w:rPr>
                <w:rFonts w:asciiTheme="minorHAnsi" w:eastAsiaTheme="minorEastAsia" w:hAnsiTheme="minorHAnsi" w:cstheme="minorBidi"/>
                <w:b w:val="0"/>
                <w:bCs w:val="0"/>
                <w:caps w:val="0"/>
                <w:noProof/>
                <w:sz w:val="22"/>
                <w:szCs w:val="22"/>
                <w:lang w:eastAsia="pt-BR" w:bidi="ar-SA"/>
              </w:rPr>
              <w:tab/>
            </w:r>
            <w:r w:rsidR="00B572AE" w:rsidRPr="00764BE3">
              <w:rPr>
                <w:rStyle w:val="Hyperlink"/>
                <w:rFonts w:cstheme="minorHAnsi"/>
                <w:noProof/>
              </w:rPr>
              <w:t>GOVERNANÇA E ESTRATÉGIA</w:t>
            </w:r>
            <w:r w:rsidR="00B572AE">
              <w:rPr>
                <w:noProof/>
                <w:webHidden/>
              </w:rPr>
              <w:tab/>
            </w:r>
            <w:r w:rsidR="00B572AE">
              <w:rPr>
                <w:noProof/>
                <w:webHidden/>
              </w:rPr>
              <w:fldChar w:fldCharType="begin"/>
            </w:r>
            <w:r w:rsidR="00B572AE">
              <w:rPr>
                <w:noProof/>
                <w:webHidden/>
              </w:rPr>
              <w:instrText xml:space="preserve"> PAGEREF _Toc103680526 \h </w:instrText>
            </w:r>
            <w:r w:rsidR="00B572AE">
              <w:rPr>
                <w:noProof/>
                <w:webHidden/>
              </w:rPr>
            </w:r>
            <w:r w:rsidR="00B572AE">
              <w:rPr>
                <w:noProof/>
                <w:webHidden/>
              </w:rPr>
              <w:fldChar w:fldCharType="separate"/>
            </w:r>
            <w:r w:rsidR="00B572AE">
              <w:rPr>
                <w:noProof/>
                <w:webHidden/>
              </w:rPr>
              <w:t>57</w:t>
            </w:r>
            <w:r w:rsidR="00B572AE">
              <w:rPr>
                <w:noProof/>
                <w:webHidden/>
              </w:rPr>
              <w:fldChar w:fldCharType="end"/>
            </w:r>
          </w:hyperlink>
        </w:p>
        <w:p w14:paraId="2947D5FE" w14:textId="30425C8C" w:rsidR="00B572AE" w:rsidRDefault="008A3D44">
          <w:pPr>
            <w:pStyle w:val="Sumrio2"/>
            <w:tabs>
              <w:tab w:val="left" w:pos="660"/>
              <w:tab w:val="right" w:leader="dot" w:pos="9736"/>
            </w:tabs>
            <w:rPr>
              <w:rFonts w:asciiTheme="minorHAnsi" w:eastAsiaTheme="minorEastAsia" w:hAnsiTheme="minorHAnsi" w:cstheme="minorBidi"/>
              <w:b w:val="0"/>
              <w:bCs w:val="0"/>
              <w:noProof/>
              <w:sz w:val="22"/>
              <w:szCs w:val="22"/>
              <w:lang w:eastAsia="pt-BR" w:bidi="ar-SA"/>
            </w:rPr>
          </w:pPr>
          <w:hyperlink w:anchor="_Toc103680527" w:history="1">
            <w:r w:rsidR="00B572AE" w:rsidRPr="00764BE3">
              <w:rPr>
                <w:rStyle w:val="Hyperlink"/>
                <w:noProof/>
              </w:rPr>
              <w:t>3.1</w:t>
            </w:r>
            <w:r w:rsidR="00B572AE">
              <w:rPr>
                <w:rFonts w:asciiTheme="minorHAnsi" w:eastAsiaTheme="minorEastAsia" w:hAnsiTheme="minorHAnsi" w:cstheme="minorBidi"/>
                <w:b w:val="0"/>
                <w:bCs w:val="0"/>
                <w:noProof/>
                <w:sz w:val="22"/>
                <w:szCs w:val="22"/>
                <w:lang w:eastAsia="pt-BR" w:bidi="ar-SA"/>
              </w:rPr>
              <w:tab/>
            </w:r>
            <w:r w:rsidR="00B572AE" w:rsidRPr="00764BE3">
              <w:rPr>
                <w:rStyle w:val="Hyperlink"/>
                <w:noProof/>
              </w:rPr>
              <w:t>Estrutura de governança</w:t>
            </w:r>
            <w:r w:rsidR="00B572AE">
              <w:rPr>
                <w:noProof/>
                <w:webHidden/>
              </w:rPr>
              <w:tab/>
            </w:r>
            <w:r w:rsidR="00B572AE">
              <w:rPr>
                <w:noProof/>
                <w:webHidden/>
              </w:rPr>
              <w:fldChar w:fldCharType="begin"/>
            </w:r>
            <w:r w:rsidR="00B572AE">
              <w:rPr>
                <w:noProof/>
                <w:webHidden/>
              </w:rPr>
              <w:instrText xml:space="preserve"> PAGEREF _Toc103680527 \h </w:instrText>
            </w:r>
            <w:r w:rsidR="00B572AE">
              <w:rPr>
                <w:noProof/>
                <w:webHidden/>
              </w:rPr>
            </w:r>
            <w:r w:rsidR="00B572AE">
              <w:rPr>
                <w:noProof/>
                <w:webHidden/>
              </w:rPr>
              <w:fldChar w:fldCharType="separate"/>
            </w:r>
            <w:r w:rsidR="00B572AE">
              <w:rPr>
                <w:noProof/>
                <w:webHidden/>
              </w:rPr>
              <w:t>57</w:t>
            </w:r>
            <w:r w:rsidR="00B572AE">
              <w:rPr>
                <w:noProof/>
                <w:webHidden/>
              </w:rPr>
              <w:fldChar w:fldCharType="end"/>
            </w:r>
          </w:hyperlink>
        </w:p>
        <w:p w14:paraId="43E935C2" w14:textId="2E142916" w:rsidR="00B572AE" w:rsidRDefault="008A3D44">
          <w:pPr>
            <w:pStyle w:val="Sumrio2"/>
            <w:tabs>
              <w:tab w:val="left" w:pos="660"/>
              <w:tab w:val="right" w:leader="dot" w:pos="9736"/>
            </w:tabs>
            <w:rPr>
              <w:rFonts w:asciiTheme="minorHAnsi" w:eastAsiaTheme="minorEastAsia" w:hAnsiTheme="minorHAnsi" w:cstheme="minorBidi"/>
              <w:b w:val="0"/>
              <w:bCs w:val="0"/>
              <w:noProof/>
              <w:sz w:val="22"/>
              <w:szCs w:val="22"/>
              <w:lang w:eastAsia="pt-BR" w:bidi="ar-SA"/>
            </w:rPr>
          </w:pPr>
          <w:hyperlink w:anchor="_Toc103680528" w:history="1">
            <w:r w:rsidR="00B572AE" w:rsidRPr="00764BE3">
              <w:rPr>
                <w:rStyle w:val="Hyperlink"/>
                <w:noProof/>
              </w:rPr>
              <w:t>3.2</w:t>
            </w:r>
            <w:r w:rsidR="00B572AE">
              <w:rPr>
                <w:rFonts w:asciiTheme="minorHAnsi" w:eastAsiaTheme="minorEastAsia" w:hAnsiTheme="minorHAnsi" w:cstheme="minorBidi"/>
                <w:b w:val="0"/>
                <w:bCs w:val="0"/>
                <w:noProof/>
                <w:sz w:val="22"/>
                <w:szCs w:val="22"/>
                <w:lang w:eastAsia="pt-BR" w:bidi="ar-SA"/>
              </w:rPr>
              <w:tab/>
            </w:r>
            <w:r w:rsidR="00B572AE" w:rsidRPr="00764BE3">
              <w:rPr>
                <w:rStyle w:val="Hyperlink"/>
                <w:noProof/>
              </w:rPr>
              <w:t>Planejamento estratégico institucional</w:t>
            </w:r>
            <w:r w:rsidR="00B572AE">
              <w:rPr>
                <w:noProof/>
                <w:webHidden/>
              </w:rPr>
              <w:tab/>
            </w:r>
            <w:r w:rsidR="00B572AE">
              <w:rPr>
                <w:noProof/>
                <w:webHidden/>
              </w:rPr>
              <w:fldChar w:fldCharType="begin"/>
            </w:r>
            <w:r w:rsidR="00B572AE">
              <w:rPr>
                <w:noProof/>
                <w:webHidden/>
              </w:rPr>
              <w:instrText xml:space="preserve"> PAGEREF _Toc103680528 \h </w:instrText>
            </w:r>
            <w:r w:rsidR="00B572AE">
              <w:rPr>
                <w:noProof/>
                <w:webHidden/>
              </w:rPr>
            </w:r>
            <w:r w:rsidR="00B572AE">
              <w:rPr>
                <w:noProof/>
                <w:webHidden/>
              </w:rPr>
              <w:fldChar w:fldCharType="separate"/>
            </w:r>
            <w:r w:rsidR="00B572AE">
              <w:rPr>
                <w:noProof/>
                <w:webHidden/>
              </w:rPr>
              <w:t>58</w:t>
            </w:r>
            <w:r w:rsidR="00B572AE">
              <w:rPr>
                <w:noProof/>
                <w:webHidden/>
              </w:rPr>
              <w:fldChar w:fldCharType="end"/>
            </w:r>
          </w:hyperlink>
        </w:p>
        <w:p w14:paraId="64C02E10" w14:textId="660748EE" w:rsidR="00B572AE" w:rsidRDefault="008A3D44">
          <w:pPr>
            <w:pStyle w:val="Sumrio2"/>
            <w:tabs>
              <w:tab w:val="left" w:pos="660"/>
              <w:tab w:val="right" w:leader="dot" w:pos="9736"/>
            </w:tabs>
            <w:rPr>
              <w:rFonts w:asciiTheme="minorHAnsi" w:eastAsiaTheme="minorEastAsia" w:hAnsiTheme="minorHAnsi" w:cstheme="minorBidi"/>
              <w:b w:val="0"/>
              <w:bCs w:val="0"/>
              <w:noProof/>
              <w:sz w:val="22"/>
              <w:szCs w:val="22"/>
              <w:lang w:eastAsia="pt-BR" w:bidi="ar-SA"/>
            </w:rPr>
          </w:pPr>
          <w:hyperlink w:anchor="_Toc103680529" w:history="1">
            <w:r w:rsidR="00B572AE" w:rsidRPr="00764BE3">
              <w:rPr>
                <w:rStyle w:val="Hyperlink"/>
                <w:noProof/>
              </w:rPr>
              <w:t>3.3</w:t>
            </w:r>
            <w:r w:rsidR="00B572AE">
              <w:rPr>
                <w:rFonts w:asciiTheme="minorHAnsi" w:eastAsiaTheme="minorEastAsia" w:hAnsiTheme="minorHAnsi" w:cstheme="minorBidi"/>
                <w:b w:val="0"/>
                <w:bCs w:val="0"/>
                <w:noProof/>
                <w:sz w:val="22"/>
                <w:szCs w:val="22"/>
                <w:lang w:eastAsia="pt-BR" w:bidi="ar-SA"/>
              </w:rPr>
              <w:tab/>
            </w:r>
            <w:r w:rsidR="00B572AE" w:rsidRPr="00764BE3">
              <w:rPr>
                <w:rStyle w:val="Hyperlink"/>
                <w:noProof/>
              </w:rPr>
              <w:t>Plano de curto prazo - ano 2021</w:t>
            </w:r>
            <w:r w:rsidR="00B572AE">
              <w:rPr>
                <w:noProof/>
                <w:webHidden/>
              </w:rPr>
              <w:tab/>
            </w:r>
            <w:r w:rsidR="00B572AE">
              <w:rPr>
                <w:noProof/>
                <w:webHidden/>
              </w:rPr>
              <w:fldChar w:fldCharType="begin"/>
            </w:r>
            <w:r w:rsidR="00B572AE">
              <w:rPr>
                <w:noProof/>
                <w:webHidden/>
              </w:rPr>
              <w:instrText xml:space="preserve"> PAGEREF _Toc103680529 \h </w:instrText>
            </w:r>
            <w:r w:rsidR="00B572AE">
              <w:rPr>
                <w:noProof/>
                <w:webHidden/>
              </w:rPr>
            </w:r>
            <w:r w:rsidR="00B572AE">
              <w:rPr>
                <w:noProof/>
                <w:webHidden/>
              </w:rPr>
              <w:fldChar w:fldCharType="separate"/>
            </w:r>
            <w:r w:rsidR="00B572AE">
              <w:rPr>
                <w:noProof/>
                <w:webHidden/>
              </w:rPr>
              <w:t>65</w:t>
            </w:r>
            <w:r w:rsidR="00B572AE">
              <w:rPr>
                <w:noProof/>
                <w:webHidden/>
              </w:rPr>
              <w:fldChar w:fldCharType="end"/>
            </w:r>
          </w:hyperlink>
        </w:p>
        <w:p w14:paraId="3BB40CCE" w14:textId="058F57C2" w:rsidR="00B572AE" w:rsidRDefault="008A3D44">
          <w:pPr>
            <w:pStyle w:val="Sumrio2"/>
            <w:tabs>
              <w:tab w:val="left" w:pos="660"/>
              <w:tab w:val="right" w:leader="dot" w:pos="9736"/>
            </w:tabs>
            <w:rPr>
              <w:rFonts w:asciiTheme="minorHAnsi" w:eastAsiaTheme="minorEastAsia" w:hAnsiTheme="minorHAnsi" w:cstheme="minorBidi"/>
              <w:b w:val="0"/>
              <w:bCs w:val="0"/>
              <w:noProof/>
              <w:sz w:val="22"/>
              <w:szCs w:val="22"/>
              <w:lang w:eastAsia="pt-BR" w:bidi="ar-SA"/>
            </w:rPr>
          </w:pPr>
          <w:hyperlink w:anchor="_Toc103680530" w:history="1">
            <w:r w:rsidR="00B572AE" w:rsidRPr="00764BE3">
              <w:rPr>
                <w:rStyle w:val="Hyperlink"/>
                <w:noProof/>
              </w:rPr>
              <w:t>3.4</w:t>
            </w:r>
            <w:r w:rsidR="00B572AE">
              <w:rPr>
                <w:rFonts w:asciiTheme="minorHAnsi" w:eastAsiaTheme="minorEastAsia" w:hAnsiTheme="minorHAnsi" w:cstheme="minorBidi"/>
                <w:b w:val="0"/>
                <w:bCs w:val="0"/>
                <w:noProof/>
                <w:sz w:val="22"/>
                <w:szCs w:val="22"/>
                <w:lang w:eastAsia="pt-BR" w:bidi="ar-SA"/>
              </w:rPr>
              <w:tab/>
            </w:r>
            <w:r w:rsidR="00B572AE" w:rsidRPr="00764BE3">
              <w:rPr>
                <w:rStyle w:val="Hyperlink"/>
                <w:noProof/>
              </w:rPr>
              <w:t>Gestão de mercado e inovação</w:t>
            </w:r>
            <w:r w:rsidR="00B572AE">
              <w:rPr>
                <w:noProof/>
                <w:webHidden/>
              </w:rPr>
              <w:tab/>
            </w:r>
            <w:r w:rsidR="00B572AE">
              <w:rPr>
                <w:noProof/>
                <w:webHidden/>
              </w:rPr>
              <w:fldChar w:fldCharType="begin"/>
            </w:r>
            <w:r w:rsidR="00B572AE">
              <w:rPr>
                <w:noProof/>
                <w:webHidden/>
              </w:rPr>
              <w:instrText xml:space="preserve"> PAGEREF _Toc103680530 \h </w:instrText>
            </w:r>
            <w:r w:rsidR="00B572AE">
              <w:rPr>
                <w:noProof/>
                <w:webHidden/>
              </w:rPr>
            </w:r>
            <w:r w:rsidR="00B572AE">
              <w:rPr>
                <w:noProof/>
                <w:webHidden/>
              </w:rPr>
              <w:fldChar w:fldCharType="separate"/>
            </w:r>
            <w:r w:rsidR="00B572AE">
              <w:rPr>
                <w:noProof/>
                <w:webHidden/>
              </w:rPr>
              <w:t>73</w:t>
            </w:r>
            <w:r w:rsidR="00B572AE">
              <w:rPr>
                <w:noProof/>
                <w:webHidden/>
              </w:rPr>
              <w:fldChar w:fldCharType="end"/>
            </w:r>
          </w:hyperlink>
        </w:p>
        <w:p w14:paraId="055C1162" w14:textId="7F8270CB"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531" w:history="1">
            <w:r w:rsidR="00B572AE" w:rsidRPr="00764BE3">
              <w:rPr>
                <w:rStyle w:val="Hyperlink"/>
                <w:rFonts w:cstheme="minorHAnsi"/>
                <w:noProof/>
              </w:rPr>
              <w:t>3.4.1</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Pesquisa de mercado</w:t>
            </w:r>
            <w:r w:rsidR="00B572AE">
              <w:rPr>
                <w:noProof/>
                <w:webHidden/>
              </w:rPr>
              <w:tab/>
            </w:r>
            <w:r w:rsidR="00B572AE">
              <w:rPr>
                <w:noProof/>
                <w:webHidden/>
              </w:rPr>
              <w:fldChar w:fldCharType="begin"/>
            </w:r>
            <w:r w:rsidR="00B572AE">
              <w:rPr>
                <w:noProof/>
                <w:webHidden/>
              </w:rPr>
              <w:instrText xml:space="preserve"> PAGEREF _Toc103680531 \h </w:instrText>
            </w:r>
            <w:r w:rsidR="00B572AE">
              <w:rPr>
                <w:noProof/>
                <w:webHidden/>
              </w:rPr>
            </w:r>
            <w:r w:rsidR="00B572AE">
              <w:rPr>
                <w:noProof/>
                <w:webHidden/>
              </w:rPr>
              <w:fldChar w:fldCharType="separate"/>
            </w:r>
            <w:r w:rsidR="00B572AE">
              <w:rPr>
                <w:noProof/>
                <w:webHidden/>
              </w:rPr>
              <w:t>73</w:t>
            </w:r>
            <w:r w:rsidR="00B572AE">
              <w:rPr>
                <w:noProof/>
                <w:webHidden/>
              </w:rPr>
              <w:fldChar w:fldCharType="end"/>
            </w:r>
          </w:hyperlink>
        </w:p>
        <w:p w14:paraId="38138836" w14:textId="5E825EA8"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532" w:history="1">
            <w:r w:rsidR="00B572AE" w:rsidRPr="00764BE3">
              <w:rPr>
                <w:rStyle w:val="Hyperlink"/>
                <w:rFonts w:cstheme="minorHAnsi"/>
                <w:noProof/>
              </w:rPr>
              <w:t>3.4.2</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Prospecção de clientes</w:t>
            </w:r>
            <w:r w:rsidR="00B572AE">
              <w:rPr>
                <w:noProof/>
                <w:webHidden/>
              </w:rPr>
              <w:tab/>
            </w:r>
            <w:r w:rsidR="00B572AE">
              <w:rPr>
                <w:noProof/>
                <w:webHidden/>
              </w:rPr>
              <w:fldChar w:fldCharType="begin"/>
            </w:r>
            <w:r w:rsidR="00B572AE">
              <w:rPr>
                <w:noProof/>
                <w:webHidden/>
              </w:rPr>
              <w:instrText xml:space="preserve"> PAGEREF _Toc103680532 \h </w:instrText>
            </w:r>
            <w:r w:rsidR="00B572AE">
              <w:rPr>
                <w:noProof/>
                <w:webHidden/>
              </w:rPr>
            </w:r>
            <w:r w:rsidR="00B572AE">
              <w:rPr>
                <w:noProof/>
                <w:webHidden/>
              </w:rPr>
              <w:fldChar w:fldCharType="separate"/>
            </w:r>
            <w:r w:rsidR="00B572AE">
              <w:rPr>
                <w:noProof/>
                <w:webHidden/>
              </w:rPr>
              <w:t>73</w:t>
            </w:r>
            <w:r w:rsidR="00B572AE">
              <w:rPr>
                <w:noProof/>
                <w:webHidden/>
              </w:rPr>
              <w:fldChar w:fldCharType="end"/>
            </w:r>
          </w:hyperlink>
        </w:p>
        <w:p w14:paraId="605D4E84" w14:textId="79B25180"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533" w:history="1">
            <w:r w:rsidR="00B572AE" w:rsidRPr="00764BE3">
              <w:rPr>
                <w:rStyle w:val="Hyperlink"/>
                <w:rFonts w:cstheme="minorHAnsi"/>
                <w:noProof/>
              </w:rPr>
              <w:t>3.4.3</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Inovação: Projeto Carcará</w:t>
            </w:r>
            <w:r w:rsidR="00B572AE">
              <w:rPr>
                <w:noProof/>
                <w:webHidden/>
              </w:rPr>
              <w:tab/>
            </w:r>
            <w:r w:rsidR="00B572AE">
              <w:rPr>
                <w:noProof/>
                <w:webHidden/>
              </w:rPr>
              <w:fldChar w:fldCharType="begin"/>
            </w:r>
            <w:r w:rsidR="00B572AE">
              <w:rPr>
                <w:noProof/>
                <w:webHidden/>
              </w:rPr>
              <w:instrText xml:space="preserve"> PAGEREF _Toc103680533 \h </w:instrText>
            </w:r>
            <w:r w:rsidR="00B572AE">
              <w:rPr>
                <w:noProof/>
                <w:webHidden/>
              </w:rPr>
            </w:r>
            <w:r w:rsidR="00B572AE">
              <w:rPr>
                <w:noProof/>
                <w:webHidden/>
              </w:rPr>
              <w:fldChar w:fldCharType="separate"/>
            </w:r>
            <w:r w:rsidR="00B572AE">
              <w:rPr>
                <w:noProof/>
                <w:webHidden/>
              </w:rPr>
              <w:t>74</w:t>
            </w:r>
            <w:r w:rsidR="00B572AE">
              <w:rPr>
                <w:noProof/>
                <w:webHidden/>
              </w:rPr>
              <w:fldChar w:fldCharType="end"/>
            </w:r>
          </w:hyperlink>
        </w:p>
        <w:p w14:paraId="769A020E" w14:textId="5D9980C9" w:rsidR="00B572AE" w:rsidRDefault="008A3D44">
          <w:pPr>
            <w:pStyle w:val="Sumrio1"/>
            <w:tabs>
              <w:tab w:val="left" w:pos="440"/>
              <w:tab w:val="right" w:leader="dot" w:pos="9736"/>
            </w:tabs>
            <w:rPr>
              <w:rFonts w:asciiTheme="minorHAnsi" w:eastAsiaTheme="minorEastAsia" w:hAnsiTheme="minorHAnsi" w:cstheme="minorBidi"/>
              <w:b w:val="0"/>
              <w:bCs w:val="0"/>
              <w:caps w:val="0"/>
              <w:noProof/>
              <w:sz w:val="22"/>
              <w:szCs w:val="22"/>
              <w:lang w:eastAsia="pt-BR" w:bidi="ar-SA"/>
            </w:rPr>
          </w:pPr>
          <w:hyperlink w:anchor="_Toc103680534" w:history="1">
            <w:r w:rsidR="00B572AE" w:rsidRPr="00764BE3">
              <w:rPr>
                <w:rStyle w:val="Hyperlink"/>
                <w:rFonts w:cstheme="minorHAnsi"/>
                <w:noProof/>
              </w:rPr>
              <w:t>4</w:t>
            </w:r>
            <w:r w:rsidR="00B572AE">
              <w:rPr>
                <w:rFonts w:asciiTheme="minorHAnsi" w:eastAsiaTheme="minorEastAsia" w:hAnsiTheme="minorHAnsi" w:cstheme="minorBidi"/>
                <w:b w:val="0"/>
                <w:bCs w:val="0"/>
                <w:caps w:val="0"/>
                <w:noProof/>
                <w:sz w:val="22"/>
                <w:szCs w:val="22"/>
                <w:lang w:eastAsia="pt-BR" w:bidi="ar-SA"/>
              </w:rPr>
              <w:tab/>
            </w:r>
            <w:r w:rsidR="00B572AE" w:rsidRPr="00764BE3">
              <w:rPr>
                <w:rStyle w:val="Hyperlink"/>
                <w:rFonts w:cstheme="minorHAnsi"/>
                <w:noProof/>
              </w:rPr>
              <w:t>Resultados da gestão</w:t>
            </w:r>
            <w:r w:rsidR="00B572AE">
              <w:rPr>
                <w:noProof/>
                <w:webHidden/>
              </w:rPr>
              <w:tab/>
            </w:r>
            <w:r w:rsidR="00B572AE">
              <w:rPr>
                <w:noProof/>
                <w:webHidden/>
              </w:rPr>
              <w:fldChar w:fldCharType="begin"/>
            </w:r>
            <w:r w:rsidR="00B572AE">
              <w:rPr>
                <w:noProof/>
                <w:webHidden/>
              </w:rPr>
              <w:instrText xml:space="preserve"> PAGEREF _Toc103680534 \h </w:instrText>
            </w:r>
            <w:r w:rsidR="00B572AE">
              <w:rPr>
                <w:noProof/>
                <w:webHidden/>
              </w:rPr>
            </w:r>
            <w:r w:rsidR="00B572AE">
              <w:rPr>
                <w:noProof/>
                <w:webHidden/>
              </w:rPr>
              <w:fldChar w:fldCharType="separate"/>
            </w:r>
            <w:r w:rsidR="00B572AE">
              <w:rPr>
                <w:noProof/>
                <w:webHidden/>
              </w:rPr>
              <w:t>76</w:t>
            </w:r>
            <w:r w:rsidR="00B572AE">
              <w:rPr>
                <w:noProof/>
                <w:webHidden/>
              </w:rPr>
              <w:fldChar w:fldCharType="end"/>
            </w:r>
          </w:hyperlink>
        </w:p>
        <w:p w14:paraId="0D4DC6B4" w14:textId="75545B25" w:rsidR="00B572AE" w:rsidRDefault="008A3D44">
          <w:pPr>
            <w:pStyle w:val="Sumrio2"/>
            <w:tabs>
              <w:tab w:val="left" w:pos="660"/>
              <w:tab w:val="right" w:leader="dot" w:pos="9736"/>
            </w:tabs>
            <w:rPr>
              <w:rFonts w:asciiTheme="minorHAnsi" w:eastAsiaTheme="minorEastAsia" w:hAnsiTheme="minorHAnsi" w:cstheme="minorBidi"/>
              <w:b w:val="0"/>
              <w:bCs w:val="0"/>
              <w:noProof/>
              <w:sz w:val="22"/>
              <w:szCs w:val="22"/>
              <w:lang w:eastAsia="pt-BR" w:bidi="ar-SA"/>
            </w:rPr>
          </w:pPr>
          <w:hyperlink w:anchor="_Toc103680535" w:history="1">
            <w:r w:rsidR="00B572AE" w:rsidRPr="00764BE3">
              <w:rPr>
                <w:rStyle w:val="Hyperlink"/>
                <w:noProof/>
              </w:rPr>
              <w:t>4.1</w:t>
            </w:r>
            <w:r w:rsidR="00B572AE">
              <w:rPr>
                <w:rFonts w:asciiTheme="minorHAnsi" w:eastAsiaTheme="minorEastAsia" w:hAnsiTheme="minorHAnsi" w:cstheme="minorBidi"/>
                <w:b w:val="0"/>
                <w:bCs w:val="0"/>
                <w:noProof/>
                <w:sz w:val="22"/>
                <w:szCs w:val="22"/>
                <w:lang w:eastAsia="pt-BR" w:bidi="ar-SA"/>
              </w:rPr>
              <w:tab/>
            </w:r>
            <w:r w:rsidR="00B572AE" w:rsidRPr="00764BE3">
              <w:rPr>
                <w:rStyle w:val="Hyperlink"/>
                <w:noProof/>
              </w:rPr>
              <w:t>Desempenho estratégico</w:t>
            </w:r>
            <w:r w:rsidR="00B572AE">
              <w:rPr>
                <w:noProof/>
                <w:webHidden/>
              </w:rPr>
              <w:tab/>
            </w:r>
            <w:r w:rsidR="00B572AE">
              <w:rPr>
                <w:noProof/>
                <w:webHidden/>
              </w:rPr>
              <w:fldChar w:fldCharType="begin"/>
            </w:r>
            <w:r w:rsidR="00B572AE">
              <w:rPr>
                <w:noProof/>
                <w:webHidden/>
              </w:rPr>
              <w:instrText xml:space="preserve"> PAGEREF _Toc103680535 \h </w:instrText>
            </w:r>
            <w:r w:rsidR="00B572AE">
              <w:rPr>
                <w:noProof/>
                <w:webHidden/>
              </w:rPr>
            </w:r>
            <w:r w:rsidR="00B572AE">
              <w:rPr>
                <w:noProof/>
                <w:webHidden/>
              </w:rPr>
              <w:fldChar w:fldCharType="separate"/>
            </w:r>
            <w:r w:rsidR="00B572AE">
              <w:rPr>
                <w:noProof/>
                <w:webHidden/>
              </w:rPr>
              <w:t>76</w:t>
            </w:r>
            <w:r w:rsidR="00B572AE">
              <w:rPr>
                <w:noProof/>
                <w:webHidden/>
              </w:rPr>
              <w:fldChar w:fldCharType="end"/>
            </w:r>
          </w:hyperlink>
        </w:p>
        <w:p w14:paraId="7BCCA55A" w14:textId="547BE377"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536" w:history="1">
            <w:r w:rsidR="00B572AE" w:rsidRPr="00764BE3">
              <w:rPr>
                <w:rStyle w:val="Hyperlink"/>
                <w:rFonts w:cstheme="minorHAnsi"/>
                <w:noProof/>
              </w:rPr>
              <w:t>4.1.1</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Alinhamento entre Estratégia e Cadeia de Valor</w:t>
            </w:r>
            <w:r w:rsidR="00B572AE">
              <w:rPr>
                <w:noProof/>
                <w:webHidden/>
              </w:rPr>
              <w:tab/>
            </w:r>
            <w:r w:rsidR="00B572AE">
              <w:rPr>
                <w:noProof/>
                <w:webHidden/>
              </w:rPr>
              <w:fldChar w:fldCharType="begin"/>
            </w:r>
            <w:r w:rsidR="00B572AE">
              <w:rPr>
                <w:noProof/>
                <w:webHidden/>
              </w:rPr>
              <w:instrText xml:space="preserve"> PAGEREF _Toc103680536 \h </w:instrText>
            </w:r>
            <w:r w:rsidR="00B572AE">
              <w:rPr>
                <w:noProof/>
                <w:webHidden/>
              </w:rPr>
            </w:r>
            <w:r w:rsidR="00B572AE">
              <w:rPr>
                <w:noProof/>
                <w:webHidden/>
              </w:rPr>
              <w:fldChar w:fldCharType="separate"/>
            </w:r>
            <w:r w:rsidR="00B572AE">
              <w:rPr>
                <w:noProof/>
                <w:webHidden/>
              </w:rPr>
              <w:t>84</w:t>
            </w:r>
            <w:r w:rsidR="00B572AE">
              <w:rPr>
                <w:noProof/>
                <w:webHidden/>
              </w:rPr>
              <w:fldChar w:fldCharType="end"/>
            </w:r>
          </w:hyperlink>
        </w:p>
        <w:p w14:paraId="74F07636" w14:textId="5B5FA2B3" w:rsidR="00B572AE" w:rsidRDefault="008A3D44">
          <w:pPr>
            <w:pStyle w:val="Sumrio2"/>
            <w:tabs>
              <w:tab w:val="left" w:pos="660"/>
              <w:tab w:val="right" w:leader="dot" w:pos="9736"/>
            </w:tabs>
            <w:rPr>
              <w:rFonts w:asciiTheme="minorHAnsi" w:eastAsiaTheme="minorEastAsia" w:hAnsiTheme="minorHAnsi" w:cstheme="minorBidi"/>
              <w:b w:val="0"/>
              <w:bCs w:val="0"/>
              <w:noProof/>
              <w:sz w:val="22"/>
              <w:szCs w:val="22"/>
              <w:lang w:eastAsia="pt-BR" w:bidi="ar-SA"/>
            </w:rPr>
          </w:pPr>
          <w:hyperlink w:anchor="_Toc103680537" w:history="1">
            <w:r w:rsidR="00B572AE" w:rsidRPr="00764BE3">
              <w:rPr>
                <w:rStyle w:val="Hyperlink"/>
                <w:noProof/>
              </w:rPr>
              <w:t>4.2</w:t>
            </w:r>
            <w:r w:rsidR="00B572AE">
              <w:rPr>
                <w:rFonts w:asciiTheme="minorHAnsi" w:eastAsiaTheme="minorEastAsia" w:hAnsiTheme="minorHAnsi" w:cstheme="minorBidi"/>
                <w:b w:val="0"/>
                <w:bCs w:val="0"/>
                <w:noProof/>
                <w:sz w:val="22"/>
                <w:szCs w:val="22"/>
                <w:lang w:eastAsia="pt-BR" w:bidi="ar-SA"/>
              </w:rPr>
              <w:tab/>
            </w:r>
            <w:r w:rsidR="00B572AE" w:rsidRPr="00764BE3">
              <w:rPr>
                <w:rStyle w:val="Hyperlink"/>
                <w:noProof/>
              </w:rPr>
              <w:t>Gestão orçamentária e financeira</w:t>
            </w:r>
            <w:r w:rsidR="00B572AE">
              <w:rPr>
                <w:noProof/>
                <w:webHidden/>
              </w:rPr>
              <w:tab/>
            </w:r>
            <w:r w:rsidR="00B572AE">
              <w:rPr>
                <w:noProof/>
                <w:webHidden/>
              </w:rPr>
              <w:fldChar w:fldCharType="begin"/>
            </w:r>
            <w:r w:rsidR="00B572AE">
              <w:rPr>
                <w:noProof/>
                <w:webHidden/>
              </w:rPr>
              <w:instrText xml:space="preserve"> PAGEREF _Toc103680537 \h </w:instrText>
            </w:r>
            <w:r w:rsidR="00B572AE">
              <w:rPr>
                <w:noProof/>
                <w:webHidden/>
              </w:rPr>
            </w:r>
            <w:r w:rsidR="00B572AE">
              <w:rPr>
                <w:noProof/>
                <w:webHidden/>
              </w:rPr>
              <w:fldChar w:fldCharType="separate"/>
            </w:r>
            <w:r w:rsidR="00B572AE">
              <w:rPr>
                <w:noProof/>
                <w:webHidden/>
              </w:rPr>
              <w:t>85</w:t>
            </w:r>
            <w:r w:rsidR="00B572AE">
              <w:rPr>
                <w:noProof/>
                <w:webHidden/>
              </w:rPr>
              <w:fldChar w:fldCharType="end"/>
            </w:r>
          </w:hyperlink>
        </w:p>
        <w:p w14:paraId="47F3F405" w14:textId="56BCE204"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538" w:history="1">
            <w:r w:rsidR="00B572AE" w:rsidRPr="00764BE3">
              <w:rPr>
                <w:rStyle w:val="Hyperlink"/>
                <w:rFonts w:cstheme="minorHAnsi"/>
                <w:noProof/>
              </w:rPr>
              <w:t>4.2.1</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Execução da Lei Orçamentária Anual (LOA 2021)</w:t>
            </w:r>
            <w:r w:rsidR="00B572AE">
              <w:rPr>
                <w:noProof/>
                <w:webHidden/>
              </w:rPr>
              <w:tab/>
            </w:r>
            <w:r w:rsidR="00B572AE">
              <w:rPr>
                <w:noProof/>
                <w:webHidden/>
              </w:rPr>
              <w:fldChar w:fldCharType="begin"/>
            </w:r>
            <w:r w:rsidR="00B572AE">
              <w:rPr>
                <w:noProof/>
                <w:webHidden/>
              </w:rPr>
              <w:instrText xml:space="preserve"> PAGEREF _Toc103680538 \h </w:instrText>
            </w:r>
            <w:r w:rsidR="00B572AE">
              <w:rPr>
                <w:noProof/>
                <w:webHidden/>
              </w:rPr>
            </w:r>
            <w:r w:rsidR="00B572AE">
              <w:rPr>
                <w:noProof/>
                <w:webHidden/>
              </w:rPr>
              <w:fldChar w:fldCharType="separate"/>
            </w:r>
            <w:r w:rsidR="00B572AE">
              <w:rPr>
                <w:noProof/>
                <w:webHidden/>
              </w:rPr>
              <w:t>85</w:t>
            </w:r>
            <w:r w:rsidR="00B572AE">
              <w:rPr>
                <w:noProof/>
                <w:webHidden/>
              </w:rPr>
              <w:fldChar w:fldCharType="end"/>
            </w:r>
          </w:hyperlink>
        </w:p>
        <w:p w14:paraId="74E54E23" w14:textId="7B8DA98D"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539" w:history="1">
            <w:r w:rsidR="00B572AE" w:rsidRPr="00764BE3">
              <w:rPr>
                <w:rStyle w:val="Hyperlink"/>
                <w:rFonts w:cstheme="minorHAnsi"/>
                <w:noProof/>
              </w:rPr>
              <w:t>4.2.2</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Execução do orçamento por categoria da despesa</w:t>
            </w:r>
            <w:r w:rsidR="00B572AE">
              <w:rPr>
                <w:noProof/>
                <w:webHidden/>
              </w:rPr>
              <w:tab/>
            </w:r>
            <w:r w:rsidR="00B572AE">
              <w:rPr>
                <w:noProof/>
                <w:webHidden/>
              </w:rPr>
              <w:fldChar w:fldCharType="begin"/>
            </w:r>
            <w:r w:rsidR="00B572AE">
              <w:rPr>
                <w:noProof/>
                <w:webHidden/>
              </w:rPr>
              <w:instrText xml:space="preserve"> PAGEREF _Toc103680539 \h </w:instrText>
            </w:r>
            <w:r w:rsidR="00B572AE">
              <w:rPr>
                <w:noProof/>
                <w:webHidden/>
              </w:rPr>
            </w:r>
            <w:r w:rsidR="00B572AE">
              <w:rPr>
                <w:noProof/>
                <w:webHidden/>
              </w:rPr>
              <w:fldChar w:fldCharType="separate"/>
            </w:r>
            <w:r w:rsidR="00B572AE">
              <w:rPr>
                <w:noProof/>
                <w:webHidden/>
              </w:rPr>
              <w:t>86</w:t>
            </w:r>
            <w:r w:rsidR="00B572AE">
              <w:rPr>
                <w:noProof/>
                <w:webHidden/>
              </w:rPr>
              <w:fldChar w:fldCharType="end"/>
            </w:r>
          </w:hyperlink>
        </w:p>
        <w:p w14:paraId="1BF38B41" w14:textId="312B75F6" w:rsidR="00B572AE" w:rsidRDefault="008A3D44">
          <w:pPr>
            <w:pStyle w:val="Sumrio4"/>
            <w:tabs>
              <w:tab w:val="left" w:pos="1320"/>
              <w:tab w:val="right" w:leader="dot" w:pos="9736"/>
            </w:tabs>
            <w:rPr>
              <w:rFonts w:asciiTheme="minorHAnsi" w:eastAsiaTheme="minorEastAsia" w:hAnsiTheme="minorHAnsi" w:cstheme="minorBidi"/>
              <w:noProof/>
              <w:sz w:val="22"/>
              <w:szCs w:val="22"/>
              <w:lang w:eastAsia="pt-BR" w:bidi="ar-SA"/>
            </w:rPr>
          </w:pPr>
          <w:hyperlink w:anchor="_Toc103680540" w:history="1">
            <w:r w:rsidR="00B572AE" w:rsidRPr="00764BE3">
              <w:rPr>
                <w:rStyle w:val="Hyperlink"/>
                <w:rFonts w:cstheme="minorHAnsi"/>
                <w:noProof/>
              </w:rPr>
              <w:t>4.2.2.1</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Pessoal, encargos e benefícios e indenizações trabalhistas (judicial).</w:t>
            </w:r>
            <w:r w:rsidR="00B572AE">
              <w:rPr>
                <w:noProof/>
                <w:webHidden/>
              </w:rPr>
              <w:tab/>
            </w:r>
            <w:r w:rsidR="00B572AE">
              <w:rPr>
                <w:noProof/>
                <w:webHidden/>
              </w:rPr>
              <w:fldChar w:fldCharType="begin"/>
            </w:r>
            <w:r w:rsidR="00B572AE">
              <w:rPr>
                <w:noProof/>
                <w:webHidden/>
              </w:rPr>
              <w:instrText xml:space="preserve"> PAGEREF _Toc103680540 \h </w:instrText>
            </w:r>
            <w:r w:rsidR="00B572AE">
              <w:rPr>
                <w:noProof/>
                <w:webHidden/>
              </w:rPr>
            </w:r>
            <w:r w:rsidR="00B572AE">
              <w:rPr>
                <w:noProof/>
                <w:webHidden/>
              </w:rPr>
              <w:fldChar w:fldCharType="separate"/>
            </w:r>
            <w:r w:rsidR="00B572AE">
              <w:rPr>
                <w:noProof/>
                <w:webHidden/>
              </w:rPr>
              <w:t>86</w:t>
            </w:r>
            <w:r w:rsidR="00B572AE">
              <w:rPr>
                <w:noProof/>
                <w:webHidden/>
              </w:rPr>
              <w:fldChar w:fldCharType="end"/>
            </w:r>
          </w:hyperlink>
        </w:p>
        <w:p w14:paraId="6931FDE0" w14:textId="2A830E7B" w:rsidR="00B572AE" w:rsidRDefault="008A3D44">
          <w:pPr>
            <w:pStyle w:val="Sumrio4"/>
            <w:tabs>
              <w:tab w:val="left" w:pos="1320"/>
              <w:tab w:val="right" w:leader="dot" w:pos="9736"/>
            </w:tabs>
            <w:rPr>
              <w:rFonts w:asciiTheme="minorHAnsi" w:eastAsiaTheme="minorEastAsia" w:hAnsiTheme="minorHAnsi" w:cstheme="minorBidi"/>
              <w:noProof/>
              <w:sz w:val="22"/>
              <w:szCs w:val="22"/>
              <w:lang w:eastAsia="pt-BR" w:bidi="ar-SA"/>
            </w:rPr>
          </w:pPr>
          <w:hyperlink w:anchor="_Toc103680541" w:history="1">
            <w:r w:rsidR="00B572AE" w:rsidRPr="00764BE3">
              <w:rPr>
                <w:rStyle w:val="Hyperlink"/>
                <w:rFonts w:cstheme="minorHAnsi"/>
                <w:noProof/>
              </w:rPr>
              <w:t>4.2.2.2</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Investimento</w:t>
            </w:r>
            <w:r w:rsidR="00B572AE">
              <w:rPr>
                <w:noProof/>
                <w:webHidden/>
              </w:rPr>
              <w:tab/>
            </w:r>
            <w:r w:rsidR="00B572AE">
              <w:rPr>
                <w:noProof/>
                <w:webHidden/>
              </w:rPr>
              <w:fldChar w:fldCharType="begin"/>
            </w:r>
            <w:r w:rsidR="00B572AE">
              <w:rPr>
                <w:noProof/>
                <w:webHidden/>
              </w:rPr>
              <w:instrText xml:space="preserve"> PAGEREF _Toc103680541 \h </w:instrText>
            </w:r>
            <w:r w:rsidR="00B572AE">
              <w:rPr>
                <w:noProof/>
                <w:webHidden/>
              </w:rPr>
            </w:r>
            <w:r w:rsidR="00B572AE">
              <w:rPr>
                <w:noProof/>
                <w:webHidden/>
              </w:rPr>
              <w:fldChar w:fldCharType="separate"/>
            </w:r>
            <w:r w:rsidR="00B572AE">
              <w:rPr>
                <w:noProof/>
                <w:webHidden/>
              </w:rPr>
              <w:t>86</w:t>
            </w:r>
            <w:r w:rsidR="00B572AE">
              <w:rPr>
                <w:noProof/>
                <w:webHidden/>
              </w:rPr>
              <w:fldChar w:fldCharType="end"/>
            </w:r>
          </w:hyperlink>
        </w:p>
        <w:p w14:paraId="3DE55C3B" w14:textId="31A7CBAB" w:rsidR="00B572AE" w:rsidRDefault="008A3D44">
          <w:pPr>
            <w:pStyle w:val="Sumrio4"/>
            <w:tabs>
              <w:tab w:val="left" w:pos="1320"/>
              <w:tab w:val="right" w:leader="dot" w:pos="9736"/>
            </w:tabs>
            <w:rPr>
              <w:rFonts w:asciiTheme="minorHAnsi" w:eastAsiaTheme="minorEastAsia" w:hAnsiTheme="minorHAnsi" w:cstheme="minorBidi"/>
              <w:noProof/>
              <w:sz w:val="22"/>
              <w:szCs w:val="22"/>
              <w:lang w:eastAsia="pt-BR" w:bidi="ar-SA"/>
            </w:rPr>
          </w:pPr>
          <w:hyperlink w:anchor="_Toc103680542" w:history="1">
            <w:r w:rsidR="00B572AE" w:rsidRPr="00764BE3">
              <w:rPr>
                <w:rStyle w:val="Hyperlink"/>
                <w:rFonts w:cstheme="minorHAnsi"/>
                <w:noProof/>
              </w:rPr>
              <w:t>4.2.2.3</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Custeio</w:t>
            </w:r>
            <w:r w:rsidR="00B572AE">
              <w:rPr>
                <w:noProof/>
                <w:webHidden/>
              </w:rPr>
              <w:tab/>
            </w:r>
            <w:r w:rsidR="00B572AE">
              <w:rPr>
                <w:noProof/>
                <w:webHidden/>
              </w:rPr>
              <w:fldChar w:fldCharType="begin"/>
            </w:r>
            <w:r w:rsidR="00B572AE">
              <w:rPr>
                <w:noProof/>
                <w:webHidden/>
              </w:rPr>
              <w:instrText xml:space="preserve"> PAGEREF _Toc103680542 \h </w:instrText>
            </w:r>
            <w:r w:rsidR="00B572AE">
              <w:rPr>
                <w:noProof/>
                <w:webHidden/>
              </w:rPr>
            </w:r>
            <w:r w:rsidR="00B572AE">
              <w:rPr>
                <w:noProof/>
                <w:webHidden/>
              </w:rPr>
              <w:fldChar w:fldCharType="separate"/>
            </w:r>
            <w:r w:rsidR="00B572AE">
              <w:rPr>
                <w:noProof/>
                <w:webHidden/>
              </w:rPr>
              <w:t>88</w:t>
            </w:r>
            <w:r w:rsidR="00B572AE">
              <w:rPr>
                <w:noProof/>
                <w:webHidden/>
              </w:rPr>
              <w:fldChar w:fldCharType="end"/>
            </w:r>
          </w:hyperlink>
        </w:p>
        <w:p w14:paraId="231025D1" w14:textId="0244E903" w:rsidR="00B572AE" w:rsidRDefault="008A3D44">
          <w:pPr>
            <w:pStyle w:val="Sumrio4"/>
            <w:tabs>
              <w:tab w:val="left" w:pos="1320"/>
              <w:tab w:val="right" w:leader="dot" w:pos="9736"/>
            </w:tabs>
            <w:rPr>
              <w:rFonts w:asciiTheme="minorHAnsi" w:eastAsiaTheme="minorEastAsia" w:hAnsiTheme="minorHAnsi" w:cstheme="minorBidi"/>
              <w:noProof/>
              <w:sz w:val="22"/>
              <w:szCs w:val="22"/>
              <w:lang w:eastAsia="pt-BR" w:bidi="ar-SA"/>
            </w:rPr>
          </w:pPr>
          <w:hyperlink w:anchor="_Toc103680543" w:history="1">
            <w:r w:rsidR="00B572AE" w:rsidRPr="00764BE3">
              <w:rPr>
                <w:rStyle w:val="Hyperlink"/>
                <w:rFonts w:cstheme="minorHAnsi"/>
                <w:noProof/>
              </w:rPr>
              <w:t>4.2.2.4</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Indicadores de gestão orçamentária</w:t>
            </w:r>
            <w:r w:rsidR="00B572AE">
              <w:rPr>
                <w:noProof/>
                <w:webHidden/>
              </w:rPr>
              <w:tab/>
            </w:r>
            <w:r w:rsidR="00B572AE">
              <w:rPr>
                <w:noProof/>
                <w:webHidden/>
              </w:rPr>
              <w:fldChar w:fldCharType="begin"/>
            </w:r>
            <w:r w:rsidR="00B572AE">
              <w:rPr>
                <w:noProof/>
                <w:webHidden/>
              </w:rPr>
              <w:instrText xml:space="preserve"> PAGEREF _Toc103680543 \h </w:instrText>
            </w:r>
            <w:r w:rsidR="00B572AE">
              <w:rPr>
                <w:noProof/>
                <w:webHidden/>
              </w:rPr>
            </w:r>
            <w:r w:rsidR="00B572AE">
              <w:rPr>
                <w:noProof/>
                <w:webHidden/>
              </w:rPr>
              <w:fldChar w:fldCharType="separate"/>
            </w:r>
            <w:r w:rsidR="00B572AE">
              <w:rPr>
                <w:noProof/>
                <w:webHidden/>
              </w:rPr>
              <w:t>88</w:t>
            </w:r>
            <w:r w:rsidR="00B572AE">
              <w:rPr>
                <w:noProof/>
                <w:webHidden/>
              </w:rPr>
              <w:fldChar w:fldCharType="end"/>
            </w:r>
          </w:hyperlink>
        </w:p>
        <w:p w14:paraId="3D87895C" w14:textId="5488B76A" w:rsidR="00B572AE" w:rsidRDefault="008A3D44">
          <w:pPr>
            <w:pStyle w:val="Sumrio5"/>
            <w:tabs>
              <w:tab w:val="left" w:pos="1589"/>
              <w:tab w:val="right" w:leader="dot" w:pos="9736"/>
            </w:tabs>
            <w:rPr>
              <w:rFonts w:asciiTheme="minorHAnsi" w:eastAsiaTheme="minorEastAsia" w:hAnsiTheme="minorHAnsi" w:cstheme="minorBidi"/>
              <w:noProof/>
              <w:sz w:val="22"/>
              <w:szCs w:val="22"/>
              <w:lang w:eastAsia="pt-BR" w:bidi="ar-SA"/>
            </w:rPr>
          </w:pPr>
          <w:hyperlink w:anchor="_Toc103680544" w:history="1">
            <w:r w:rsidR="00B572AE" w:rsidRPr="00764BE3">
              <w:rPr>
                <w:rStyle w:val="Hyperlink"/>
                <w:rFonts w:cstheme="minorHAnsi"/>
                <w:noProof/>
              </w:rPr>
              <w:t>4.2.2.4.1</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Valor empenhado / Limite de empenho</w:t>
            </w:r>
            <w:r w:rsidR="00B572AE">
              <w:rPr>
                <w:noProof/>
                <w:webHidden/>
              </w:rPr>
              <w:tab/>
            </w:r>
            <w:r w:rsidR="00B572AE">
              <w:rPr>
                <w:noProof/>
                <w:webHidden/>
              </w:rPr>
              <w:fldChar w:fldCharType="begin"/>
            </w:r>
            <w:r w:rsidR="00B572AE">
              <w:rPr>
                <w:noProof/>
                <w:webHidden/>
              </w:rPr>
              <w:instrText xml:space="preserve"> PAGEREF _Toc103680544 \h </w:instrText>
            </w:r>
            <w:r w:rsidR="00B572AE">
              <w:rPr>
                <w:noProof/>
                <w:webHidden/>
              </w:rPr>
            </w:r>
            <w:r w:rsidR="00B572AE">
              <w:rPr>
                <w:noProof/>
                <w:webHidden/>
              </w:rPr>
              <w:fldChar w:fldCharType="separate"/>
            </w:r>
            <w:r w:rsidR="00B572AE">
              <w:rPr>
                <w:noProof/>
                <w:webHidden/>
              </w:rPr>
              <w:t>89</w:t>
            </w:r>
            <w:r w:rsidR="00B572AE">
              <w:rPr>
                <w:noProof/>
                <w:webHidden/>
              </w:rPr>
              <w:fldChar w:fldCharType="end"/>
            </w:r>
          </w:hyperlink>
        </w:p>
        <w:p w14:paraId="13AD5E60" w14:textId="5A265E0E" w:rsidR="00B572AE" w:rsidRDefault="008A3D44">
          <w:pPr>
            <w:pStyle w:val="Sumrio5"/>
            <w:tabs>
              <w:tab w:val="left" w:pos="1589"/>
              <w:tab w:val="right" w:leader="dot" w:pos="9736"/>
            </w:tabs>
            <w:rPr>
              <w:rFonts w:asciiTheme="minorHAnsi" w:eastAsiaTheme="minorEastAsia" w:hAnsiTheme="minorHAnsi" w:cstheme="minorBidi"/>
              <w:noProof/>
              <w:sz w:val="22"/>
              <w:szCs w:val="22"/>
              <w:lang w:eastAsia="pt-BR" w:bidi="ar-SA"/>
            </w:rPr>
          </w:pPr>
          <w:hyperlink w:anchor="_Toc103680545" w:history="1">
            <w:r w:rsidR="00B572AE" w:rsidRPr="00764BE3">
              <w:rPr>
                <w:rStyle w:val="Hyperlink"/>
                <w:rFonts w:cstheme="minorHAnsi"/>
                <w:noProof/>
              </w:rPr>
              <w:t>4.2.2.4.2</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Liquidado no exercício / Empenhado no exercício</w:t>
            </w:r>
            <w:r w:rsidR="00B572AE">
              <w:rPr>
                <w:noProof/>
                <w:webHidden/>
              </w:rPr>
              <w:tab/>
            </w:r>
            <w:r w:rsidR="00B572AE">
              <w:rPr>
                <w:noProof/>
                <w:webHidden/>
              </w:rPr>
              <w:fldChar w:fldCharType="begin"/>
            </w:r>
            <w:r w:rsidR="00B572AE">
              <w:rPr>
                <w:noProof/>
                <w:webHidden/>
              </w:rPr>
              <w:instrText xml:space="preserve"> PAGEREF _Toc103680545 \h </w:instrText>
            </w:r>
            <w:r w:rsidR="00B572AE">
              <w:rPr>
                <w:noProof/>
                <w:webHidden/>
              </w:rPr>
            </w:r>
            <w:r w:rsidR="00B572AE">
              <w:rPr>
                <w:noProof/>
                <w:webHidden/>
              </w:rPr>
              <w:fldChar w:fldCharType="separate"/>
            </w:r>
            <w:r w:rsidR="00B572AE">
              <w:rPr>
                <w:noProof/>
                <w:webHidden/>
              </w:rPr>
              <w:t>89</w:t>
            </w:r>
            <w:r w:rsidR="00B572AE">
              <w:rPr>
                <w:noProof/>
                <w:webHidden/>
              </w:rPr>
              <w:fldChar w:fldCharType="end"/>
            </w:r>
          </w:hyperlink>
        </w:p>
        <w:p w14:paraId="7D0A3514" w14:textId="145B74DB" w:rsidR="00B572AE" w:rsidRDefault="008A3D44">
          <w:pPr>
            <w:pStyle w:val="Sumrio5"/>
            <w:tabs>
              <w:tab w:val="left" w:pos="1589"/>
              <w:tab w:val="right" w:leader="dot" w:pos="9736"/>
            </w:tabs>
            <w:rPr>
              <w:rFonts w:asciiTheme="minorHAnsi" w:eastAsiaTheme="minorEastAsia" w:hAnsiTheme="minorHAnsi" w:cstheme="minorBidi"/>
              <w:noProof/>
              <w:sz w:val="22"/>
              <w:szCs w:val="22"/>
              <w:lang w:eastAsia="pt-BR" w:bidi="ar-SA"/>
            </w:rPr>
          </w:pPr>
          <w:hyperlink w:anchor="_Toc103680546" w:history="1">
            <w:r w:rsidR="00B572AE" w:rsidRPr="00764BE3">
              <w:rPr>
                <w:rStyle w:val="Hyperlink"/>
                <w:rFonts w:cstheme="minorHAnsi"/>
                <w:noProof/>
              </w:rPr>
              <w:t>4.2.2.4.3</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Indicador de necessidade de recursos do Tesouro Nacional</w:t>
            </w:r>
            <w:r w:rsidR="00B572AE">
              <w:rPr>
                <w:noProof/>
                <w:webHidden/>
              </w:rPr>
              <w:tab/>
            </w:r>
            <w:r w:rsidR="00B572AE">
              <w:rPr>
                <w:noProof/>
                <w:webHidden/>
              </w:rPr>
              <w:fldChar w:fldCharType="begin"/>
            </w:r>
            <w:r w:rsidR="00B572AE">
              <w:rPr>
                <w:noProof/>
                <w:webHidden/>
              </w:rPr>
              <w:instrText xml:space="preserve"> PAGEREF _Toc103680546 \h </w:instrText>
            </w:r>
            <w:r w:rsidR="00B572AE">
              <w:rPr>
                <w:noProof/>
                <w:webHidden/>
              </w:rPr>
            </w:r>
            <w:r w:rsidR="00B572AE">
              <w:rPr>
                <w:noProof/>
                <w:webHidden/>
              </w:rPr>
              <w:fldChar w:fldCharType="separate"/>
            </w:r>
            <w:r w:rsidR="00B572AE">
              <w:rPr>
                <w:noProof/>
                <w:webHidden/>
              </w:rPr>
              <w:t>89</w:t>
            </w:r>
            <w:r w:rsidR="00B572AE">
              <w:rPr>
                <w:noProof/>
                <w:webHidden/>
              </w:rPr>
              <w:fldChar w:fldCharType="end"/>
            </w:r>
          </w:hyperlink>
        </w:p>
        <w:p w14:paraId="0BA346EA" w14:textId="7482DB16" w:rsidR="00B572AE" w:rsidRDefault="008A3D44">
          <w:pPr>
            <w:pStyle w:val="Sumrio2"/>
            <w:tabs>
              <w:tab w:val="left" w:pos="660"/>
              <w:tab w:val="right" w:leader="dot" w:pos="9736"/>
            </w:tabs>
            <w:rPr>
              <w:rFonts w:asciiTheme="minorHAnsi" w:eastAsiaTheme="minorEastAsia" w:hAnsiTheme="minorHAnsi" w:cstheme="minorBidi"/>
              <w:b w:val="0"/>
              <w:bCs w:val="0"/>
              <w:noProof/>
              <w:sz w:val="22"/>
              <w:szCs w:val="22"/>
              <w:lang w:eastAsia="pt-BR" w:bidi="ar-SA"/>
            </w:rPr>
          </w:pPr>
          <w:hyperlink w:anchor="_Toc103680547" w:history="1">
            <w:r w:rsidR="00B572AE" w:rsidRPr="00764BE3">
              <w:rPr>
                <w:rStyle w:val="Hyperlink"/>
                <w:noProof/>
              </w:rPr>
              <w:t>4.3</w:t>
            </w:r>
            <w:r w:rsidR="00B572AE">
              <w:rPr>
                <w:rFonts w:asciiTheme="minorHAnsi" w:eastAsiaTheme="minorEastAsia" w:hAnsiTheme="minorHAnsi" w:cstheme="minorBidi"/>
                <w:b w:val="0"/>
                <w:bCs w:val="0"/>
                <w:noProof/>
                <w:sz w:val="22"/>
                <w:szCs w:val="22"/>
                <w:lang w:eastAsia="pt-BR" w:bidi="ar-SA"/>
              </w:rPr>
              <w:tab/>
            </w:r>
            <w:r w:rsidR="00B572AE" w:rsidRPr="00764BE3">
              <w:rPr>
                <w:rStyle w:val="Hyperlink"/>
                <w:noProof/>
              </w:rPr>
              <w:t>Gestão de custos</w:t>
            </w:r>
            <w:r w:rsidR="00B572AE">
              <w:rPr>
                <w:noProof/>
                <w:webHidden/>
              </w:rPr>
              <w:tab/>
            </w:r>
            <w:r w:rsidR="00B572AE">
              <w:rPr>
                <w:noProof/>
                <w:webHidden/>
              </w:rPr>
              <w:fldChar w:fldCharType="begin"/>
            </w:r>
            <w:r w:rsidR="00B572AE">
              <w:rPr>
                <w:noProof/>
                <w:webHidden/>
              </w:rPr>
              <w:instrText xml:space="preserve"> PAGEREF _Toc103680547 \h </w:instrText>
            </w:r>
            <w:r w:rsidR="00B572AE">
              <w:rPr>
                <w:noProof/>
                <w:webHidden/>
              </w:rPr>
            </w:r>
            <w:r w:rsidR="00B572AE">
              <w:rPr>
                <w:noProof/>
                <w:webHidden/>
              </w:rPr>
              <w:fldChar w:fldCharType="separate"/>
            </w:r>
            <w:r w:rsidR="00B572AE">
              <w:rPr>
                <w:noProof/>
                <w:webHidden/>
              </w:rPr>
              <w:t>91</w:t>
            </w:r>
            <w:r w:rsidR="00B572AE">
              <w:rPr>
                <w:noProof/>
                <w:webHidden/>
              </w:rPr>
              <w:fldChar w:fldCharType="end"/>
            </w:r>
          </w:hyperlink>
        </w:p>
        <w:p w14:paraId="11E44239" w14:textId="2051AF3E"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548" w:history="1">
            <w:r w:rsidR="00B572AE" w:rsidRPr="00764BE3">
              <w:rPr>
                <w:rStyle w:val="Hyperlink"/>
                <w:rFonts w:cstheme="minorHAnsi"/>
                <w:noProof/>
              </w:rPr>
              <w:t>4.3.1</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Conformidade legal (art. 50, §3º, da Lei Complementar 101, de 4 de maio de 2000, e Portaria-STN 157, de 9 de março de 2011)</w:t>
            </w:r>
            <w:r w:rsidR="00B572AE">
              <w:rPr>
                <w:noProof/>
                <w:webHidden/>
              </w:rPr>
              <w:tab/>
            </w:r>
            <w:r w:rsidR="00B572AE">
              <w:rPr>
                <w:noProof/>
                <w:webHidden/>
              </w:rPr>
              <w:fldChar w:fldCharType="begin"/>
            </w:r>
            <w:r w:rsidR="00B572AE">
              <w:rPr>
                <w:noProof/>
                <w:webHidden/>
              </w:rPr>
              <w:instrText xml:space="preserve"> PAGEREF _Toc103680548 \h </w:instrText>
            </w:r>
            <w:r w:rsidR="00B572AE">
              <w:rPr>
                <w:noProof/>
                <w:webHidden/>
              </w:rPr>
            </w:r>
            <w:r w:rsidR="00B572AE">
              <w:rPr>
                <w:noProof/>
                <w:webHidden/>
              </w:rPr>
              <w:fldChar w:fldCharType="separate"/>
            </w:r>
            <w:r w:rsidR="00B572AE">
              <w:rPr>
                <w:noProof/>
                <w:webHidden/>
              </w:rPr>
              <w:t>91</w:t>
            </w:r>
            <w:r w:rsidR="00B572AE">
              <w:rPr>
                <w:noProof/>
                <w:webHidden/>
              </w:rPr>
              <w:fldChar w:fldCharType="end"/>
            </w:r>
          </w:hyperlink>
        </w:p>
        <w:p w14:paraId="7CCD358F" w14:textId="37266893"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549" w:history="1">
            <w:r w:rsidR="00B572AE" w:rsidRPr="00764BE3">
              <w:rPr>
                <w:rStyle w:val="Hyperlink"/>
                <w:rFonts w:cstheme="minorHAnsi"/>
                <w:noProof/>
              </w:rPr>
              <w:t>4.3.2</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Estimativa de custos por área de atuação, demonstrando a distribuição dos recursos consumidos entre as áreas finalísticas e de suporte</w:t>
            </w:r>
            <w:r w:rsidR="00B572AE">
              <w:rPr>
                <w:noProof/>
                <w:webHidden/>
              </w:rPr>
              <w:tab/>
            </w:r>
            <w:r w:rsidR="00B572AE">
              <w:rPr>
                <w:noProof/>
                <w:webHidden/>
              </w:rPr>
              <w:fldChar w:fldCharType="begin"/>
            </w:r>
            <w:r w:rsidR="00B572AE">
              <w:rPr>
                <w:noProof/>
                <w:webHidden/>
              </w:rPr>
              <w:instrText xml:space="preserve"> PAGEREF _Toc103680549 \h </w:instrText>
            </w:r>
            <w:r w:rsidR="00B572AE">
              <w:rPr>
                <w:noProof/>
                <w:webHidden/>
              </w:rPr>
            </w:r>
            <w:r w:rsidR="00B572AE">
              <w:rPr>
                <w:noProof/>
                <w:webHidden/>
              </w:rPr>
              <w:fldChar w:fldCharType="separate"/>
            </w:r>
            <w:r w:rsidR="00B572AE">
              <w:rPr>
                <w:noProof/>
                <w:webHidden/>
              </w:rPr>
              <w:t>91</w:t>
            </w:r>
            <w:r w:rsidR="00B572AE">
              <w:rPr>
                <w:noProof/>
                <w:webHidden/>
              </w:rPr>
              <w:fldChar w:fldCharType="end"/>
            </w:r>
          </w:hyperlink>
        </w:p>
        <w:p w14:paraId="678C9945" w14:textId="1AA1A867"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550" w:history="1">
            <w:r w:rsidR="00B572AE" w:rsidRPr="00764BE3">
              <w:rPr>
                <w:rStyle w:val="Hyperlink"/>
                <w:rFonts w:cstheme="minorHAnsi"/>
                <w:noProof/>
              </w:rPr>
              <w:t>4.3.3</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Estimativa de custos por programa governamental, demonstrando em que medida eles se relacionam com o alcance da missão institucional da UPC e contribuem para ele.</w:t>
            </w:r>
            <w:r w:rsidR="00B572AE">
              <w:rPr>
                <w:noProof/>
                <w:webHidden/>
              </w:rPr>
              <w:tab/>
            </w:r>
            <w:r w:rsidR="00B572AE">
              <w:rPr>
                <w:noProof/>
                <w:webHidden/>
              </w:rPr>
              <w:fldChar w:fldCharType="begin"/>
            </w:r>
            <w:r w:rsidR="00B572AE">
              <w:rPr>
                <w:noProof/>
                <w:webHidden/>
              </w:rPr>
              <w:instrText xml:space="preserve"> PAGEREF _Toc103680550 \h </w:instrText>
            </w:r>
            <w:r w:rsidR="00B572AE">
              <w:rPr>
                <w:noProof/>
                <w:webHidden/>
              </w:rPr>
            </w:r>
            <w:r w:rsidR="00B572AE">
              <w:rPr>
                <w:noProof/>
                <w:webHidden/>
              </w:rPr>
              <w:fldChar w:fldCharType="separate"/>
            </w:r>
            <w:r w:rsidR="00B572AE">
              <w:rPr>
                <w:noProof/>
                <w:webHidden/>
              </w:rPr>
              <w:t>92</w:t>
            </w:r>
            <w:r w:rsidR="00B572AE">
              <w:rPr>
                <w:noProof/>
                <w:webHidden/>
              </w:rPr>
              <w:fldChar w:fldCharType="end"/>
            </w:r>
          </w:hyperlink>
        </w:p>
        <w:p w14:paraId="17E0E2AE" w14:textId="48EA7668"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551" w:history="1">
            <w:r w:rsidR="00B572AE" w:rsidRPr="00764BE3">
              <w:rPr>
                <w:rStyle w:val="Hyperlink"/>
                <w:rFonts w:cstheme="minorHAnsi"/>
                <w:noProof/>
              </w:rPr>
              <w:t>4.3.4</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Principais desafios e ações futuras para alocação mais eficiente de recursos e melhoria da qualidade dos gastos públicos.</w:t>
            </w:r>
            <w:r w:rsidR="00B572AE">
              <w:rPr>
                <w:noProof/>
                <w:webHidden/>
              </w:rPr>
              <w:tab/>
            </w:r>
            <w:r w:rsidR="00B572AE">
              <w:rPr>
                <w:noProof/>
                <w:webHidden/>
              </w:rPr>
              <w:fldChar w:fldCharType="begin"/>
            </w:r>
            <w:r w:rsidR="00B572AE">
              <w:rPr>
                <w:noProof/>
                <w:webHidden/>
              </w:rPr>
              <w:instrText xml:space="preserve"> PAGEREF _Toc103680551 \h </w:instrText>
            </w:r>
            <w:r w:rsidR="00B572AE">
              <w:rPr>
                <w:noProof/>
                <w:webHidden/>
              </w:rPr>
            </w:r>
            <w:r w:rsidR="00B572AE">
              <w:rPr>
                <w:noProof/>
                <w:webHidden/>
              </w:rPr>
              <w:fldChar w:fldCharType="separate"/>
            </w:r>
            <w:r w:rsidR="00B572AE">
              <w:rPr>
                <w:noProof/>
                <w:webHidden/>
              </w:rPr>
              <w:t>92</w:t>
            </w:r>
            <w:r w:rsidR="00B572AE">
              <w:rPr>
                <w:noProof/>
                <w:webHidden/>
              </w:rPr>
              <w:fldChar w:fldCharType="end"/>
            </w:r>
          </w:hyperlink>
        </w:p>
        <w:p w14:paraId="2964F54B" w14:textId="13D8EC8B" w:rsidR="00B572AE" w:rsidRDefault="008A3D44">
          <w:pPr>
            <w:pStyle w:val="Sumrio2"/>
            <w:tabs>
              <w:tab w:val="left" w:pos="660"/>
              <w:tab w:val="right" w:leader="dot" w:pos="9736"/>
            </w:tabs>
            <w:rPr>
              <w:rFonts w:asciiTheme="minorHAnsi" w:eastAsiaTheme="minorEastAsia" w:hAnsiTheme="minorHAnsi" w:cstheme="minorBidi"/>
              <w:b w:val="0"/>
              <w:bCs w:val="0"/>
              <w:noProof/>
              <w:sz w:val="22"/>
              <w:szCs w:val="22"/>
              <w:lang w:eastAsia="pt-BR" w:bidi="ar-SA"/>
            </w:rPr>
          </w:pPr>
          <w:hyperlink w:anchor="_Toc103680552" w:history="1">
            <w:r w:rsidR="00B572AE" w:rsidRPr="00764BE3">
              <w:rPr>
                <w:rStyle w:val="Hyperlink"/>
                <w:noProof/>
              </w:rPr>
              <w:t>4.4</w:t>
            </w:r>
            <w:r w:rsidR="00B572AE">
              <w:rPr>
                <w:rFonts w:asciiTheme="minorHAnsi" w:eastAsiaTheme="minorEastAsia" w:hAnsiTheme="minorHAnsi" w:cstheme="minorBidi"/>
                <w:b w:val="0"/>
                <w:bCs w:val="0"/>
                <w:noProof/>
                <w:sz w:val="22"/>
                <w:szCs w:val="22"/>
                <w:lang w:eastAsia="pt-BR" w:bidi="ar-SA"/>
              </w:rPr>
              <w:tab/>
            </w:r>
            <w:r w:rsidR="00B572AE" w:rsidRPr="00764BE3">
              <w:rPr>
                <w:rStyle w:val="Hyperlink"/>
                <w:noProof/>
              </w:rPr>
              <w:t>Gestão de pessoas</w:t>
            </w:r>
            <w:r w:rsidR="00B572AE">
              <w:rPr>
                <w:noProof/>
                <w:webHidden/>
              </w:rPr>
              <w:tab/>
            </w:r>
            <w:r w:rsidR="00B572AE">
              <w:rPr>
                <w:noProof/>
                <w:webHidden/>
              </w:rPr>
              <w:fldChar w:fldCharType="begin"/>
            </w:r>
            <w:r w:rsidR="00B572AE">
              <w:rPr>
                <w:noProof/>
                <w:webHidden/>
              </w:rPr>
              <w:instrText xml:space="preserve"> PAGEREF _Toc103680552 \h </w:instrText>
            </w:r>
            <w:r w:rsidR="00B572AE">
              <w:rPr>
                <w:noProof/>
                <w:webHidden/>
              </w:rPr>
            </w:r>
            <w:r w:rsidR="00B572AE">
              <w:rPr>
                <w:noProof/>
                <w:webHidden/>
              </w:rPr>
              <w:fldChar w:fldCharType="separate"/>
            </w:r>
            <w:r w:rsidR="00B572AE">
              <w:rPr>
                <w:noProof/>
                <w:webHidden/>
              </w:rPr>
              <w:t>93</w:t>
            </w:r>
            <w:r w:rsidR="00B572AE">
              <w:rPr>
                <w:noProof/>
                <w:webHidden/>
              </w:rPr>
              <w:fldChar w:fldCharType="end"/>
            </w:r>
          </w:hyperlink>
        </w:p>
        <w:p w14:paraId="21230E0C" w14:textId="6B07874F"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553" w:history="1">
            <w:r w:rsidR="00B572AE" w:rsidRPr="00764BE3">
              <w:rPr>
                <w:rStyle w:val="Hyperlink"/>
                <w:rFonts w:cstheme="minorHAnsi"/>
                <w:noProof/>
              </w:rPr>
              <w:t>4.4.1</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Conformidade legal: principais normas internas e mecanismos de controle adotados na gestão da folha de pagamentos e na gestão de pessoas</w:t>
            </w:r>
            <w:r w:rsidR="00B572AE">
              <w:rPr>
                <w:noProof/>
                <w:webHidden/>
              </w:rPr>
              <w:tab/>
            </w:r>
            <w:r w:rsidR="00B572AE">
              <w:rPr>
                <w:noProof/>
                <w:webHidden/>
              </w:rPr>
              <w:fldChar w:fldCharType="begin"/>
            </w:r>
            <w:r w:rsidR="00B572AE">
              <w:rPr>
                <w:noProof/>
                <w:webHidden/>
              </w:rPr>
              <w:instrText xml:space="preserve"> PAGEREF _Toc103680553 \h </w:instrText>
            </w:r>
            <w:r w:rsidR="00B572AE">
              <w:rPr>
                <w:noProof/>
                <w:webHidden/>
              </w:rPr>
            </w:r>
            <w:r w:rsidR="00B572AE">
              <w:rPr>
                <w:noProof/>
                <w:webHidden/>
              </w:rPr>
              <w:fldChar w:fldCharType="separate"/>
            </w:r>
            <w:r w:rsidR="00B572AE">
              <w:rPr>
                <w:noProof/>
                <w:webHidden/>
              </w:rPr>
              <w:t>93</w:t>
            </w:r>
            <w:r w:rsidR="00B572AE">
              <w:rPr>
                <w:noProof/>
                <w:webHidden/>
              </w:rPr>
              <w:fldChar w:fldCharType="end"/>
            </w:r>
          </w:hyperlink>
        </w:p>
        <w:p w14:paraId="58DEA6FE" w14:textId="2AAD7F9C"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554" w:history="1">
            <w:r w:rsidR="00B572AE" w:rsidRPr="00764BE3">
              <w:rPr>
                <w:rStyle w:val="Hyperlink"/>
                <w:rFonts w:cstheme="minorHAnsi"/>
                <w:noProof/>
              </w:rPr>
              <w:t>4.4.2</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Avaliação da força de trabalho Conformidade legal: principais normas internas e mecanismos de controle adotados na gestão da folha de pagamentos e na gestão de pessoas</w:t>
            </w:r>
            <w:r w:rsidR="00B572AE">
              <w:rPr>
                <w:noProof/>
                <w:webHidden/>
              </w:rPr>
              <w:tab/>
            </w:r>
            <w:r w:rsidR="00B572AE">
              <w:rPr>
                <w:noProof/>
                <w:webHidden/>
              </w:rPr>
              <w:fldChar w:fldCharType="begin"/>
            </w:r>
            <w:r w:rsidR="00B572AE">
              <w:rPr>
                <w:noProof/>
                <w:webHidden/>
              </w:rPr>
              <w:instrText xml:space="preserve"> PAGEREF _Toc103680554 \h </w:instrText>
            </w:r>
            <w:r w:rsidR="00B572AE">
              <w:rPr>
                <w:noProof/>
                <w:webHidden/>
              </w:rPr>
            </w:r>
            <w:r w:rsidR="00B572AE">
              <w:rPr>
                <w:noProof/>
                <w:webHidden/>
              </w:rPr>
              <w:fldChar w:fldCharType="separate"/>
            </w:r>
            <w:r w:rsidR="00B572AE">
              <w:rPr>
                <w:noProof/>
                <w:webHidden/>
              </w:rPr>
              <w:t>94</w:t>
            </w:r>
            <w:r w:rsidR="00B572AE">
              <w:rPr>
                <w:noProof/>
                <w:webHidden/>
              </w:rPr>
              <w:fldChar w:fldCharType="end"/>
            </w:r>
          </w:hyperlink>
        </w:p>
        <w:p w14:paraId="70B946CC" w14:textId="618142B9" w:rsidR="00B572AE" w:rsidRDefault="008A3D44">
          <w:pPr>
            <w:pStyle w:val="Sumrio4"/>
            <w:tabs>
              <w:tab w:val="left" w:pos="1320"/>
              <w:tab w:val="right" w:leader="dot" w:pos="9736"/>
            </w:tabs>
            <w:rPr>
              <w:rFonts w:asciiTheme="minorHAnsi" w:eastAsiaTheme="minorEastAsia" w:hAnsiTheme="minorHAnsi" w:cstheme="minorBidi"/>
              <w:noProof/>
              <w:sz w:val="22"/>
              <w:szCs w:val="22"/>
              <w:lang w:eastAsia="pt-BR" w:bidi="ar-SA"/>
            </w:rPr>
          </w:pPr>
          <w:hyperlink w:anchor="_Toc103680555" w:history="1">
            <w:r w:rsidR="00B572AE" w:rsidRPr="00764BE3">
              <w:rPr>
                <w:rStyle w:val="Hyperlink"/>
                <w:rFonts w:cstheme="minorHAnsi"/>
                <w:noProof/>
              </w:rPr>
              <w:t>4.4.2.1</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Por faixa salarial</w:t>
            </w:r>
            <w:r w:rsidR="00B572AE">
              <w:rPr>
                <w:noProof/>
                <w:webHidden/>
              </w:rPr>
              <w:tab/>
            </w:r>
            <w:r w:rsidR="00B572AE">
              <w:rPr>
                <w:noProof/>
                <w:webHidden/>
              </w:rPr>
              <w:fldChar w:fldCharType="begin"/>
            </w:r>
            <w:r w:rsidR="00B572AE">
              <w:rPr>
                <w:noProof/>
                <w:webHidden/>
              </w:rPr>
              <w:instrText xml:space="preserve"> PAGEREF _Toc103680555 \h </w:instrText>
            </w:r>
            <w:r w:rsidR="00B572AE">
              <w:rPr>
                <w:noProof/>
                <w:webHidden/>
              </w:rPr>
            </w:r>
            <w:r w:rsidR="00B572AE">
              <w:rPr>
                <w:noProof/>
                <w:webHidden/>
              </w:rPr>
              <w:fldChar w:fldCharType="separate"/>
            </w:r>
            <w:r w:rsidR="00B572AE">
              <w:rPr>
                <w:noProof/>
                <w:webHidden/>
              </w:rPr>
              <w:t>95</w:t>
            </w:r>
            <w:r w:rsidR="00B572AE">
              <w:rPr>
                <w:noProof/>
                <w:webHidden/>
              </w:rPr>
              <w:fldChar w:fldCharType="end"/>
            </w:r>
          </w:hyperlink>
        </w:p>
        <w:p w14:paraId="0EDDE8DD" w14:textId="46A78C09" w:rsidR="00B572AE" w:rsidRDefault="008A3D44">
          <w:pPr>
            <w:pStyle w:val="Sumrio4"/>
            <w:tabs>
              <w:tab w:val="left" w:pos="1320"/>
              <w:tab w:val="right" w:leader="dot" w:pos="9736"/>
            </w:tabs>
            <w:rPr>
              <w:rFonts w:asciiTheme="minorHAnsi" w:eastAsiaTheme="minorEastAsia" w:hAnsiTheme="minorHAnsi" w:cstheme="minorBidi"/>
              <w:noProof/>
              <w:sz w:val="22"/>
              <w:szCs w:val="22"/>
              <w:lang w:eastAsia="pt-BR" w:bidi="ar-SA"/>
            </w:rPr>
          </w:pPr>
          <w:hyperlink w:anchor="_Toc103680556" w:history="1">
            <w:r w:rsidR="00B572AE" w:rsidRPr="00764BE3">
              <w:rPr>
                <w:rStyle w:val="Hyperlink"/>
                <w:rFonts w:cstheme="minorHAnsi"/>
                <w:noProof/>
              </w:rPr>
              <w:t>4.4.2.2</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Por gênero</w:t>
            </w:r>
            <w:r w:rsidR="00B572AE">
              <w:rPr>
                <w:noProof/>
                <w:webHidden/>
              </w:rPr>
              <w:tab/>
            </w:r>
            <w:r w:rsidR="00B572AE">
              <w:rPr>
                <w:noProof/>
                <w:webHidden/>
              </w:rPr>
              <w:fldChar w:fldCharType="begin"/>
            </w:r>
            <w:r w:rsidR="00B572AE">
              <w:rPr>
                <w:noProof/>
                <w:webHidden/>
              </w:rPr>
              <w:instrText xml:space="preserve"> PAGEREF _Toc103680556 \h </w:instrText>
            </w:r>
            <w:r w:rsidR="00B572AE">
              <w:rPr>
                <w:noProof/>
                <w:webHidden/>
              </w:rPr>
            </w:r>
            <w:r w:rsidR="00B572AE">
              <w:rPr>
                <w:noProof/>
                <w:webHidden/>
              </w:rPr>
              <w:fldChar w:fldCharType="separate"/>
            </w:r>
            <w:r w:rsidR="00B572AE">
              <w:rPr>
                <w:noProof/>
                <w:webHidden/>
              </w:rPr>
              <w:t>95</w:t>
            </w:r>
            <w:r w:rsidR="00B572AE">
              <w:rPr>
                <w:noProof/>
                <w:webHidden/>
              </w:rPr>
              <w:fldChar w:fldCharType="end"/>
            </w:r>
          </w:hyperlink>
        </w:p>
        <w:p w14:paraId="723B175C" w14:textId="2B690879" w:rsidR="00B572AE" w:rsidRDefault="008A3D44">
          <w:pPr>
            <w:pStyle w:val="Sumrio4"/>
            <w:tabs>
              <w:tab w:val="left" w:pos="1320"/>
              <w:tab w:val="right" w:leader="dot" w:pos="9736"/>
            </w:tabs>
            <w:rPr>
              <w:rFonts w:asciiTheme="minorHAnsi" w:eastAsiaTheme="minorEastAsia" w:hAnsiTheme="minorHAnsi" w:cstheme="minorBidi"/>
              <w:noProof/>
              <w:sz w:val="22"/>
              <w:szCs w:val="22"/>
              <w:lang w:eastAsia="pt-BR" w:bidi="ar-SA"/>
            </w:rPr>
          </w:pPr>
          <w:hyperlink w:anchor="_Toc103680557" w:history="1">
            <w:r w:rsidR="00B572AE" w:rsidRPr="00764BE3">
              <w:rPr>
                <w:rStyle w:val="Hyperlink"/>
                <w:rFonts w:cstheme="minorHAnsi"/>
                <w:noProof/>
              </w:rPr>
              <w:t>4.4.2.3</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Por necessidade especial</w:t>
            </w:r>
            <w:r w:rsidR="00B572AE">
              <w:rPr>
                <w:noProof/>
                <w:webHidden/>
              </w:rPr>
              <w:tab/>
            </w:r>
            <w:r w:rsidR="00B572AE">
              <w:rPr>
                <w:noProof/>
                <w:webHidden/>
              </w:rPr>
              <w:fldChar w:fldCharType="begin"/>
            </w:r>
            <w:r w:rsidR="00B572AE">
              <w:rPr>
                <w:noProof/>
                <w:webHidden/>
              </w:rPr>
              <w:instrText xml:space="preserve"> PAGEREF _Toc103680557 \h </w:instrText>
            </w:r>
            <w:r w:rsidR="00B572AE">
              <w:rPr>
                <w:noProof/>
                <w:webHidden/>
              </w:rPr>
            </w:r>
            <w:r w:rsidR="00B572AE">
              <w:rPr>
                <w:noProof/>
                <w:webHidden/>
              </w:rPr>
              <w:fldChar w:fldCharType="separate"/>
            </w:r>
            <w:r w:rsidR="00B572AE">
              <w:rPr>
                <w:noProof/>
                <w:webHidden/>
              </w:rPr>
              <w:t>96</w:t>
            </w:r>
            <w:r w:rsidR="00B572AE">
              <w:rPr>
                <w:noProof/>
                <w:webHidden/>
              </w:rPr>
              <w:fldChar w:fldCharType="end"/>
            </w:r>
          </w:hyperlink>
        </w:p>
        <w:p w14:paraId="5FFC23A6" w14:textId="5DFB56F9" w:rsidR="00B572AE" w:rsidRDefault="008A3D44">
          <w:pPr>
            <w:pStyle w:val="Sumrio4"/>
            <w:tabs>
              <w:tab w:val="left" w:pos="1320"/>
              <w:tab w:val="right" w:leader="dot" w:pos="9736"/>
            </w:tabs>
            <w:rPr>
              <w:rFonts w:asciiTheme="minorHAnsi" w:eastAsiaTheme="minorEastAsia" w:hAnsiTheme="minorHAnsi" w:cstheme="minorBidi"/>
              <w:noProof/>
              <w:sz w:val="22"/>
              <w:szCs w:val="22"/>
              <w:lang w:eastAsia="pt-BR" w:bidi="ar-SA"/>
            </w:rPr>
          </w:pPr>
          <w:hyperlink w:anchor="_Toc103680558" w:history="1">
            <w:r w:rsidR="00B572AE" w:rsidRPr="00764BE3">
              <w:rPr>
                <w:rStyle w:val="Hyperlink"/>
                <w:rFonts w:cstheme="minorHAnsi"/>
                <w:noProof/>
              </w:rPr>
              <w:t>4.4.2.4</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Por etnia</w:t>
            </w:r>
            <w:r w:rsidR="00B572AE">
              <w:rPr>
                <w:noProof/>
                <w:webHidden/>
              </w:rPr>
              <w:tab/>
            </w:r>
            <w:r w:rsidR="00B572AE">
              <w:rPr>
                <w:noProof/>
                <w:webHidden/>
              </w:rPr>
              <w:fldChar w:fldCharType="begin"/>
            </w:r>
            <w:r w:rsidR="00B572AE">
              <w:rPr>
                <w:noProof/>
                <w:webHidden/>
              </w:rPr>
              <w:instrText xml:space="preserve"> PAGEREF _Toc103680558 \h </w:instrText>
            </w:r>
            <w:r w:rsidR="00B572AE">
              <w:rPr>
                <w:noProof/>
                <w:webHidden/>
              </w:rPr>
            </w:r>
            <w:r w:rsidR="00B572AE">
              <w:rPr>
                <w:noProof/>
                <w:webHidden/>
              </w:rPr>
              <w:fldChar w:fldCharType="separate"/>
            </w:r>
            <w:r w:rsidR="00B572AE">
              <w:rPr>
                <w:noProof/>
                <w:webHidden/>
              </w:rPr>
              <w:t>96</w:t>
            </w:r>
            <w:r w:rsidR="00B572AE">
              <w:rPr>
                <w:noProof/>
                <w:webHidden/>
              </w:rPr>
              <w:fldChar w:fldCharType="end"/>
            </w:r>
          </w:hyperlink>
        </w:p>
        <w:p w14:paraId="66F081A0" w14:textId="446EA0DB" w:rsidR="00B572AE" w:rsidRDefault="008A3D44">
          <w:pPr>
            <w:pStyle w:val="Sumrio4"/>
            <w:tabs>
              <w:tab w:val="left" w:pos="1320"/>
              <w:tab w:val="right" w:leader="dot" w:pos="9736"/>
            </w:tabs>
            <w:rPr>
              <w:rFonts w:asciiTheme="minorHAnsi" w:eastAsiaTheme="minorEastAsia" w:hAnsiTheme="minorHAnsi" w:cstheme="minorBidi"/>
              <w:noProof/>
              <w:sz w:val="22"/>
              <w:szCs w:val="22"/>
              <w:lang w:eastAsia="pt-BR" w:bidi="ar-SA"/>
            </w:rPr>
          </w:pPr>
          <w:hyperlink w:anchor="_Toc103680559" w:history="1">
            <w:r w:rsidR="00B572AE" w:rsidRPr="00764BE3">
              <w:rPr>
                <w:rStyle w:val="Hyperlink"/>
                <w:rFonts w:cstheme="minorHAnsi"/>
                <w:noProof/>
              </w:rPr>
              <w:t>4.4.2.5</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Por faixa etária</w:t>
            </w:r>
            <w:r w:rsidR="00B572AE">
              <w:rPr>
                <w:noProof/>
                <w:webHidden/>
              </w:rPr>
              <w:tab/>
            </w:r>
            <w:r w:rsidR="00B572AE">
              <w:rPr>
                <w:noProof/>
                <w:webHidden/>
              </w:rPr>
              <w:fldChar w:fldCharType="begin"/>
            </w:r>
            <w:r w:rsidR="00B572AE">
              <w:rPr>
                <w:noProof/>
                <w:webHidden/>
              </w:rPr>
              <w:instrText xml:space="preserve"> PAGEREF _Toc103680559 \h </w:instrText>
            </w:r>
            <w:r w:rsidR="00B572AE">
              <w:rPr>
                <w:noProof/>
                <w:webHidden/>
              </w:rPr>
            </w:r>
            <w:r w:rsidR="00B572AE">
              <w:rPr>
                <w:noProof/>
                <w:webHidden/>
              </w:rPr>
              <w:fldChar w:fldCharType="separate"/>
            </w:r>
            <w:r w:rsidR="00B572AE">
              <w:rPr>
                <w:noProof/>
                <w:webHidden/>
              </w:rPr>
              <w:t>97</w:t>
            </w:r>
            <w:r w:rsidR="00B572AE">
              <w:rPr>
                <w:noProof/>
                <w:webHidden/>
              </w:rPr>
              <w:fldChar w:fldCharType="end"/>
            </w:r>
          </w:hyperlink>
        </w:p>
        <w:p w14:paraId="33A9CDAA" w14:textId="0B29E599" w:rsidR="00B572AE" w:rsidRDefault="008A3D44">
          <w:pPr>
            <w:pStyle w:val="Sumrio4"/>
            <w:tabs>
              <w:tab w:val="left" w:pos="1320"/>
              <w:tab w:val="right" w:leader="dot" w:pos="9736"/>
            </w:tabs>
            <w:rPr>
              <w:rFonts w:asciiTheme="minorHAnsi" w:eastAsiaTheme="minorEastAsia" w:hAnsiTheme="minorHAnsi" w:cstheme="minorBidi"/>
              <w:noProof/>
              <w:sz w:val="22"/>
              <w:szCs w:val="22"/>
              <w:lang w:eastAsia="pt-BR" w:bidi="ar-SA"/>
            </w:rPr>
          </w:pPr>
          <w:hyperlink w:anchor="_Toc103680560" w:history="1">
            <w:r w:rsidR="00B572AE" w:rsidRPr="00764BE3">
              <w:rPr>
                <w:rStyle w:val="Hyperlink"/>
                <w:rFonts w:cstheme="minorHAnsi"/>
                <w:noProof/>
              </w:rPr>
              <w:t>4.4.2.6</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Por situação funcional e por carreira</w:t>
            </w:r>
            <w:r w:rsidR="00B572AE">
              <w:rPr>
                <w:noProof/>
                <w:webHidden/>
              </w:rPr>
              <w:tab/>
            </w:r>
            <w:r w:rsidR="00B572AE">
              <w:rPr>
                <w:noProof/>
                <w:webHidden/>
              </w:rPr>
              <w:fldChar w:fldCharType="begin"/>
            </w:r>
            <w:r w:rsidR="00B572AE">
              <w:rPr>
                <w:noProof/>
                <w:webHidden/>
              </w:rPr>
              <w:instrText xml:space="preserve"> PAGEREF _Toc103680560 \h </w:instrText>
            </w:r>
            <w:r w:rsidR="00B572AE">
              <w:rPr>
                <w:noProof/>
                <w:webHidden/>
              </w:rPr>
            </w:r>
            <w:r w:rsidR="00B572AE">
              <w:rPr>
                <w:noProof/>
                <w:webHidden/>
              </w:rPr>
              <w:fldChar w:fldCharType="separate"/>
            </w:r>
            <w:r w:rsidR="00B572AE">
              <w:rPr>
                <w:noProof/>
                <w:webHidden/>
              </w:rPr>
              <w:t>98</w:t>
            </w:r>
            <w:r w:rsidR="00B572AE">
              <w:rPr>
                <w:noProof/>
                <w:webHidden/>
              </w:rPr>
              <w:fldChar w:fldCharType="end"/>
            </w:r>
          </w:hyperlink>
        </w:p>
        <w:p w14:paraId="1443B3E0" w14:textId="28B398E0" w:rsidR="00B572AE" w:rsidRDefault="008A3D44">
          <w:pPr>
            <w:pStyle w:val="Sumrio4"/>
            <w:tabs>
              <w:tab w:val="left" w:pos="1320"/>
              <w:tab w:val="right" w:leader="dot" w:pos="9736"/>
            </w:tabs>
            <w:rPr>
              <w:rFonts w:asciiTheme="minorHAnsi" w:eastAsiaTheme="minorEastAsia" w:hAnsiTheme="minorHAnsi" w:cstheme="minorBidi"/>
              <w:noProof/>
              <w:sz w:val="22"/>
              <w:szCs w:val="22"/>
              <w:lang w:eastAsia="pt-BR" w:bidi="ar-SA"/>
            </w:rPr>
          </w:pPr>
          <w:hyperlink w:anchor="_Toc103680561" w:history="1">
            <w:r w:rsidR="00B572AE" w:rsidRPr="00764BE3">
              <w:rPr>
                <w:rStyle w:val="Hyperlink"/>
                <w:rFonts w:cstheme="minorHAnsi"/>
                <w:noProof/>
              </w:rPr>
              <w:t>4.4.2.7</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Por local de trabalho</w:t>
            </w:r>
            <w:r w:rsidR="00B572AE">
              <w:rPr>
                <w:noProof/>
                <w:webHidden/>
              </w:rPr>
              <w:tab/>
            </w:r>
            <w:r w:rsidR="00B572AE">
              <w:rPr>
                <w:noProof/>
                <w:webHidden/>
              </w:rPr>
              <w:fldChar w:fldCharType="begin"/>
            </w:r>
            <w:r w:rsidR="00B572AE">
              <w:rPr>
                <w:noProof/>
                <w:webHidden/>
              </w:rPr>
              <w:instrText xml:space="preserve"> PAGEREF _Toc103680561 \h </w:instrText>
            </w:r>
            <w:r w:rsidR="00B572AE">
              <w:rPr>
                <w:noProof/>
                <w:webHidden/>
              </w:rPr>
            </w:r>
            <w:r w:rsidR="00B572AE">
              <w:rPr>
                <w:noProof/>
                <w:webHidden/>
              </w:rPr>
              <w:fldChar w:fldCharType="separate"/>
            </w:r>
            <w:r w:rsidR="00B572AE">
              <w:rPr>
                <w:noProof/>
                <w:webHidden/>
              </w:rPr>
              <w:t>98</w:t>
            </w:r>
            <w:r w:rsidR="00B572AE">
              <w:rPr>
                <w:noProof/>
                <w:webHidden/>
              </w:rPr>
              <w:fldChar w:fldCharType="end"/>
            </w:r>
          </w:hyperlink>
        </w:p>
        <w:p w14:paraId="045845EF" w14:textId="40D5D7BD" w:rsidR="00B572AE" w:rsidRDefault="008A3D44">
          <w:pPr>
            <w:pStyle w:val="Sumrio4"/>
            <w:tabs>
              <w:tab w:val="left" w:pos="1320"/>
              <w:tab w:val="right" w:leader="dot" w:pos="9736"/>
            </w:tabs>
            <w:rPr>
              <w:rFonts w:asciiTheme="minorHAnsi" w:eastAsiaTheme="minorEastAsia" w:hAnsiTheme="minorHAnsi" w:cstheme="minorBidi"/>
              <w:noProof/>
              <w:sz w:val="22"/>
              <w:szCs w:val="22"/>
              <w:lang w:eastAsia="pt-BR" w:bidi="ar-SA"/>
            </w:rPr>
          </w:pPr>
          <w:hyperlink w:anchor="_Toc103680562" w:history="1">
            <w:r w:rsidR="00B572AE" w:rsidRPr="00764BE3">
              <w:rPr>
                <w:rStyle w:val="Hyperlink"/>
                <w:rFonts w:cstheme="minorHAnsi"/>
                <w:noProof/>
              </w:rPr>
              <w:t>4.4.2.8</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Por estagiários por área</w:t>
            </w:r>
            <w:r w:rsidR="00B572AE">
              <w:rPr>
                <w:noProof/>
                <w:webHidden/>
              </w:rPr>
              <w:tab/>
            </w:r>
            <w:r w:rsidR="00B572AE">
              <w:rPr>
                <w:noProof/>
                <w:webHidden/>
              </w:rPr>
              <w:fldChar w:fldCharType="begin"/>
            </w:r>
            <w:r w:rsidR="00B572AE">
              <w:rPr>
                <w:noProof/>
                <w:webHidden/>
              </w:rPr>
              <w:instrText xml:space="preserve"> PAGEREF _Toc103680562 \h </w:instrText>
            </w:r>
            <w:r w:rsidR="00B572AE">
              <w:rPr>
                <w:noProof/>
                <w:webHidden/>
              </w:rPr>
            </w:r>
            <w:r w:rsidR="00B572AE">
              <w:rPr>
                <w:noProof/>
                <w:webHidden/>
              </w:rPr>
              <w:fldChar w:fldCharType="separate"/>
            </w:r>
            <w:r w:rsidR="00B572AE">
              <w:rPr>
                <w:noProof/>
                <w:webHidden/>
              </w:rPr>
              <w:t>99</w:t>
            </w:r>
            <w:r w:rsidR="00B572AE">
              <w:rPr>
                <w:noProof/>
                <w:webHidden/>
              </w:rPr>
              <w:fldChar w:fldCharType="end"/>
            </w:r>
          </w:hyperlink>
        </w:p>
        <w:p w14:paraId="497FA615" w14:textId="67F53E27" w:rsidR="00B572AE" w:rsidRDefault="008A3D44">
          <w:pPr>
            <w:pStyle w:val="Sumrio4"/>
            <w:tabs>
              <w:tab w:val="left" w:pos="1320"/>
              <w:tab w:val="right" w:leader="dot" w:pos="9736"/>
            </w:tabs>
            <w:rPr>
              <w:rFonts w:asciiTheme="minorHAnsi" w:eastAsiaTheme="minorEastAsia" w:hAnsiTheme="minorHAnsi" w:cstheme="minorBidi"/>
              <w:noProof/>
              <w:sz w:val="22"/>
              <w:szCs w:val="22"/>
              <w:lang w:eastAsia="pt-BR" w:bidi="ar-SA"/>
            </w:rPr>
          </w:pPr>
          <w:hyperlink w:anchor="_Toc103680563" w:history="1">
            <w:r w:rsidR="00B572AE" w:rsidRPr="00764BE3">
              <w:rPr>
                <w:rStyle w:val="Hyperlink"/>
                <w:rFonts w:cstheme="minorHAnsi"/>
                <w:noProof/>
              </w:rPr>
              <w:t>4.4.2.9</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Lotação por diretoria</w:t>
            </w:r>
            <w:r w:rsidR="00B572AE">
              <w:rPr>
                <w:noProof/>
                <w:webHidden/>
              </w:rPr>
              <w:tab/>
            </w:r>
            <w:r w:rsidR="00B572AE">
              <w:rPr>
                <w:noProof/>
                <w:webHidden/>
              </w:rPr>
              <w:fldChar w:fldCharType="begin"/>
            </w:r>
            <w:r w:rsidR="00B572AE">
              <w:rPr>
                <w:noProof/>
                <w:webHidden/>
              </w:rPr>
              <w:instrText xml:space="preserve"> PAGEREF _Toc103680563 \h </w:instrText>
            </w:r>
            <w:r w:rsidR="00B572AE">
              <w:rPr>
                <w:noProof/>
                <w:webHidden/>
              </w:rPr>
            </w:r>
            <w:r w:rsidR="00B572AE">
              <w:rPr>
                <w:noProof/>
                <w:webHidden/>
              </w:rPr>
              <w:fldChar w:fldCharType="separate"/>
            </w:r>
            <w:r w:rsidR="00B572AE">
              <w:rPr>
                <w:noProof/>
                <w:webHidden/>
              </w:rPr>
              <w:t>99</w:t>
            </w:r>
            <w:r w:rsidR="00B572AE">
              <w:rPr>
                <w:noProof/>
                <w:webHidden/>
              </w:rPr>
              <w:fldChar w:fldCharType="end"/>
            </w:r>
          </w:hyperlink>
        </w:p>
        <w:p w14:paraId="41135FAD" w14:textId="42AE8A0B"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564" w:history="1">
            <w:r w:rsidR="00B572AE" w:rsidRPr="00764BE3">
              <w:rPr>
                <w:rStyle w:val="Hyperlink"/>
                <w:rFonts w:cstheme="minorHAnsi"/>
                <w:noProof/>
              </w:rPr>
              <w:t>4.4.3</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Estratégia de recrutamento e alocação de pessoas, situação de servidores com condições de aposentadoria;</w:t>
            </w:r>
            <w:r w:rsidR="00B572AE">
              <w:rPr>
                <w:noProof/>
                <w:webHidden/>
              </w:rPr>
              <w:tab/>
            </w:r>
            <w:r w:rsidR="00B572AE">
              <w:rPr>
                <w:noProof/>
                <w:webHidden/>
              </w:rPr>
              <w:fldChar w:fldCharType="begin"/>
            </w:r>
            <w:r w:rsidR="00B572AE">
              <w:rPr>
                <w:noProof/>
                <w:webHidden/>
              </w:rPr>
              <w:instrText xml:space="preserve"> PAGEREF _Toc103680564 \h </w:instrText>
            </w:r>
            <w:r w:rsidR="00B572AE">
              <w:rPr>
                <w:noProof/>
                <w:webHidden/>
              </w:rPr>
            </w:r>
            <w:r w:rsidR="00B572AE">
              <w:rPr>
                <w:noProof/>
                <w:webHidden/>
              </w:rPr>
              <w:fldChar w:fldCharType="separate"/>
            </w:r>
            <w:r w:rsidR="00B572AE">
              <w:rPr>
                <w:noProof/>
                <w:webHidden/>
              </w:rPr>
              <w:t>100</w:t>
            </w:r>
            <w:r w:rsidR="00B572AE">
              <w:rPr>
                <w:noProof/>
                <w:webHidden/>
              </w:rPr>
              <w:fldChar w:fldCharType="end"/>
            </w:r>
          </w:hyperlink>
        </w:p>
        <w:p w14:paraId="1F4A46D7" w14:textId="41BB9186"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565" w:history="1">
            <w:r w:rsidR="00B572AE" w:rsidRPr="00764BE3">
              <w:rPr>
                <w:rStyle w:val="Hyperlink"/>
                <w:rFonts w:cstheme="minorHAnsi"/>
                <w:noProof/>
              </w:rPr>
              <w:t>4.4.4</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Detalhamento da despesa de pessoal (ativo, inativo e pensionista), evolução dos últimos anos e justificativa para o aumento/a diminuição.</w:t>
            </w:r>
            <w:r w:rsidR="00B572AE">
              <w:rPr>
                <w:noProof/>
                <w:webHidden/>
              </w:rPr>
              <w:tab/>
            </w:r>
            <w:r w:rsidR="00B572AE">
              <w:rPr>
                <w:noProof/>
                <w:webHidden/>
              </w:rPr>
              <w:fldChar w:fldCharType="begin"/>
            </w:r>
            <w:r w:rsidR="00B572AE">
              <w:rPr>
                <w:noProof/>
                <w:webHidden/>
              </w:rPr>
              <w:instrText xml:space="preserve"> PAGEREF _Toc103680565 \h </w:instrText>
            </w:r>
            <w:r w:rsidR="00B572AE">
              <w:rPr>
                <w:noProof/>
                <w:webHidden/>
              </w:rPr>
            </w:r>
            <w:r w:rsidR="00B572AE">
              <w:rPr>
                <w:noProof/>
                <w:webHidden/>
              </w:rPr>
              <w:fldChar w:fldCharType="separate"/>
            </w:r>
            <w:r w:rsidR="00B572AE">
              <w:rPr>
                <w:noProof/>
                <w:webHidden/>
              </w:rPr>
              <w:t>101</w:t>
            </w:r>
            <w:r w:rsidR="00B572AE">
              <w:rPr>
                <w:noProof/>
                <w:webHidden/>
              </w:rPr>
              <w:fldChar w:fldCharType="end"/>
            </w:r>
          </w:hyperlink>
        </w:p>
        <w:p w14:paraId="7F8C7B85" w14:textId="05E9DDB9" w:rsidR="00B572AE" w:rsidRDefault="008A3D44">
          <w:pPr>
            <w:pStyle w:val="Sumrio4"/>
            <w:tabs>
              <w:tab w:val="left" w:pos="1320"/>
              <w:tab w:val="right" w:leader="dot" w:pos="9736"/>
            </w:tabs>
            <w:rPr>
              <w:rFonts w:asciiTheme="minorHAnsi" w:eastAsiaTheme="minorEastAsia" w:hAnsiTheme="minorHAnsi" w:cstheme="minorBidi"/>
              <w:noProof/>
              <w:sz w:val="22"/>
              <w:szCs w:val="22"/>
              <w:lang w:eastAsia="pt-BR" w:bidi="ar-SA"/>
            </w:rPr>
          </w:pPr>
          <w:hyperlink w:anchor="_Toc103680566" w:history="1">
            <w:r w:rsidR="00B572AE" w:rsidRPr="00764BE3">
              <w:rPr>
                <w:rStyle w:val="Hyperlink"/>
                <w:rFonts w:cstheme="minorHAnsi"/>
                <w:noProof/>
              </w:rPr>
              <w:t>4.4.4.1</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Demonstrativo das Despesas com Pessoal</w:t>
            </w:r>
            <w:r w:rsidR="00B572AE">
              <w:rPr>
                <w:noProof/>
                <w:webHidden/>
              </w:rPr>
              <w:tab/>
            </w:r>
            <w:r w:rsidR="00B572AE">
              <w:rPr>
                <w:noProof/>
                <w:webHidden/>
              </w:rPr>
              <w:fldChar w:fldCharType="begin"/>
            </w:r>
            <w:r w:rsidR="00B572AE">
              <w:rPr>
                <w:noProof/>
                <w:webHidden/>
              </w:rPr>
              <w:instrText xml:space="preserve"> PAGEREF _Toc103680566 \h </w:instrText>
            </w:r>
            <w:r w:rsidR="00B572AE">
              <w:rPr>
                <w:noProof/>
                <w:webHidden/>
              </w:rPr>
            </w:r>
            <w:r w:rsidR="00B572AE">
              <w:rPr>
                <w:noProof/>
                <w:webHidden/>
              </w:rPr>
              <w:fldChar w:fldCharType="separate"/>
            </w:r>
            <w:r w:rsidR="00B572AE">
              <w:rPr>
                <w:noProof/>
                <w:webHidden/>
              </w:rPr>
              <w:t>101</w:t>
            </w:r>
            <w:r w:rsidR="00B572AE">
              <w:rPr>
                <w:noProof/>
                <w:webHidden/>
              </w:rPr>
              <w:fldChar w:fldCharType="end"/>
            </w:r>
          </w:hyperlink>
        </w:p>
        <w:p w14:paraId="4B6BA037" w14:textId="2B77FF5B"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567" w:history="1">
            <w:r w:rsidR="00B572AE" w:rsidRPr="00764BE3">
              <w:rPr>
                <w:rStyle w:val="Hyperlink"/>
                <w:rFonts w:cstheme="minorHAnsi"/>
                <w:noProof/>
              </w:rPr>
              <w:t>4.4.5</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Estratégia de valorização por desempenho e levantamento de necessidades de treinamento; estratégias para alavancar o desempenho e a eficiência, sistemas/ferramentas de apoio, trabalho remoto, valorização do ambiente e das condições de trabalho etc.</w:t>
            </w:r>
            <w:r w:rsidR="00B572AE">
              <w:rPr>
                <w:noProof/>
                <w:webHidden/>
              </w:rPr>
              <w:tab/>
            </w:r>
            <w:r w:rsidR="00B572AE">
              <w:rPr>
                <w:noProof/>
                <w:webHidden/>
              </w:rPr>
              <w:fldChar w:fldCharType="begin"/>
            </w:r>
            <w:r w:rsidR="00B572AE">
              <w:rPr>
                <w:noProof/>
                <w:webHidden/>
              </w:rPr>
              <w:instrText xml:space="preserve"> PAGEREF _Toc103680567 \h </w:instrText>
            </w:r>
            <w:r w:rsidR="00B572AE">
              <w:rPr>
                <w:noProof/>
                <w:webHidden/>
              </w:rPr>
            </w:r>
            <w:r w:rsidR="00B572AE">
              <w:rPr>
                <w:noProof/>
                <w:webHidden/>
              </w:rPr>
              <w:fldChar w:fldCharType="separate"/>
            </w:r>
            <w:r w:rsidR="00B572AE">
              <w:rPr>
                <w:noProof/>
                <w:webHidden/>
              </w:rPr>
              <w:t>102</w:t>
            </w:r>
            <w:r w:rsidR="00B572AE">
              <w:rPr>
                <w:noProof/>
                <w:webHidden/>
              </w:rPr>
              <w:fldChar w:fldCharType="end"/>
            </w:r>
          </w:hyperlink>
        </w:p>
        <w:p w14:paraId="7AEE4467" w14:textId="61B42845"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568" w:history="1">
            <w:r w:rsidR="00B572AE" w:rsidRPr="00764BE3">
              <w:rPr>
                <w:rStyle w:val="Hyperlink"/>
                <w:rFonts w:cstheme="minorHAnsi"/>
                <w:noProof/>
              </w:rPr>
              <w:t>4.4.6</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Principais metas não alcançadas, principais desafios, ações e perspectivas para os próximos exercícios.</w:t>
            </w:r>
            <w:r w:rsidR="00B572AE">
              <w:rPr>
                <w:noProof/>
                <w:webHidden/>
              </w:rPr>
              <w:tab/>
            </w:r>
            <w:r w:rsidR="00B572AE">
              <w:rPr>
                <w:noProof/>
                <w:webHidden/>
              </w:rPr>
              <w:fldChar w:fldCharType="begin"/>
            </w:r>
            <w:r w:rsidR="00B572AE">
              <w:rPr>
                <w:noProof/>
                <w:webHidden/>
              </w:rPr>
              <w:instrText xml:space="preserve"> PAGEREF _Toc103680568 \h </w:instrText>
            </w:r>
            <w:r w:rsidR="00B572AE">
              <w:rPr>
                <w:noProof/>
                <w:webHidden/>
              </w:rPr>
            </w:r>
            <w:r w:rsidR="00B572AE">
              <w:rPr>
                <w:noProof/>
                <w:webHidden/>
              </w:rPr>
              <w:fldChar w:fldCharType="separate"/>
            </w:r>
            <w:r w:rsidR="00B572AE">
              <w:rPr>
                <w:noProof/>
                <w:webHidden/>
              </w:rPr>
              <w:t>104</w:t>
            </w:r>
            <w:r w:rsidR="00B572AE">
              <w:rPr>
                <w:noProof/>
                <w:webHidden/>
              </w:rPr>
              <w:fldChar w:fldCharType="end"/>
            </w:r>
          </w:hyperlink>
        </w:p>
        <w:p w14:paraId="21C32F3D" w14:textId="0A6AF08E" w:rsidR="00B572AE" w:rsidRDefault="008A3D44">
          <w:pPr>
            <w:pStyle w:val="Sumrio2"/>
            <w:tabs>
              <w:tab w:val="left" w:pos="660"/>
              <w:tab w:val="right" w:leader="dot" w:pos="9736"/>
            </w:tabs>
            <w:rPr>
              <w:rFonts w:asciiTheme="minorHAnsi" w:eastAsiaTheme="minorEastAsia" w:hAnsiTheme="minorHAnsi" w:cstheme="minorBidi"/>
              <w:b w:val="0"/>
              <w:bCs w:val="0"/>
              <w:noProof/>
              <w:sz w:val="22"/>
              <w:szCs w:val="22"/>
              <w:lang w:eastAsia="pt-BR" w:bidi="ar-SA"/>
            </w:rPr>
          </w:pPr>
          <w:hyperlink w:anchor="_Toc103680569" w:history="1">
            <w:r w:rsidR="00B572AE" w:rsidRPr="00764BE3">
              <w:rPr>
                <w:rStyle w:val="Hyperlink"/>
                <w:noProof/>
              </w:rPr>
              <w:t>4.5</w:t>
            </w:r>
            <w:r w:rsidR="00B572AE">
              <w:rPr>
                <w:rFonts w:asciiTheme="minorHAnsi" w:eastAsiaTheme="minorEastAsia" w:hAnsiTheme="minorHAnsi" w:cstheme="minorBidi"/>
                <w:b w:val="0"/>
                <w:bCs w:val="0"/>
                <w:noProof/>
                <w:sz w:val="22"/>
                <w:szCs w:val="22"/>
                <w:lang w:eastAsia="pt-BR" w:bidi="ar-SA"/>
              </w:rPr>
              <w:tab/>
            </w:r>
            <w:r w:rsidR="00B572AE" w:rsidRPr="00764BE3">
              <w:rPr>
                <w:rStyle w:val="Hyperlink"/>
                <w:noProof/>
              </w:rPr>
              <w:t>Gestão de licitações e contratos</w:t>
            </w:r>
            <w:r w:rsidR="00B572AE">
              <w:rPr>
                <w:noProof/>
                <w:webHidden/>
              </w:rPr>
              <w:tab/>
            </w:r>
            <w:r w:rsidR="00B572AE">
              <w:rPr>
                <w:noProof/>
                <w:webHidden/>
              </w:rPr>
              <w:fldChar w:fldCharType="begin"/>
            </w:r>
            <w:r w:rsidR="00B572AE">
              <w:rPr>
                <w:noProof/>
                <w:webHidden/>
              </w:rPr>
              <w:instrText xml:space="preserve"> PAGEREF _Toc103680569 \h </w:instrText>
            </w:r>
            <w:r w:rsidR="00B572AE">
              <w:rPr>
                <w:noProof/>
                <w:webHidden/>
              </w:rPr>
            </w:r>
            <w:r w:rsidR="00B572AE">
              <w:rPr>
                <w:noProof/>
                <w:webHidden/>
              </w:rPr>
              <w:fldChar w:fldCharType="separate"/>
            </w:r>
            <w:r w:rsidR="00B572AE">
              <w:rPr>
                <w:noProof/>
                <w:webHidden/>
              </w:rPr>
              <w:t>105</w:t>
            </w:r>
            <w:r w:rsidR="00B572AE">
              <w:rPr>
                <w:noProof/>
                <w:webHidden/>
              </w:rPr>
              <w:fldChar w:fldCharType="end"/>
            </w:r>
          </w:hyperlink>
        </w:p>
        <w:p w14:paraId="57F7E889" w14:textId="6A1D8122"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570" w:history="1">
            <w:r w:rsidR="00B572AE" w:rsidRPr="00764BE3">
              <w:rPr>
                <w:rStyle w:val="Hyperlink"/>
                <w:rFonts w:cstheme="minorHAnsi"/>
                <w:noProof/>
              </w:rPr>
              <w:t>4.5.1</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Conformidade legal: principais normas internas e mecanismos de controle e prevenção de irregularidades ou falhas utilizados</w:t>
            </w:r>
            <w:r w:rsidR="00B572AE">
              <w:rPr>
                <w:noProof/>
                <w:webHidden/>
              </w:rPr>
              <w:tab/>
            </w:r>
            <w:r w:rsidR="00B572AE">
              <w:rPr>
                <w:noProof/>
                <w:webHidden/>
              </w:rPr>
              <w:fldChar w:fldCharType="begin"/>
            </w:r>
            <w:r w:rsidR="00B572AE">
              <w:rPr>
                <w:noProof/>
                <w:webHidden/>
              </w:rPr>
              <w:instrText xml:space="preserve"> PAGEREF _Toc103680570 \h </w:instrText>
            </w:r>
            <w:r w:rsidR="00B572AE">
              <w:rPr>
                <w:noProof/>
                <w:webHidden/>
              </w:rPr>
            </w:r>
            <w:r w:rsidR="00B572AE">
              <w:rPr>
                <w:noProof/>
                <w:webHidden/>
              </w:rPr>
              <w:fldChar w:fldCharType="separate"/>
            </w:r>
            <w:r w:rsidR="00B572AE">
              <w:rPr>
                <w:noProof/>
                <w:webHidden/>
              </w:rPr>
              <w:t>105</w:t>
            </w:r>
            <w:r w:rsidR="00B572AE">
              <w:rPr>
                <w:noProof/>
                <w:webHidden/>
              </w:rPr>
              <w:fldChar w:fldCharType="end"/>
            </w:r>
          </w:hyperlink>
        </w:p>
        <w:p w14:paraId="5CA0C482" w14:textId="40A3F49C"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571" w:history="1">
            <w:r w:rsidR="00B572AE" w:rsidRPr="00764BE3">
              <w:rPr>
                <w:rStyle w:val="Hyperlink"/>
                <w:rFonts w:cstheme="minorHAnsi"/>
                <w:noProof/>
              </w:rPr>
              <w:t>4.5.2</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Resumo dos valores de contratações classificadas por pelos principais tipos de serviço ou bens, bem como com a indicação das áreas da organização favorecidas com a aquisição</w:t>
            </w:r>
            <w:r w:rsidR="00B572AE">
              <w:rPr>
                <w:noProof/>
                <w:webHidden/>
              </w:rPr>
              <w:tab/>
            </w:r>
            <w:r w:rsidR="00B572AE">
              <w:rPr>
                <w:noProof/>
                <w:webHidden/>
              </w:rPr>
              <w:fldChar w:fldCharType="begin"/>
            </w:r>
            <w:r w:rsidR="00B572AE">
              <w:rPr>
                <w:noProof/>
                <w:webHidden/>
              </w:rPr>
              <w:instrText xml:space="preserve"> PAGEREF _Toc103680571 \h </w:instrText>
            </w:r>
            <w:r w:rsidR="00B572AE">
              <w:rPr>
                <w:noProof/>
                <w:webHidden/>
              </w:rPr>
            </w:r>
            <w:r w:rsidR="00B572AE">
              <w:rPr>
                <w:noProof/>
                <w:webHidden/>
              </w:rPr>
              <w:fldChar w:fldCharType="separate"/>
            </w:r>
            <w:r w:rsidR="00B572AE">
              <w:rPr>
                <w:noProof/>
                <w:webHidden/>
              </w:rPr>
              <w:t>105</w:t>
            </w:r>
            <w:r w:rsidR="00B572AE">
              <w:rPr>
                <w:noProof/>
                <w:webHidden/>
              </w:rPr>
              <w:fldChar w:fldCharType="end"/>
            </w:r>
          </w:hyperlink>
        </w:p>
        <w:p w14:paraId="1E9F88EB" w14:textId="1261BC1D"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572" w:history="1">
            <w:r w:rsidR="00B572AE" w:rsidRPr="00764BE3">
              <w:rPr>
                <w:rStyle w:val="Hyperlink"/>
                <w:rFonts w:cstheme="minorHAnsi"/>
                <w:noProof/>
              </w:rPr>
              <w:t>4.5.3</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Contratações mais relevantes, sua associação aos objetivos estratégicos e justificativas para essas contratações</w:t>
            </w:r>
            <w:r w:rsidR="00B572AE">
              <w:rPr>
                <w:noProof/>
                <w:webHidden/>
              </w:rPr>
              <w:tab/>
            </w:r>
            <w:r w:rsidR="00B572AE">
              <w:rPr>
                <w:noProof/>
                <w:webHidden/>
              </w:rPr>
              <w:fldChar w:fldCharType="begin"/>
            </w:r>
            <w:r w:rsidR="00B572AE">
              <w:rPr>
                <w:noProof/>
                <w:webHidden/>
              </w:rPr>
              <w:instrText xml:space="preserve"> PAGEREF _Toc103680572 \h </w:instrText>
            </w:r>
            <w:r w:rsidR="00B572AE">
              <w:rPr>
                <w:noProof/>
                <w:webHidden/>
              </w:rPr>
            </w:r>
            <w:r w:rsidR="00B572AE">
              <w:rPr>
                <w:noProof/>
                <w:webHidden/>
              </w:rPr>
              <w:fldChar w:fldCharType="separate"/>
            </w:r>
            <w:r w:rsidR="00B572AE">
              <w:rPr>
                <w:noProof/>
                <w:webHidden/>
              </w:rPr>
              <w:t>106</w:t>
            </w:r>
            <w:r w:rsidR="00B572AE">
              <w:rPr>
                <w:noProof/>
                <w:webHidden/>
              </w:rPr>
              <w:fldChar w:fldCharType="end"/>
            </w:r>
          </w:hyperlink>
        </w:p>
        <w:p w14:paraId="6954631B" w14:textId="3AD96A9C"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573" w:history="1">
            <w:r w:rsidR="00B572AE" w:rsidRPr="00764BE3">
              <w:rPr>
                <w:rStyle w:val="Hyperlink"/>
                <w:rFonts w:cstheme="minorHAnsi"/>
                <w:noProof/>
              </w:rPr>
              <w:t>4.5.4</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Contratações diretas: participação nos processos de contratação, principais tipos e justificativas para realização.</w:t>
            </w:r>
            <w:r w:rsidR="00B572AE">
              <w:rPr>
                <w:noProof/>
                <w:webHidden/>
              </w:rPr>
              <w:tab/>
            </w:r>
            <w:r w:rsidR="00B572AE">
              <w:rPr>
                <w:noProof/>
                <w:webHidden/>
              </w:rPr>
              <w:fldChar w:fldCharType="begin"/>
            </w:r>
            <w:r w:rsidR="00B572AE">
              <w:rPr>
                <w:noProof/>
                <w:webHidden/>
              </w:rPr>
              <w:instrText xml:space="preserve"> PAGEREF _Toc103680573 \h </w:instrText>
            </w:r>
            <w:r w:rsidR="00B572AE">
              <w:rPr>
                <w:noProof/>
                <w:webHidden/>
              </w:rPr>
            </w:r>
            <w:r w:rsidR="00B572AE">
              <w:rPr>
                <w:noProof/>
                <w:webHidden/>
              </w:rPr>
              <w:fldChar w:fldCharType="separate"/>
            </w:r>
            <w:r w:rsidR="00B572AE">
              <w:rPr>
                <w:noProof/>
                <w:webHidden/>
              </w:rPr>
              <w:t>107</w:t>
            </w:r>
            <w:r w:rsidR="00B572AE">
              <w:rPr>
                <w:noProof/>
                <w:webHidden/>
              </w:rPr>
              <w:fldChar w:fldCharType="end"/>
            </w:r>
          </w:hyperlink>
        </w:p>
        <w:p w14:paraId="656AE470" w14:textId="4FBC32F1"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574" w:history="1">
            <w:r w:rsidR="00B572AE" w:rsidRPr="00764BE3">
              <w:rPr>
                <w:rStyle w:val="Hyperlink"/>
                <w:rFonts w:cstheme="minorHAnsi"/>
                <w:noProof/>
              </w:rPr>
              <w:t>4.5.5</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Principais metas não alcançadas, principais desafios, ações e perspectivas para os próximos exercícios.</w:t>
            </w:r>
            <w:r w:rsidR="00B572AE">
              <w:rPr>
                <w:noProof/>
                <w:webHidden/>
              </w:rPr>
              <w:tab/>
            </w:r>
            <w:r w:rsidR="00B572AE">
              <w:rPr>
                <w:noProof/>
                <w:webHidden/>
              </w:rPr>
              <w:fldChar w:fldCharType="begin"/>
            </w:r>
            <w:r w:rsidR="00B572AE">
              <w:rPr>
                <w:noProof/>
                <w:webHidden/>
              </w:rPr>
              <w:instrText xml:space="preserve"> PAGEREF _Toc103680574 \h </w:instrText>
            </w:r>
            <w:r w:rsidR="00B572AE">
              <w:rPr>
                <w:noProof/>
                <w:webHidden/>
              </w:rPr>
            </w:r>
            <w:r w:rsidR="00B572AE">
              <w:rPr>
                <w:noProof/>
                <w:webHidden/>
              </w:rPr>
              <w:fldChar w:fldCharType="separate"/>
            </w:r>
            <w:r w:rsidR="00B572AE">
              <w:rPr>
                <w:noProof/>
                <w:webHidden/>
              </w:rPr>
              <w:t>107</w:t>
            </w:r>
            <w:r w:rsidR="00B572AE">
              <w:rPr>
                <w:noProof/>
                <w:webHidden/>
              </w:rPr>
              <w:fldChar w:fldCharType="end"/>
            </w:r>
          </w:hyperlink>
        </w:p>
        <w:p w14:paraId="50CA9087" w14:textId="37361A66" w:rsidR="00B572AE" w:rsidRDefault="008A3D44">
          <w:pPr>
            <w:pStyle w:val="Sumrio2"/>
            <w:tabs>
              <w:tab w:val="left" w:pos="660"/>
              <w:tab w:val="right" w:leader="dot" w:pos="9736"/>
            </w:tabs>
            <w:rPr>
              <w:rFonts w:asciiTheme="minorHAnsi" w:eastAsiaTheme="minorEastAsia" w:hAnsiTheme="minorHAnsi" w:cstheme="minorBidi"/>
              <w:b w:val="0"/>
              <w:bCs w:val="0"/>
              <w:noProof/>
              <w:sz w:val="22"/>
              <w:szCs w:val="22"/>
              <w:lang w:eastAsia="pt-BR" w:bidi="ar-SA"/>
            </w:rPr>
          </w:pPr>
          <w:hyperlink w:anchor="_Toc103680575" w:history="1">
            <w:r w:rsidR="00B572AE" w:rsidRPr="00764BE3">
              <w:rPr>
                <w:rStyle w:val="Hyperlink"/>
                <w:noProof/>
              </w:rPr>
              <w:t>4.6</w:t>
            </w:r>
            <w:r w:rsidR="00B572AE">
              <w:rPr>
                <w:rFonts w:asciiTheme="minorHAnsi" w:eastAsiaTheme="minorEastAsia" w:hAnsiTheme="minorHAnsi" w:cstheme="minorBidi"/>
                <w:b w:val="0"/>
                <w:bCs w:val="0"/>
                <w:noProof/>
                <w:sz w:val="22"/>
                <w:szCs w:val="22"/>
                <w:lang w:eastAsia="pt-BR" w:bidi="ar-SA"/>
              </w:rPr>
              <w:tab/>
            </w:r>
            <w:r w:rsidR="00B572AE" w:rsidRPr="00764BE3">
              <w:rPr>
                <w:rStyle w:val="Hyperlink"/>
                <w:noProof/>
              </w:rPr>
              <w:t>Gestão patrimonial e de infraestrutura</w:t>
            </w:r>
            <w:r w:rsidR="00B572AE">
              <w:rPr>
                <w:noProof/>
                <w:webHidden/>
              </w:rPr>
              <w:tab/>
            </w:r>
            <w:r w:rsidR="00B572AE">
              <w:rPr>
                <w:noProof/>
                <w:webHidden/>
              </w:rPr>
              <w:fldChar w:fldCharType="begin"/>
            </w:r>
            <w:r w:rsidR="00B572AE">
              <w:rPr>
                <w:noProof/>
                <w:webHidden/>
              </w:rPr>
              <w:instrText xml:space="preserve"> PAGEREF _Toc103680575 \h </w:instrText>
            </w:r>
            <w:r w:rsidR="00B572AE">
              <w:rPr>
                <w:noProof/>
                <w:webHidden/>
              </w:rPr>
            </w:r>
            <w:r w:rsidR="00B572AE">
              <w:rPr>
                <w:noProof/>
                <w:webHidden/>
              </w:rPr>
              <w:fldChar w:fldCharType="separate"/>
            </w:r>
            <w:r w:rsidR="00B572AE">
              <w:rPr>
                <w:noProof/>
                <w:webHidden/>
              </w:rPr>
              <w:t>109</w:t>
            </w:r>
            <w:r w:rsidR="00B572AE">
              <w:rPr>
                <w:noProof/>
                <w:webHidden/>
              </w:rPr>
              <w:fldChar w:fldCharType="end"/>
            </w:r>
          </w:hyperlink>
        </w:p>
        <w:p w14:paraId="06175DD8" w14:textId="172C8B13"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576" w:history="1">
            <w:r w:rsidR="00B572AE" w:rsidRPr="00764BE3">
              <w:rPr>
                <w:rStyle w:val="Hyperlink"/>
                <w:rFonts w:cstheme="minorHAnsi"/>
                <w:noProof/>
              </w:rPr>
              <w:t>4.6.1</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Conformidade legal: principais normas internas e mecanismos de controle e prevenção de falhas e irregularidades</w:t>
            </w:r>
            <w:r w:rsidR="00B572AE">
              <w:rPr>
                <w:noProof/>
                <w:webHidden/>
              </w:rPr>
              <w:tab/>
            </w:r>
            <w:r w:rsidR="00B572AE">
              <w:rPr>
                <w:noProof/>
                <w:webHidden/>
              </w:rPr>
              <w:fldChar w:fldCharType="begin"/>
            </w:r>
            <w:r w:rsidR="00B572AE">
              <w:rPr>
                <w:noProof/>
                <w:webHidden/>
              </w:rPr>
              <w:instrText xml:space="preserve"> PAGEREF _Toc103680576 \h </w:instrText>
            </w:r>
            <w:r w:rsidR="00B572AE">
              <w:rPr>
                <w:noProof/>
                <w:webHidden/>
              </w:rPr>
            </w:r>
            <w:r w:rsidR="00B572AE">
              <w:rPr>
                <w:noProof/>
                <w:webHidden/>
              </w:rPr>
              <w:fldChar w:fldCharType="separate"/>
            </w:r>
            <w:r w:rsidR="00B572AE">
              <w:rPr>
                <w:noProof/>
                <w:webHidden/>
              </w:rPr>
              <w:t>110</w:t>
            </w:r>
            <w:r w:rsidR="00B572AE">
              <w:rPr>
                <w:noProof/>
                <w:webHidden/>
              </w:rPr>
              <w:fldChar w:fldCharType="end"/>
            </w:r>
          </w:hyperlink>
        </w:p>
        <w:p w14:paraId="4977CFEE" w14:textId="15C9CDBF"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577" w:history="1">
            <w:r w:rsidR="00B572AE" w:rsidRPr="00764BE3">
              <w:rPr>
                <w:rStyle w:val="Hyperlink"/>
                <w:rFonts w:cstheme="minorHAnsi"/>
                <w:noProof/>
              </w:rPr>
              <w:t>4.6.2</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Principais investimentos de capital (infraestrutura e equipamentos), avaliação do custo-benefício e impacto sobre os objetivos estratégicos.</w:t>
            </w:r>
            <w:r w:rsidR="00B572AE">
              <w:rPr>
                <w:noProof/>
                <w:webHidden/>
              </w:rPr>
              <w:tab/>
            </w:r>
            <w:r w:rsidR="00B572AE">
              <w:rPr>
                <w:noProof/>
                <w:webHidden/>
              </w:rPr>
              <w:fldChar w:fldCharType="begin"/>
            </w:r>
            <w:r w:rsidR="00B572AE">
              <w:rPr>
                <w:noProof/>
                <w:webHidden/>
              </w:rPr>
              <w:instrText xml:space="preserve"> PAGEREF _Toc103680577 \h </w:instrText>
            </w:r>
            <w:r w:rsidR="00B572AE">
              <w:rPr>
                <w:noProof/>
                <w:webHidden/>
              </w:rPr>
            </w:r>
            <w:r w:rsidR="00B572AE">
              <w:rPr>
                <w:noProof/>
                <w:webHidden/>
              </w:rPr>
              <w:fldChar w:fldCharType="separate"/>
            </w:r>
            <w:r w:rsidR="00B572AE">
              <w:rPr>
                <w:noProof/>
                <w:webHidden/>
              </w:rPr>
              <w:t>110</w:t>
            </w:r>
            <w:r w:rsidR="00B572AE">
              <w:rPr>
                <w:noProof/>
                <w:webHidden/>
              </w:rPr>
              <w:fldChar w:fldCharType="end"/>
            </w:r>
          </w:hyperlink>
        </w:p>
        <w:p w14:paraId="1470BA9A" w14:textId="2D791B49"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578" w:history="1">
            <w:r w:rsidR="00B572AE" w:rsidRPr="00764BE3">
              <w:rPr>
                <w:rStyle w:val="Hyperlink"/>
                <w:rFonts w:cstheme="minorHAnsi"/>
                <w:noProof/>
              </w:rPr>
              <w:t>4.6.3</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Desfazimento de ativos.</w:t>
            </w:r>
            <w:r w:rsidR="00B572AE">
              <w:rPr>
                <w:noProof/>
                <w:webHidden/>
              </w:rPr>
              <w:tab/>
            </w:r>
            <w:r w:rsidR="00B572AE">
              <w:rPr>
                <w:noProof/>
                <w:webHidden/>
              </w:rPr>
              <w:fldChar w:fldCharType="begin"/>
            </w:r>
            <w:r w:rsidR="00B572AE">
              <w:rPr>
                <w:noProof/>
                <w:webHidden/>
              </w:rPr>
              <w:instrText xml:space="preserve"> PAGEREF _Toc103680578 \h </w:instrText>
            </w:r>
            <w:r w:rsidR="00B572AE">
              <w:rPr>
                <w:noProof/>
                <w:webHidden/>
              </w:rPr>
            </w:r>
            <w:r w:rsidR="00B572AE">
              <w:rPr>
                <w:noProof/>
                <w:webHidden/>
              </w:rPr>
              <w:fldChar w:fldCharType="separate"/>
            </w:r>
            <w:r w:rsidR="00B572AE">
              <w:rPr>
                <w:noProof/>
                <w:webHidden/>
              </w:rPr>
              <w:t>111</w:t>
            </w:r>
            <w:r w:rsidR="00B572AE">
              <w:rPr>
                <w:noProof/>
                <w:webHidden/>
              </w:rPr>
              <w:fldChar w:fldCharType="end"/>
            </w:r>
          </w:hyperlink>
        </w:p>
        <w:p w14:paraId="43B350F4" w14:textId="543E5E2D"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579" w:history="1">
            <w:r w:rsidR="00B572AE" w:rsidRPr="00764BE3">
              <w:rPr>
                <w:rStyle w:val="Hyperlink"/>
                <w:rFonts w:cstheme="minorHAnsi"/>
                <w:noProof/>
              </w:rPr>
              <w:t>4.6.4</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Locações de imóveis e equipamentos.</w:t>
            </w:r>
            <w:r w:rsidR="00B572AE">
              <w:rPr>
                <w:noProof/>
                <w:webHidden/>
              </w:rPr>
              <w:tab/>
            </w:r>
            <w:r w:rsidR="00B572AE">
              <w:rPr>
                <w:noProof/>
                <w:webHidden/>
              </w:rPr>
              <w:fldChar w:fldCharType="begin"/>
            </w:r>
            <w:r w:rsidR="00B572AE">
              <w:rPr>
                <w:noProof/>
                <w:webHidden/>
              </w:rPr>
              <w:instrText xml:space="preserve"> PAGEREF _Toc103680579 \h </w:instrText>
            </w:r>
            <w:r w:rsidR="00B572AE">
              <w:rPr>
                <w:noProof/>
                <w:webHidden/>
              </w:rPr>
            </w:r>
            <w:r w:rsidR="00B572AE">
              <w:rPr>
                <w:noProof/>
                <w:webHidden/>
              </w:rPr>
              <w:fldChar w:fldCharType="separate"/>
            </w:r>
            <w:r w:rsidR="00B572AE">
              <w:rPr>
                <w:noProof/>
                <w:webHidden/>
              </w:rPr>
              <w:t>111</w:t>
            </w:r>
            <w:r w:rsidR="00B572AE">
              <w:rPr>
                <w:noProof/>
                <w:webHidden/>
              </w:rPr>
              <w:fldChar w:fldCharType="end"/>
            </w:r>
          </w:hyperlink>
        </w:p>
        <w:p w14:paraId="51358485" w14:textId="1F8C76DB"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580" w:history="1">
            <w:r w:rsidR="00B572AE" w:rsidRPr="00764BE3">
              <w:rPr>
                <w:rStyle w:val="Hyperlink"/>
                <w:rFonts w:cstheme="minorHAnsi"/>
                <w:noProof/>
              </w:rPr>
              <w:t>4.6.5</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Mudanças e desmobilizações relevantes</w:t>
            </w:r>
            <w:r w:rsidR="00B572AE">
              <w:rPr>
                <w:noProof/>
                <w:webHidden/>
              </w:rPr>
              <w:tab/>
            </w:r>
            <w:r w:rsidR="00B572AE">
              <w:rPr>
                <w:noProof/>
                <w:webHidden/>
              </w:rPr>
              <w:fldChar w:fldCharType="begin"/>
            </w:r>
            <w:r w:rsidR="00B572AE">
              <w:rPr>
                <w:noProof/>
                <w:webHidden/>
              </w:rPr>
              <w:instrText xml:space="preserve"> PAGEREF _Toc103680580 \h </w:instrText>
            </w:r>
            <w:r w:rsidR="00B572AE">
              <w:rPr>
                <w:noProof/>
                <w:webHidden/>
              </w:rPr>
            </w:r>
            <w:r w:rsidR="00B572AE">
              <w:rPr>
                <w:noProof/>
                <w:webHidden/>
              </w:rPr>
              <w:fldChar w:fldCharType="separate"/>
            </w:r>
            <w:r w:rsidR="00B572AE">
              <w:rPr>
                <w:noProof/>
                <w:webHidden/>
              </w:rPr>
              <w:t>112</w:t>
            </w:r>
            <w:r w:rsidR="00B572AE">
              <w:rPr>
                <w:noProof/>
                <w:webHidden/>
              </w:rPr>
              <w:fldChar w:fldCharType="end"/>
            </w:r>
          </w:hyperlink>
        </w:p>
        <w:p w14:paraId="0D29C107" w14:textId="56AF94C1"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581" w:history="1">
            <w:r w:rsidR="00B572AE" w:rsidRPr="00764BE3">
              <w:rPr>
                <w:rStyle w:val="Hyperlink"/>
                <w:rFonts w:cstheme="minorHAnsi"/>
                <w:noProof/>
              </w:rPr>
              <w:t>4.6.6</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Principais desafios e ações futuras</w:t>
            </w:r>
            <w:r w:rsidR="00B572AE">
              <w:rPr>
                <w:noProof/>
                <w:webHidden/>
              </w:rPr>
              <w:tab/>
            </w:r>
            <w:r w:rsidR="00B572AE">
              <w:rPr>
                <w:noProof/>
                <w:webHidden/>
              </w:rPr>
              <w:fldChar w:fldCharType="begin"/>
            </w:r>
            <w:r w:rsidR="00B572AE">
              <w:rPr>
                <w:noProof/>
                <w:webHidden/>
              </w:rPr>
              <w:instrText xml:space="preserve"> PAGEREF _Toc103680581 \h </w:instrText>
            </w:r>
            <w:r w:rsidR="00B572AE">
              <w:rPr>
                <w:noProof/>
                <w:webHidden/>
              </w:rPr>
            </w:r>
            <w:r w:rsidR="00B572AE">
              <w:rPr>
                <w:noProof/>
                <w:webHidden/>
              </w:rPr>
              <w:fldChar w:fldCharType="separate"/>
            </w:r>
            <w:r w:rsidR="00B572AE">
              <w:rPr>
                <w:noProof/>
                <w:webHidden/>
              </w:rPr>
              <w:t>112</w:t>
            </w:r>
            <w:r w:rsidR="00B572AE">
              <w:rPr>
                <w:noProof/>
                <w:webHidden/>
              </w:rPr>
              <w:fldChar w:fldCharType="end"/>
            </w:r>
          </w:hyperlink>
        </w:p>
        <w:p w14:paraId="15DEF3CD" w14:textId="55BE384E" w:rsidR="00B572AE" w:rsidRDefault="008A3D44">
          <w:pPr>
            <w:pStyle w:val="Sumrio2"/>
            <w:tabs>
              <w:tab w:val="left" w:pos="660"/>
              <w:tab w:val="right" w:leader="dot" w:pos="9736"/>
            </w:tabs>
            <w:rPr>
              <w:rFonts w:asciiTheme="minorHAnsi" w:eastAsiaTheme="minorEastAsia" w:hAnsiTheme="minorHAnsi" w:cstheme="minorBidi"/>
              <w:b w:val="0"/>
              <w:bCs w:val="0"/>
              <w:noProof/>
              <w:sz w:val="22"/>
              <w:szCs w:val="22"/>
              <w:lang w:eastAsia="pt-BR" w:bidi="ar-SA"/>
            </w:rPr>
          </w:pPr>
          <w:hyperlink w:anchor="_Toc103680582" w:history="1">
            <w:r w:rsidR="00B572AE" w:rsidRPr="00764BE3">
              <w:rPr>
                <w:rStyle w:val="Hyperlink"/>
                <w:noProof/>
              </w:rPr>
              <w:t>4.7</w:t>
            </w:r>
            <w:r w:rsidR="00B572AE">
              <w:rPr>
                <w:rFonts w:asciiTheme="minorHAnsi" w:eastAsiaTheme="minorEastAsia" w:hAnsiTheme="minorHAnsi" w:cstheme="minorBidi"/>
                <w:b w:val="0"/>
                <w:bCs w:val="0"/>
                <w:noProof/>
                <w:sz w:val="22"/>
                <w:szCs w:val="22"/>
                <w:lang w:eastAsia="pt-BR" w:bidi="ar-SA"/>
              </w:rPr>
              <w:tab/>
            </w:r>
            <w:r w:rsidR="00B572AE" w:rsidRPr="00764BE3">
              <w:rPr>
                <w:rStyle w:val="Hyperlink"/>
                <w:noProof/>
              </w:rPr>
              <w:t>Gestão tecnologia da informação</w:t>
            </w:r>
            <w:r w:rsidR="00B572AE">
              <w:rPr>
                <w:noProof/>
                <w:webHidden/>
              </w:rPr>
              <w:tab/>
            </w:r>
            <w:r w:rsidR="00B572AE">
              <w:rPr>
                <w:noProof/>
                <w:webHidden/>
              </w:rPr>
              <w:fldChar w:fldCharType="begin"/>
            </w:r>
            <w:r w:rsidR="00B572AE">
              <w:rPr>
                <w:noProof/>
                <w:webHidden/>
              </w:rPr>
              <w:instrText xml:space="preserve"> PAGEREF _Toc103680582 \h </w:instrText>
            </w:r>
            <w:r w:rsidR="00B572AE">
              <w:rPr>
                <w:noProof/>
                <w:webHidden/>
              </w:rPr>
            </w:r>
            <w:r w:rsidR="00B572AE">
              <w:rPr>
                <w:noProof/>
                <w:webHidden/>
              </w:rPr>
              <w:fldChar w:fldCharType="separate"/>
            </w:r>
            <w:r w:rsidR="00B572AE">
              <w:rPr>
                <w:noProof/>
                <w:webHidden/>
              </w:rPr>
              <w:t>113</w:t>
            </w:r>
            <w:r w:rsidR="00B572AE">
              <w:rPr>
                <w:noProof/>
                <w:webHidden/>
              </w:rPr>
              <w:fldChar w:fldCharType="end"/>
            </w:r>
          </w:hyperlink>
        </w:p>
        <w:p w14:paraId="253BB32D" w14:textId="50F01539"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583" w:history="1">
            <w:r w:rsidR="00B572AE" w:rsidRPr="00764BE3">
              <w:rPr>
                <w:rStyle w:val="Hyperlink"/>
                <w:rFonts w:cstheme="minorHAnsi"/>
                <w:noProof/>
              </w:rPr>
              <w:t>4.7.1</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Conformidade legal</w:t>
            </w:r>
            <w:r w:rsidR="00B572AE">
              <w:rPr>
                <w:noProof/>
                <w:webHidden/>
              </w:rPr>
              <w:tab/>
            </w:r>
            <w:r w:rsidR="00B572AE">
              <w:rPr>
                <w:noProof/>
                <w:webHidden/>
              </w:rPr>
              <w:fldChar w:fldCharType="begin"/>
            </w:r>
            <w:r w:rsidR="00B572AE">
              <w:rPr>
                <w:noProof/>
                <w:webHidden/>
              </w:rPr>
              <w:instrText xml:space="preserve"> PAGEREF _Toc103680583 \h </w:instrText>
            </w:r>
            <w:r w:rsidR="00B572AE">
              <w:rPr>
                <w:noProof/>
                <w:webHidden/>
              </w:rPr>
            </w:r>
            <w:r w:rsidR="00B572AE">
              <w:rPr>
                <w:noProof/>
                <w:webHidden/>
              </w:rPr>
              <w:fldChar w:fldCharType="separate"/>
            </w:r>
            <w:r w:rsidR="00B572AE">
              <w:rPr>
                <w:noProof/>
                <w:webHidden/>
              </w:rPr>
              <w:t>113</w:t>
            </w:r>
            <w:r w:rsidR="00B572AE">
              <w:rPr>
                <w:noProof/>
                <w:webHidden/>
              </w:rPr>
              <w:fldChar w:fldCharType="end"/>
            </w:r>
          </w:hyperlink>
        </w:p>
        <w:p w14:paraId="7E55858F" w14:textId="0F8787CC"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584" w:history="1">
            <w:r w:rsidR="00B572AE" w:rsidRPr="00764BE3">
              <w:rPr>
                <w:rStyle w:val="Hyperlink"/>
                <w:rFonts w:cstheme="minorHAnsi"/>
                <w:noProof/>
              </w:rPr>
              <w:t>4.7.2</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Modelo de governança de TI</w:t>
            </w:r>
            <w:r w:rsidR="00B572AE">
              <w:rPr>
                <w:noProof/>
                <w:webHidden/>
              </w:rPr>
              <w:tab/>
            </w:r>
            <w:r w:rsidR="00B572AE">
              <w:rPr>
                <w:noProof/>
                <w:webHidden/>
              </w:rPr>
              <w:fldChar w:fldCharType="begin"/>
            </w:r>
            <w:r w:rsidR="00B572AE">
              <w:rPr>
                <w:noProof/>
                <w:webHidden/>
              </w:rPr>
              <w:instrText xml:space="preserve"> PAGEREF _Toc103680584 \h </w:instrText>
            </w:r>
            <w:r w:rsidR="00B572AE">
              <w:rPr>
                <w:noProof/>
                <w:webHidden/>
              </w:rPr>
            </w:r>
            <w:r w:rsidR="00B572AE">
              <w:rPr>
                <w:noProof/>
                <w:webHidden/>
              </w:rPr>
              <w:fldChar w:fldCharType="separate"/>
            </w:r>
            <w:r w:rsidR="00B572AE">
              <w:rPr>
                <w:noProof/>
                <w:webHidden/>
              </w:rPr>
              <w:t>113</w:t>
            </w:r>
            <w:r w:rsidR="00B572AE">
              <w:rPr>
                <w:noProof/>
                <w:webHidden/>
              </w:rPr>
              <w:fldChar w:fldCharType="end"/>
            </w:r>
          </w:hyperlink>
        </w:p>
        <w:p w14:paraId="31F1B257" w14:textId="3B9BF0CB"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585" w:history="1">
            <w:r w:rsidR="00B572AE" w:rsidRPr="00764BE3">
              <w:rPr>
                <w:rStyle w:val="Hyperlink"/>
                <w:rFonts w:cstheme="minorHAnsi"/>
                <w:noProof/>
              </w:rPr>
              <w:t>4.7.3</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Montante de recursos aplicados de TI</w:t>
            </w:r>
            <w:r w:rsidR="00B572AE">
              <w:rPr>
                <w:noProof/>
                <w:webHidden/>
              </w:rPr>
              <w:tab/>
            </w:r>
            <w:r w:rsidR="00B572AE">
              <w:rPr>
                <w:noProof/>
                <w:webHidden/>
              </w:rPr>
              <w:fldChar w:fldCharType="begin"/>
            </w:r>
            <w:r w:rsidR="00B572AE">
              <w:rPr>
                <w:noProof/>
                <w:webHidden/>
              </w:rPr>
              <w:instrText xml:space="preserve"> PAGEREF _Toc103680585 \h </w:instrText>
            </w:r>
            <w:r w:rsidR="00B572AE">
              <w:rPr>
                <w:noProof/>
                <w:webHidden/>
              </w:rPr>
            </w:r>
            <w:r w:rsidR="00B572AE">
              <w:rPr>
                <w:noProof/>
                <w:webHidden/>
              </w:rPr>
              <w:fldChar w:fldCharType="separate"/>
            </w:r>
            <w:r w:rsidR="00B572AE">
              <w:rPr>
                <w:noProof/>
                <w:webHidden/>
              </w:rPr>
              <w:t>114</w:t>
            </w:r>
            <w:r w:rsidR="00B572AE">
              <w:rPr>
                <w:noProof/>
                <w:webHidden/>
              </w:rPr>
              <w:fldChar w:fldCharType="end"/>
            </w:r>
          </w:hyperlink>
        </w:p>
        <w:p w14:paraId="205382F5" w14:textId="7B42D981"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586" w:history="1">
            <w:r w:rsidR="00B572AE" w:rsidRPr="00764BE3">
              <w:rPr>
                <w:rStyle w:val="Hyperlink"/>
                <w:rFonts w:cstheme="minorHAnsi"/>
                <w:noProof/>
              </w:rPr>
              <w:t>4.7.4</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Contratações mais relevantes de recursos de TI</w:t>
            </w:r>
            <w:r w:rsidR="00B572AE">
              <w:rPr>
                <w:noProof/>
                <w:webHidden/>
              </w:rPr>
              <w:tab/>
            </w:r>
            <w:r w:rsidR="00B572AE">
              <w:rPr>
                <w:noProof/>
                <w:webHidden/>
              </w:rPr>
              <w:fldChar w:fldCharType="begin"/>
            </w:r>
            <w:r w:rsidR="00B572AE">
              <w:rPr>
                <w:noProof/>
                <w:webHidden/>
              </w:rPr>
              <w:instrText xml:space="preserve"> PAGEREF _Toc103680586 \h </w:instrText>
            </w:r>
            <w:r w:rsidR="00B572AE">
              <w:rPr>
                <w:noProof/>
                <w:webHidden/>
              </w:rPr>
            </w:r>
            <w:r w:rsidR="00B572AE">
              <w:rPr>
                <w:noProof/>
                <w:webHidden/>
              </w:rPr>
              <w:fldChar w:fldCharType="separate"/>
            </w:r>
            <w:r w:rsidR="00B572AE">
              <w:rPr>
                <w:noProof/>
                <w:webHidden/>
              </w:rPr>
              <w:t>116</w:t>
            </w:r>
            <w:r w:rsidR="00B572AE">
              <w:rPr>
                <w:noProof/>
                <w:webHidden/>
              </w:rPr>
              <w:fldChar w:fldCharType="end"/>
            </w:r>
          </w:hyperlink>
        </w:p>
        <w:p w14:paraId="3ED3B231" w14:textId="32119E3B" w:rsidR="00B572AE" w:rsidRDefault="008A3D44">
          <w:pPr>
            <w:pStyle w:val="Sumrio4"/>
            <w:tabs>
              <w:tab w:val="left" w:pos="1320"/>
              <w:tab w:val="right" w:leader="dot" w:pos="9736"/>
            </w:tabs>
            <w:rPr>
              <w:rFonts w:asciiTheme="minorHAnsi" w:eastAsiaTheme="minorEastAsia" w:hAnsiTheme="minorHAnsi" w:cstheme="minorBidi"/>
              <w:noProof/>
              <w:sz w:val="22"/>
              <w:szCs w:val="22"/>
              <w:lang w:eastAsia="pt-BR" w:bidi="ar-SA"/>
            </w:rPr>
          </w:pPr>
          <w:hyperlink w:anchor="_Toc103680587" w:history="1">
            <w:r w:rsidR="00B572AE" w:rsidRPr="00764BE3">
              <w:rPr>
                <w:rStyle w:val="Hyperlink"/>
                <w:rFonts w:cstheme="minorHAnsi"/>
                <w:noProof/>
              </w:rPr>
              <w:t>4.7.4.1</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Contratação da Fábrica de Software</w:t>
            </w:r>
            <w:r w:rsidR="00B572AE">
              <w:rPr>
                <w:noProof/>
                <w:webHidden/>
              </w:rPr>
              <w:tab/>
            </w:r>
            <w:r w:rsidR="00B572AE">
              <w:rPr>
                <w:noProof/>
                <w:webHidden/>
              </w:rPr>
              <w:fldChar w:fldCharType="begin"/>
            </w:r>
            <w:r w:rsidR="00B572AE">
              <w:rPr>
                <w:noProof/>
                <w:webHidden/>
              </w:rPr>
              <w:instrText xml:space="preserve"> PAGEREF _Toc103680587 \h </w:instrText>
            </w:r>
            <w:r w:rsidR="00B572AE">
              <w:rPr>
                <w:noProof/>
                <w:webHidden/>
              </w:rPr>
            </w:r>
            <w:r w:rsidR="00B572AE">
              <w:rPr>
                <w:noProof/>
                <w:webHidden/>
              </w:rPr>
              <w:fldChar w:fldCharType="separate"/>
            </w:r>
            <w:r w:rsidR="00B572AE">
              <w:rPr>
                <w:noProof/>
                <w:webHidden/>
              </w:rPr>
              <w:t>116</w:t>
            </w:r>
            <w:r w:rsidR="00B572AE">
              <w:rPr>
                <w:noProof/>
                <w:webHidden/>
              </w:rPr>
              <w:fldChar w:fldCharType="end"/>
            </w:r>
          </w:hyperlink>
        </w:p>
        <w:p w14:paraId="5A67DCB0" w14:textId="660F8491" w:rsidR="00B572AE" w:rsidRDefault="008A3D44">
          <w:pPr>
            <w:pStyle w:val="Sumrio4"/>
            <w:tabs>
              <w:tab w:val="left" w:pos="1320"/>
              <w:tab w:val="right" w:leader="dot" w:pos="9736"/>
            </w:tabs>
            <w:rPr>
              <w:rFonts w:asciiTheme="minorHAnsi" w:eastAsiaTheme="minorEastAsia" w:hAnsiTheme="minorHAnsi" w:cstheme="minorBidi"/>
              <w:noProof/>
              <w:sz w:val="22"/>
              <w:szCs w:val="22"/>
              <w:lang w:eastAsia="pt-BR" w:bidi="ar-SA"/>
            </w:rPr>
          </w:pPr>
          <w:hyperlink w:anchor="_Toc103680588" w:history="1">
            <w:r w:rsidR="00B572AE" w:rsidRPr="00764BE3">
              <w:rPr>
                <w:rStyle w:val="Hyperlink"/>
                <w:rFonts w:cstheme="minorHAnsi"/>
                <w:noProof/>
              </w:rPr>
              <w:t>4.7.4.2</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Contratação de Licenças Microsoft</w:t>
            </w:r>
            <w:r w:rsidR="00B572AE">
              <w:rPr>
                <w:noProof/>
                <w:webHidden/>
              </w:rPr>
              <w:tab/>
            </w:r>
            <w:r w:rsidR="00B572AE">
              <w:rPr>
                <w:noProof/>
                <w:webHidden/>
              </w:rPr>
              <w:fldChar w:fldCharType="begin"/>
            </w:r>
            <w:r w:rsidR="00B572AE">
              <w:rPr>
                <w:noProof/>
                <w:webHidden/>
              </w:rPr>
              <w:instrText xml:space="preserve"> PAGEREF _Toc103680588 \h </w:instrText>
            </w:r>
            <w:r w:rsidR="00B572AE">
              <w:rPr>
                <w:noProof/>
                <w:webHidden/>
              </w:rPr>
            </w:r>
            <w:r w:rsidR="00B572AE">
              <w:rPr>
                <w:noProof/>
                <w:webHidden/>
              </w:rPr>
              <w:fldChar w:fldCharType="separate"/>
            </w:r>
            <w:r w:rsidR="00B572AE">
              <w:rPr>
                <w:noProof/>
                <w:webHidden/>
              </w:rPr>
              <w:t>117</w:t>
            </w:r>
            <w:r w:rsidR="00B572AE">
              <w:rPr>
                <w:noProof/>
                <w:webHidden/>
              </w:rPr>
              <w:fldChar w:fldCharType="end"/>
            </w:r>
          </w:hyperlink>
        </w:p>
        <w:p w14:paraId="5D8A3270" w14:textId="22EBD2B3" w:rsidR="00B572AE" w:rsidRDefault="008A3D44">
          <w:pPr>
            <w:pStyle w:val="Sumrio4"/>
            <w:tabs>
              <w:tab w:val="left" w:pos="1320"/>
              <w:tab w:val="right" w:leader="dot" w:pos="9736"/>
            </w:tabs>
            <w:rPr>
              <w:rFonts w:asciiTheme="minorHAnsi" w:eastAsiaTheme="minorEastAsia" w:hAnsiTheme="minorHAnsi" w:cstheme="minorBidi"/>
              <w:noProof/>
              <w:sz w:val="22"/>
              <w:szCs w:val="22"/>
              <w:lang w:eastAsia="pt-BR" w:bidi="ar-SA"/>
            </w:rPr>
          </w:pPr>
          <w:hyperlink w:anchor="_Toc103680589" w:history="1">
            <w:r w:rsidR="00B572AE" w:rsidRPr="00764BE3">
              <w:rPr>
                <w:rStyle w:val="Hyperlink"/>
                <w:rFonts w:cstheme="minorHAnsi"/>
                <w:noProof/>
              </w:rPr>
              <w:t>4.7.4.3</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Aquisição de Notebooks</w:t>
            </w:r>
            <w:r w:rsidR="00B572AE">
              <w:rPr>
                <w:noProof/>
                <w:webHidden/>
              </w:rPr>
              <w:tab/>
            </w:r>
            <w:r w:rsidR="00B572AE">
              <w:rPr>
                <w:noProof/>
                <w:webHidden/>
              </w:rPr>
              <w:fldChar w:fldCharType="begin"/>
            </w:r>
            <w:r w:rsidR="00B572AE">
              <w:rPr>
                <w:noProof/>
                <w:webHidden/>
              </w:rPr>
              <w:instrText xml:space="preserve"> PAGEREF _Toc103680589 \h </w:instrText>
            </w:r>
            <w:r w:rsidR="00B572AE">
              <w:rPr>
                <w:noProof/>
                <w:webHidden/>
              </w:rPr>
            </w:r>
            <w:r w:rsidR="00B572AE">
              <w:rPr>
                <w:noProof/>
                <w:webHidden/>
              </w:rPr>
              <w:fldChar w:fldCharType="separate"/>
            </w:r>
            <w:r w:rsidR="00B572AE">
              <w:rPr>
                <w:noProof/>
                <w:webHidden/>
              </w:rPr>
              <w:t>117</w:t>
            </w:r>
            <w:r w:rsidR="00B572AE">
              <w:rPr>
                <w:noProof/>
                <w:webHidden/>
              </w:rPr>
              <w:fldChar w:fldCharType="end"/>
            </w:r>
          </w:hyperlink>
        </w:p>
        <w:p w14:paraId="19BDDF1D" w14:textId="75EE9465"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590" w:history="1">
            <w:r w:rsidR="00B572AE" w:rsidRPr="00764BE3">
              <w:rPr>
                <w:rStyle w:val="Hyperlink"/>
                <w:rFonts w:cstheme="minorHAnsi"/>
                <w:noProof/>
              </w:rPr>
              <w:t>4.7.5</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Principais iniciativas e resultados na área de TI por cadeia de valor</w:t>
            </w:r>
            <w:r w:rsidR="00B572AE">
              <w:rPr>
                <w:noProof/>
                <w:webHidden/>
              </w:rPr>
              <w:tab/>
            </w:r>
            <w:r w:rsidR="00B572AE">
              <w:rPr>
                <w:noProof/>
                <w:webHidden/>
              </w:rPr>
              <w:fldChar w:fldCharType="begin"/>
            </w:r>
            <w:r w:rsidR="00B572AE">
              <w:rPr>
                <w:noProof/>
                <w:webHidden/>
              </w:rPr>
              <w:instrText xml:space="preserve"> PAGEREF _Toc103680590 \h </w:instrText>
            </w:r>
            <w:r w:rsidR="00B572AE">
              <w:rPr>
                <w:noProof/>
                <w:webHidden/>
              </w:rPr>
            </w:r>
            <w:r w:rsidR="00B572AE">
              <w:rPr>
                <w:noProof/>
                <w:webHidden/>
              </w:rPr>
              <w:fldChar w:fldCharType="separate"/>
            </w:r>
            <w:r w:rsidR="00B572AE">
              <w:rPr>
                <w:noProof/>
                <w:webHidden/>
              </w:rPr>
              <w:t>117</w:t>
            </w:r>
            <w:r w:rsidR="00B572AE">
              <w:rPr>
                <w:noProof/>
                <w:webHidden/>
              </w:rPr>
              <w:fldChar w:fldCharType="end"/>
            </w:r>
          </w:hyperlink>
        </w:p>
        <w:p w14:paraId="242508A5" w14:textId="33EA1104" w:rsidR="00B572AE" w:rsidRDefault="008A3D44">
          <w:pPr>
            <w:pStyle w:val="Sumrio4"/>
            <w:tabs>
              <w:tab w:val="left" w:pos="1320"/>
              <w:tab w:val="right" w:leader="dot" w:pos="9736"/>
            </w:tabs>
            <w:rPr>
              <w:rFonts w:asciiTheme="minorHAnsi" w:eastAsiaTheme="minorEastAsia" w:hAnsiTheme="minorHAnsi" w:cstheme="minorBidi"/>
              <w:noProof/>
              <w:sz w:val="22"/>
              <w:szCs w:val="22"/>
              <w:lang w:eastAsia="pt-BR" w:bidi="ar-SA"/>
            </w:rPr>
          </w:pPr>
          <w:hyperlink w:anchor="_Toc103680591" w:history="1">
            <w:r w:rsidR="00B572AE" w:rsidRPr="00764BE3">
              <w:rPr>
                <w:rStyle w:val="Hyperlink"/>
                <w:rFonts w:cstheme="minorHAnsi"/>
                <w:noProof/>
              </w:rPr>
              <w:t>4.7.5.1</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Cadeia de valor</w:t>
            </w:r>
            <w:r w:rsidR="00B572AE">
              <w:rPr>
                <w:noProof/>
                <w:webHidden/>
              </w:rPr>
              <w:tab/>
            </w:r>
            <w:r w:rsidR="00B572AE">
              <w:rPr>
                <w:noProof/>
                <w:webHidden/>
              </w:rPr>
              <w:fldChar w:fldCharType="begin"/>
            </w:r>
            <w:r w:rsidR="00B572AE">
              <w:rPr>
                <w:noProof/>
                <w:webHidden/>
              </w:rPr>
              <w:instrText xml:space="preserve"> PAGEREF _Toc103680591 \h </w:instrText>
            </w:r>
            <w:r w:rsidR="00B572AE">
              <w:rPr>
                <w:noProof/>
                <w:webHidden/>
              </w:rPr>
            </w:r>
            <w:r w:rsidR="00B572AE">
              <w:rPr>
                <w:noProof/>
                <w:webHidden/>
              </w:rPr>
              <w:fldChar w:fldCharType="separate"/>
            </w:r>
            <w:r w:rsidR="00B572AE">
              <w:rPr>
                <w:noProof/>
                <w:webHidden/>
              </w:rPr>
              <w:t>117</w:t>
            </w:r>
            <w:r w:rsidR="00B572AE">
              <w:rPr>
                <w:noProof/>
                <w:webHidden/>
              </w:rPr>
              <w:fldChar w:fldCharType="end"/>
            </w:r>
          </w:hyperlink>
        </w:p>
        <w:p w14:paraId="3BC962C1" w14:textId="6CE57D13" w:rsidR="00B572AE" w:rsidRDefault="008A3D44">
          <w:pPr>
            <w:pStyle w:val="Sumrio4"/>
            <w:tabs>
              <w:tab w:val="left" w:pos="1320"/>
              <w:tab w:val="right" w:leader="dot" w:pos="9736"/>
            </w:tabs>
            <w:rPr>
              <w:rFonts w:asciiTheme="minorHAnsi" w:eastAsiaTheme="minorEastAsia" w:hAnsiTheme="minorHAnsi" w:cstheme="minorBidi"/>
              <w:noProof/>
              <w:sz w:val="22"/>
              <w:szCs w:val="22"/>
              <w:lang w:eastAsia="pt-BR" w:bidi="ar-SA"/>
            </w:rPr>
          </w:pPr>
          <w:hyperlink w:anchor="_Toc103680592" w:history="1">
            <w:r w:rsidR="00B572AE" w:rsidRPr="00764BE3">
              <w:rPr>
                <w:rStyle w:val="Hyperlink"/>
                <w:rFonts w:cstheme="minorHAnsi"/>
                <w:noProof/>
              </w:rPr>
              <w:t>4.7.5.2</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Resultados da TI</w:t>
            </w:r>
            <w:r w:rsidR="00B572AE">
              <w:rPr>
                <w:noProof/>
                <w:webHidden/>
              </w:rPr>
              <w:tab/>
            </w:r>
            <w:r w:rsidR="00B572AE">
              <w:rPr>
                <w:noProof/>
                <w:webHidden/>
              </w:rPr>
              <w:fldChar w:fldCharType="begin"/>
            </w:r>
            <w:r w:rsidR="00B572AE">
              <w:rPr>
                <w:noProof/>
                <w:webHidden/>
              </w:rPr>
              <w:instrText xml:space="preserve"> PAGEREF _Toc103680592 \h </w:instrText>
            </w:r>
            <w:r w:rsidR="00B572AE">
              <w:rPr>
                <w:noProof/>
                <w:webHidden/>
              </w:rPr>
            </w:r>
            <w:r w:rsidR="00B572AE">
              <w:rPr>
                <w:noProof/>
                <w:webHidden/>
              </w:rPr>
              <w:fldChar w:fldCharType="separate"/>
            </w:r>
            <w:r w:rsidR="00B572AE">
              <w:rPr>
                <w:noProof/>
                <w:webHidden/>
              </w:rPr>
              <w:t>118</w:t>
            </w:r>
            <w:r w:rsidR="00B572AE">
              <w:rPr>
                <w:noProof/>
                <w:webHidden/>
              </w:rPr>
              <w:fldChar w:fldCharType="end"/>
            </w:r>
          </w:hyperlink>
        </w:p>
        <w:p w14:paraId="37DE6486" w14:textId="76A53E19"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593" w:history="1">
            <w:r w:rsidR="00B572AE" w:rsidRPr="00764BE3">
              <w:rPr>
                <w:rStyle w:val="Hyperlink"/>
                <w:rFonts w:cstheme="minorHAnsi"/>
                <w:noProof/>
              </w:rPr>
              <w:t>4.7.6</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Segurança da informação</w:t>
            </w:r>
            <w:r w:rsidR="00B572AE">
              <w:rPr>
                <w:noProof/>
                <w:webHidden/>
              </w:rPr>
              <w:tab/>
            </w:r>
            <w:r w:rsidR="00B572AE">
              <w:rPr>
                <w:noProof/>
                <w:webHidden/>
              </w:rPr>
              <w:fldChar w:fldCharType="begin"/>
            </w:r>
            <w:r w:rsidR="00B572AE">
              <w:rPr>
                <w:noProof/>
                <w:webHidden/>
              </w:rPr>
              <w:instrText xml:space="preserve"> PAGEREF _Toc103680593 \h </w:instrText>
            </w:r>
            <w:r w:rsidR="00B572AE">
              <w:rPr>
                <w:noProof/>
                <w:webHidden/>
              </w:rPr>
            </w:r>
            <w:r w:rsidR="00B572AE">
              <w:rPr>
                <w:noProof/>
                <w:webHidden/>
              </w:rPr>
              <w:fldChar w:fldCharType="separate"/>
            </w:r>
            <w:r w:rsidR="00B572AE">
              <w:rPr>
                <w:noProof/>
                <w:webHidden/>
              </w:rPr>
              <w:t>121</w:t>
            </w:r>
            <w:r w:rsidR="00B572AE">
              <w:rPr>
                <w:noProof/>
                <w:webHidden/>
              </w:rPr>
              <w:fldChar w:fldCharType="end"/>
            </w:r>
          </w:hyperlink>
        </w:p>
        <w:p w14:paraId="69C33D6C" w14:textId="00BBADEC"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594" w:history="1">
            <w:r w:rsidR="00B572AE" w:rsidRPr="00764BE3">
              <w:rPr>
                <w:rStyle w:val="Hyperlink"/>
                <w:rFonts w:cstheme="minorHAnsi"/>
                <w:noProof/>
              </w:rPr>
              <w:t>4.7.7</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Principais metas não alcançadas, principais desafios, ações e perspectivas para os próximos exercícios</w:t>
            </w:r>
            <w:r w:rsidR="00B572AE">
              <w:rPr>
                <w:noProof/>
                <w:webHidden/>
              </w:rPr>
              <w:tab/>
            </w:r>
            <w:r w:rsidR="00B572AE">
              <w:rPr>
                <w:noProof/>
                <w:webHidden/>
              </w:rPr>
              <w:fldChar w:fldCharType="begin"/>
            </w:r>
            <w:r w:rsidR="00B572AE">
              <w:rPr>
                <w:noProof/>
                <w:webHidden/>
              </w:rPr>
              <w:instrText xml:space="preserve"> PAGEREF _Toc103680594 \h </w:instrText>
            </w:r>
            <w:r w:rsidR="00B572AE">
              <w:rPr>
                <w:noProof/>
                <w:webHidden/>
              </w:rPr>
            </w:r>
            <w:r w:rsidR="00B572AE">
              <w:rPr>
                <w:noProof/>
                <w:webHidden/>
              </w:rPr>
              <w:fldChar w:fldCharType="separate"/>
            </w:r>
            <w:r w:rsidR="00B572AE">
              <w:rPr>
                <w:noProof/>
                <w:webHidden/>
              </w:rPr>
              <w:t>121</w:t>
            </w:r>
            <w:r w:rsidR="00B572AE">
              <w:rPr>
                <w:noProof/>
                <w:webHidden/>
              </w:rPr>
              <w:fldChar w:fldCharType="end"/>
            </w:r>
          </w:hyperlink>
        </w:p>
        <w:p w14:paraId="021842C9" w14:textId="3766530A" w:rsidR="00B572AE" w:rsidRDefault="008A3D44">
          <w:pPr>
            <w:pStyle w:val="Sumrio4"/>
            <w:tabs>
              <w:tab w:val="left" w:pos="1320"/>
              <w:tab w:val="right" w:leader="dot" w:pos="9736"/>
            </w:tabs>
            <w:rPr>
              <w:rFonts w:asciiTheme="minorHAnsi" w:eastAsiaTheme="minorEastAsia" w:hAnsiTheme="minorHAnsi" w:cstheme="minorBidi"/>
              <w:noProof/>
              <w:sz w:val="22"/>
              <w:szCs w:val="22"/>
              <w:lang w:eastAsia="pt-BR" w:bidi="ar-SA"/>
            </w:rPr>
          </w:pPr>
          <w:hyperlink w:anchor="_Toc103680595" w:history="1">
            <w:r w:rsidR="00B572AE" w:rsidRPr="00764BE3">
              <w:rPr>
                <w:rStyle w:val="Hyperlink"/>
                <w:rFonts w:cstheme="minorHAnsi"/>
                <w:noProof/>
              </w:rPr>
              <w:t>4.7.7.1</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Metas não alcançadas</w:t>
            </w:r>
            <w:r w:rsidR="00B572AE">
              <w:rPr>
                <w:noProof/>
                <w:webHidden/>
              </w:rPr>
              <w:tab/>
            </w:r>
            <w:r w:rsidR="00B572AE">
              <w:rPr>
                <w:noProof/>
                <w:webHidden/>
              </w:rPr>
              <w:fldChar w:fldCharType="begin"/>
            </w:r>
            <w:r w:rsidR="00B572AE">
              <w:rPr>
                <w:noProof/>
                <w:webHidden/>
              </w:rPr>
              <w:instrText xml:space="preserve"> PAGEREF _Toc103680595 \h </w:instrText>
            </w:r>
            <w:r w:rsidR="00B572AE">
              <w:rPr>
                <w:noProof/>
                <w:webHidden/>
              </w:rPr>
            </w:r>
            <w:r w:rsidR="00B572AE">
              <w:rPr>
                <w:noProof/>
                <w:webHidden/>
              </w:rPr>
              <w:fldChar w:fldCharType="separate"/>
            </w:r>
            <w:r w:rsidR="00B572AE">
              <w:rPr>
                <w:noProof/>
                <w:webHidden/>
              </w:rPr>
              <w:t>121</w:t>
            </w:r>
            <w:r w:rsidR="00B572AE">
              <w:rPr>
                <w:noProof/>
                <w:webHidden/>
              </w:rPr>
              <w:fldChar w:fldCharType="end"/>
            </w:r>
          </w:hyperlink>
        </w:p>
        <w:p w14:paraId="77C6D7BB" w14:textId="5AB69DD4" w:rsidR="00B572AE" w:rsidRDefault="008A3D44">
          <w:pPr>
            <w:pStyle w:val="Sumrio4"/>
            <w:tabs>
              <w:tab w:val="left" w:pos="1320"/>
              <w:tab w:val="right" w:leader="dot" w:pos="9736"/>
            </w:tabs>
            <w:rPr>
              <w:rFonts w:asciiTheme="minorHAnsi" w:eastAsiaTheme="minorEastAsia" w:hAnsiTheme="minorHAnsi" w:cstheme="minorBidi"/>
              <w:noProof/>
              <w:sz w:val="22"/>
              <w:szCs w:val="22"/>
              <w:lang w:eastAsia="pt-BR" w:bidi="ar-SA"/>
            </w:rPr>
          </w:pPr>
          <w:hyperlink w:anchor="_Toc103680596" w:history="1">
            <w:r w:rsidR="00B572AE" w:rsidRPr="00764BE3">
              <w:rPr>
                <w:rStyle w:val="Hyperlink"/>
                <w:rFonts w:cstheme="minorHAnsi"/>
                <w:noProof/>
              </w:rPr>
              <w:t>4.7.7.2</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Principais desafios, ações e perspectivas para os próximos exercícios</w:t>
            </w:r>
            <w:r w:rsidR="00B572AE">
              <w:rPr>
                <w:noProof/>
                <w:webHidden/>
              </w:rPr>
              <w:tab/>
            </w:r>
            <w:r w:rsidR="00B572AE">
              <w:rPr>
                <w:noProof/>
                <w:webHidden/>
              </w:rPr>
              <w:fldChar w:fldCharType="begin"/>
            </w:r>
            <w:r w:rsidR="00B572AE">
              <w:rPr>
                <w:noProof/>
                <w:webHidden/>
              </w:rPr>
              <w:instrText xml:space="preserve"> PAGEREF _Toc103680596 \h </w:instrText>
            </w:r>
            <w:r w:rsidR="00B572AE">
              <w:rPr>
                <w:noProof/>
                <w:webHidden/>
              </w:rPr>
            </w:r>
            <w:r w:rsidR="00B572AE">
              <w:rPr>
                <w:noProof/>
                <w:webHidden/>
              </w:rPr>
              <w:fldChar w:fldCharType="separate"/>
            </w:r>
            <w:r w:rsidR="00B572AE">
              <w:rPr>
                <w:noProof/>
                <w:webHidden/>
              </w:rPr>
              <w:t>122</w:t>
            </w:r>
            <w:r w:rsidR="00B572AE">
              <w:rPr>
                <w:noProof/>
                <w:webHidden/>
              </w:rPr>
              <w:fldChar w:fldCharType="end"/>
            </w:r>
          </w:hyperlink>
        </w:p>
        <w:p w14:paraId="224F226A" w14:textId="7039284A" w:rsidR="00B572AE" w:rsidRDefault="008A3D44">
          <w:pPr>
            <w:pStyle w:val="Sumrio2"/>
            <w:tabs>
              <w:tab w:val="left" w:pos="660"/>
              <w:tab w:val="right" w:leader="dot" w:pos="9736"/>
            </w:tabs>
            <w:rPr>
              <w:rFonts w:asciiTheme="minorHAnsi" w:eastAsiaTheme="minorEastAsia" w:hAnsiTheme="minorHAnsi" w:cstheme="minorBidi"/>
              <w:b w:val="0"/>
              <w:bCs w:val="0"/>
              <w:noProof/>
              <w:sz w:val="22"/>
              <w:szCs w:val="22"/>
              <w:lang w:eastAsia="pt-BR" w:bidi="ar-SA"/>
            </w:rPr>
          </w:pPr>
          <w:hyperlink w:anchor="_Toc103680597" w:history="1">
            <w:r w:rsidR="00B572AE" w:rsidRPr="00764BE3">
              <w:rPr>
                <w:rStyle w:val="Hyperlink"/>
                <w:noProof/>
              </w:rPr>
              <w:t>4.8</w:t>
            </w:r>
            <w:r w:rsidR="00B572AE">
              <w:rPr>
                <w:rFonts w:asciiTheme="minorHAnsi" w:eastAsiaTheme="minorEastAsia" w:hAnsiTheme="minorHAnsi" w:cstheme="minorBidi"/>
                <w:b w:val="0"/>
                <w:bCs w:val="0"/>
                <w:noProof/>
                <w:sz w:val="22"/>
                <w:szCs w:val="22"/>
                <w:lang w:eastAsia="pt-BR" w:bidi="ar-SA"/>
              </w:rPr>
              <w:tab/>
            </w:r>
            <w:r w:rsidR="00B572AE" w:rsidRPr="00764BE3">
              <w:rPr>
                <w:rStyle w:val="Hyperlink"/>
                <w:noProof/>
              </w:rPr>
              <w:t>Sustentabilidade ambiental</w:t>
            </w:r>
            <w:r w:rsidR="00B572AE">
              <w:rPr>
                <w:noProof/>
                <w:webHidden/>
              </w:rPr>
              <w:tab/>
            </w:r>
            <w:r w:rsidR="00B572AE">
              <w:rPr>
                <w:noProof/>
                <w:webHidden/>
              </w:rPr>
              <w:fldChar w:fldCharType="begin"/>
            </w:r>
            <w:r w:rsidR="00B572AE">
              <w:rPr>
                <w:noProof/>
                <w:webHidden/>
              </w:rPr>
              <w:instrText xml:space="preserve"> PAGEREF _Toc103680597 \h </w:instrText>
            </w:r>
            <w:r w:rsidR="00B572AE">
              <w:rPr>
                <w:noProof/>
                <w:webHidden/>
              </w:rPr>
            </w:r>
            <w:r w:rsidR="00B572AE">
              <w:rPr>
                <w:noProof/>
                <w:webHidden/>
              </w:rPr>
              <w:fldChar w:fldCharType="separate"/>
            </w:r>
            <w:r w:rsidR="00B572AE">
              <w:rPr>
                <w:noProof/>
                <w:webHidden/>
              </w:rPr>
              <w:t>128</w:t>
            </w:r>
            <w:r w:rsidR="00B572AE">
              <w:rPr>
                <w:noProof/>
                <w:webHidden/>
              </w:rPr>
              <w:fldChar w:fldCharType="end"/>
            </w:r>
          </w:hyperlink>
        </w:p>
        <w:p w14:paraId="50E80244" w14:textId="5D36A1D7"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598" w:history="1">
            <w:r w:rsidR="00B572AE" w:rsidRPr="00764BE3">
              <w:rPr>
                <w:rStyle w:val="Hyperlink"/>
                <w:rFonts w:cstheme="minorHAnsi"/>
                <w:noProof/>
              </w:rPr>
              <w:t>4.8.1</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I Relatório de Execução da Agenda Ambiental da Administração Pública - A3P</w:t>
            </w:r>
            <w:r w:rsidR="00B572AE">
              <w:rPr>
                <w:noProof/>
                <w:webHidden/>
              </w:rPr>
              <w:tab/>
            </w:r>
            <w:r w:rsidR="00B572AE">
              <w:rPr>
                <w:noProof/>
                <w:webHidden/>
              </w:rPr>
              <w:fldChar w:fldCharType="begin"/>
            </w:r>
            <w:r w:rsidR="00B572AE">
              <w:rPr>
                <w:noProof/>
                <w:webHidden/>
              </w:rPr>
              <w:instrText xml:space="preserve"> PAGEREF _Toc103680598 \h </w:instrText>
            </w:r>
            <w:r w:rsidR="00B572AE">
              <w:rPr>
                <w:noProof/>
                <w:webHidden/>
              </w:rPr>
            </w:r>
            <w:r w:rsidR="00B572AE">
              <w:rPr>
                <w:noProof/>
                <w:webHidden/>
              </w:rPr>
              <w:fldChar w:fldCharType="separate"/>
            </w:r>
            <w:r w:rsidR="00B572AE">
              <w:rPr>
                <w:noProof/>
                <w:webHidden/>
              </w:rPr>
              <w:t>128</w:t>
            </w:r>
            <w:r w:rsidR="00B572AE">
              <w:rPr>
                <w:noProof/>
                <w:webHidden/>
              </w:rPr>
              <w:fldChar w:fldCharType="end"/>
            </w:r>
          </w:hyperlink>
        </w:p>
        <w:p w14:paraId="6FABC8A9" w14:textId="23B4E621"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599" w:history="1">
            <w:r w:rsidR="00B572AE" w:rsidRPr="00764BE3">
              <w:rPr>
                <w:rStyle w:val="Hyperlink"/>
                <w:rFonts w:cstheme="minorHAnsi"/>
                <w:noProof/>
              </w:rPr>
              <w:t>4.8.2</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Selo A3P 2020</w:t>
            </w:r>
            <w:r w:rsidR="00B572AE">
              <w:rPr>
                <w:noProof/>
                <w:webHidden/>
              </w:rPr>
              <w:tab/>
            </w:r>
            <w:r w:rsidR="00B572AE">
              <w:rPr>
                <w:noProof/>
                <w:webHidden/>
              </w:rPr>
              <w:fldChar w:fldCharType="begin"/>
            </w:r>
            <w:r w:rsidR="00B572AE">
              <w:rPr>
                <w:noProof/>
                <w:webHidden/>
              </w:rPr>
              <w:instrText xml:space="preserve"> PAGEREF _Toc103680599 \h </w:instrText>
            </w:r>
            <w:r w:rsidR="00B572AE">
              <w:rPr>
                <w:noProof/>
                <w:webHidden/>
              </w:rPr>
            </w:r>
            <w:r w:rsidR="00B572AE">
              <w:rPr>
                <w:noProof/>
                <w:webHidden/>
              </w:rPr>
              <w:fldChar w:fldCharType="separate"/>
            </w:r>
            <w:r w:rsidR="00B572AE">
              <w:rPr>
                <w:noProof/>
                <w:webHidden/>
              </w:rPr>
              <w:t>128</w:t>
            </w:r>
            <w:r w:rsidR="00B572AE">
              <w:rPr>
                <w:noProof/>
                <w:webHidden/>
              </w:rPr>
              <w:fldChar w:fldCharType="end"/>
            </w:r>
          </w:hyperlink>
        </w:p>
        <w:p w14:paraId="2C3DF30E" w14:textId="07AB4E36"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600" w:history="1">
            <w:r w:rsidR="00B572AE" w:rsidRPr="00764BE3">
              <w:rPr>
                <w:rStyle w:val="Hyperlink"/>
                <w:rFonts w:cstheme="minorHAnsi"/>
                <w:noProof/>
              </w:rPr>
              <w:t>4.8.3</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VII Relatório de Execução do Plano Gestor de Logística Sustentável - PLS</w:t>
            </w:r>
            <w:r w:rsidR="00B572AE">
              <w:rPr>
                <w:noProof/>
                <w:webHidden/>
              </w:rPr>
              <w:tab/>
            </w:r>
            <w:r w:rsidR="00B572AE">
              <w:rPr>
                <w:noProof/>
                <w:webHidden/>
              </w:rPr>
              <w:fldChar w:fldCharType="begin"/>
            </w:r>
            <w:r w:rsidR="00B572AE">
              <w:rPr>
                <w:noProof/>
                <w:webHidden/>
              </w:rPr>
              <w:instrText xml:space="preserve"> PAGEREF _Toc103680600 \h </w:instrText>
            </w:r>
            <w:r w:rsidR="00B572AE">
              <w:rPr>
                <w:noProof/>
                <w:webHidden/>
              </w:rPr>
            </w:r>
            <w:r w:rsidR="00B572AE">
              <w:rPr>
                <w:noProof/>
                <w:webHidden/>
              </w:rPr>
              <w:fldChar w:fldCharType="separate"/>
            </w:r>
            <w:r w:rsidR="00B572AE">
              <w:rPr>
                <w:noProof/>
                <w:webHidden/>
              </w:rPr>
              <w:t>129</w:t>
            </w:r>
            <w:r w:rsidR="00B572AE">
              <w:rPr>
                <w:noProof/>
                <w:webHidden/>
              </w:rPr>
              <w:fldChar w:fldCharType="end"/>
            </w:r>
          </w:hyperlink>
        </w:p>
        <w:p w14:paraId="5FA23D12" w14:textId="57BED682"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601" w:history="1">
            <w:r w:rsidR="00B572AE" w:rsidRPr="00764BE3">
              <w:rPr>
                <w:rStyle w:val="Hyperlink"/>
                <w:rFonts w:cstheme="minorHAnsi"/>
                <w:noProof/>
              </w:rPr>
              <w:t>4.8.4</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Política Ambiental e Territorial da Valec</w:t>
            </w:r>
            <w:r w:rsidR="00B572AE">
              <w:rPr>
                <w:noProof/>
                <w:webHidden/>
              </w:rPr>
              <w:tab/>
            </w:r>
            <w:r w:rsidR="00B572AE">
              <w:rPr>
                <w:noProof/>
                <w:webHidden/>
              </w:rPr>
              <w:fldChar w:fldCharType="begin"/>
            </w:r>
            <w:r w:rsidR="00B572AE">
              <w:rPr>
                <w:noProof/>
                <w:webHidden/>
              </w:rPr>
              <w:instrText xml:space="preserve"> PAGEREF _Toc103680601 \h </w:instrText>
            </w:r>
            <w:r w:rsidR="00B572AE">
              <w:rPr>
                <w:noProof/>
                <w:webHidden/>
              </w:rPr>
            </w:r>
            <w:r w:rsidR="00B572AE">
              <w:rPr>
                <w:noProof/>
                <w:webHidden/>
              </w:rPr>
              <w:fldChar w:fldCharType="separate"/>
            </w:r>
            <w:r w:rsidR="00B572AE">
              <w:rPr>
                <w:noProof/>
                <w:webHidden/>
              </w:rPr>
              <w:t>129</w:t>
            </w:r>
            <w:r w:rsidR="00B572AE">
              <w:rPr>
                <w:noProof/>
                <w:webHidden/>
              </w:rPr>
              <w:fldChar w:fldCharType="end"/>
            </w:r>
          </w:hyperlink>
        </w:p>
        <w:p w14:paraId="6E0DC556" w14:textId="0BBD962D"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602" w:history="1">
            <w:r w:rsidR="00B572AE" w:rsidRPr="00764BE3">
              <w:rPr>
                <w:rStyle w:val="Hyperlink"/>
                <w:rFonts w:cstheme="minorHAnsi"/>
                <w:noProof/>
              </w:rPr>
              <w:t>4.8.5</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Critérios de sustentabilidade nas contratações e aquisições.</w:t>
            </w:r>
            <w:r w:rsidR="00B572AE">
              <w:rPr>
                <w:noProof/>
                <w:webHidden/>
              </w:rPr>
              <w:tab/>
            </w:r>
            <w:r w:rsidR="00B572AE">
              <w:rPr>
                <w:noProof/>
                <w:webHidden/>
              </w:rPr>
              <w:fldChar w:fldCharType="begin"/>
            </w:r>
            <w:r w:rsidR="00B572AE">
              <w:rPr>
                <w:noProof/>
                <w:webHidden/>
              </w:rPr>
              <w:instrText xml:space="preserve"> PAGEREF _Toc103680602 \h </w:instrText>
            </w:r>
            <w:r w:rsidR="00B572AE">
              <w:rPr>
                <w:noProof/>
                <w:webHidden/>
              </w:rPr>
            </w:r>
            <w:r w:rsidR="00B572AE">
              <w:rPr>
                <w:noProof/>
                <w:webHidden/>
              </w:rPr>
              <w:fldChar w:fldCharType="separate"/>
            </w:r>
            <w:r w:rsidR="00B572AE">
              <w:rPr>
                <w:noProof/>
                <w:webHidden/>
              </w:rPr>
              <w:t>129</w:t>
            </w:r>
            <w:r w:rsidR="00B572AE">
              <w:rPr>
                <w:noProof/>
                <w:webHidden/>
              </w:rPr>
              <w:fldChar w:fldCharType="end"/>
            </w:r>
          </w:hyperlink>
        </w:p>
        <w:p w14:paraId="2158605E" w14:textId="3714D881"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603" w:history="1">
            <w:r w:rsidR="00B572AE" w:rsidRPr="00764BE3">
              <w:rPr>
                <w:rStyle w:val="Hyperlink"/>
                <w:rFonts w:cstheme="minorHAnsi"/>
                <w:noProof/>
              </w:rPr>
              <w:t>4.8.6</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Ações para redução do consumo de recursos naturais</w:t>
            </w:r>
            <w:r w:rsidR="00B572AE">
              <w:rPr>
                <w:noProof/>
                <w:webHidden/>
              </w:rPr>
              <w:tab/>
            </w:r>
            <w:r w:rsidR="00B572AE">
              <w:rPr>
                <w:noProof/>
                <w:webHidden/>
              </w:rPr>
              <w:fldChar w:fldCharType="begin"/>
            </w:r>
            <w:r w:rsidR="00B572AE">
              <w:rPr>
                <w:noProof/>
                <w:webHidden/>
              </w:rPr>
              <w:instrText xml:space="preserve"> PAGEREF _Toc103680603 \h </w:instrText>
            </w:r>
            <w:r w:rsidR="00B572AE">
              <w:rPr>
                <w:noProof/>
                <w:webHidden/>
              </w:rPr>
            </w:r>
            <w:r w:rsidR="00B572AE">
              <w:rPr>
                <w:noProof/>
                <w:webHidden/>
              </w:rPr>
              <w:fldChar w:fldCharType="separate"/>
            </w:r>
            <w:r w:rsidR="00B572AE">
              <w:rPr>
                <w:noProof/>
                <w:webHidden/>
              </w:rPr>
              <w:t>129</w:t>
            </w:r>
            <w:r w:rsidR="00B572AE">
              <w:rPr>
                <w:noProof/>
                <w:webHidden/>
              </w:rPr>
              <w:fldChar w:fldCharType="end"/>
            </w:r>
          </w:hyperlink>
        </w:p>
        <w:p w14:paraId="5675ADD2" w14:textId="363C82E2"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604" w:history="1">
            <w:r w:rsidR="00B572AE" w:rsidRPr="00764BE3">
              <w:rPr>
                <w:rStyle w:val="Hyperlink"/>
                <w:rFonts w:cstheme="minorHAnsi"/>
                <w:noProof/>
              </w:rPr>
              <w:t>4.8.7</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Redução de resíduos poluentes.</w:t>
            </w:r>
            <w:r w:rsidR="00B572AE">
              <w:rPr>
                <w:noProof/>
                <w:webHidden/>
              </w:rPr>
              <w:tab/>
            </w:r>
            <w:r w:rsidR="00B572AE">
              <w:rPr>
                <w:noProof/>
                <w:webHidden/>
              </w:rPr>
              <w:fldChar w:fldCharType="begin"/>
            </w:r>
            <w:r w:rsidR="00B572AE">
              <w:rPr>
                <w:noProof/>
                <w:webHidden/>
              </w:rPr>
              <w:instrText xml:space="preserve"> PAGEREF _Toc103680604 \h </w:instrText>
            </w:r>
            <w:r w:rsidR="00B572AE">
              <w:rPr>
                <w:noProof/>
                <w:webHidden/>
              </w:rPr>
            </w:r>
            <w:r w:rsidR="00B572AE">
              <w:rPr>
                <w:noProof/>
                <w:webHidden/>
              </w:rPr>
              <w:fldChar w:fldCharType="separate"/>
            </w:r>
            <w:r w:rsidR="00B572AE">
              <w:rPr>
                <w:noProof/>
                <w:webHidden/>
              </w:rPr>
              <w:t>131</w:t>
            </w:r>
            <w:r w:rsidR="00B572AE">
              <w:rPr>
                <w:noProof/>
                <w:webHidden/>
              </w:rPr>
              <w:fldChar w:fldCharType="end"/>
            </w:r>
          </w:hyperlink>
        </w:p>
        <w:p w14:paraId="7B9A298D" w14:textId="3A67AECA" w:rsidR="00B572AE" w:rsidRDefault="008A3D44">
          <w:pPr>
            <w:pStyle w:val="Sumrio2"/>
            <w:tabs>
              <w:tab w:val="left" w:pos="660"/>
              <w:tab w:val="right" w:leader="dot" w:pos="9736"/>
            </w:tabs>
            <w:rPr>
              <w:rFonts w:asciiTheme="minorHAnsi" w:eastAsiaTheme="minorEastAsia" w:hAnsiTheme="minorHAnsi" w:cstheme="minorBidi"/>
              <w:b w:val="0"/>
              <w:bCs w:val="0"/>
              <w:noProof/>
              <w:sz w:val="22"/>
              <w:szCs w:val="22"/>
              <w:lang w:eastAsia="pt-BR" w:bidi="ar-SA"/>
            </w:rPr>
          </w:pPr>
          <w:hyperlink w:anchor="_Toc103680605" w:history="1">
            <w:r w:rsidR="00B572AE" w:rsidRPr="00764BE3">
              <w:rPr>
                <w:rStyle w:val="Hyperlink"/>
                <w:noProof/>
              </w:rPr>
              <w:t>4.9</w:t>
            </w:r>
            <w:r w:rsidR="00B572AE">
              <w:rPr>
                <w:rFonts w:asciiTheme="minorHAnsi" w:eastAsiaTheme="minorEastAsia" w:hAnsiTheme="minorHAnsi" w:cstheme="minorBidi"/>
                <w:b w:val="0"/>
                <w:bCs w:val="0"/>
                <w:noProof/>
                <w:sz w:val="22"/>
                <w:szCs w:val="22"/>
                <w:lang w:eastAsia="pt-BR" w:bidi="ar-SA"/>
              </w:rPr>
              <w:tab/>
            </w:r>
            <w:r w:rsidR="00B572AE" w:rsidRPr="00764BE3">
              <w:rPr>
                <w:rStyle w:val="Hyperlink"/>
                <w:noProof/>
              </w:rPr>
              <w:t>Gestão da comunicação com a sociedade</w:t>
            </w:r>
            <w:r w:rsidR="00B572AE">
              <w:rPr>
                <w:noProof/>
                <w:webHidden/>
              </w:rPr>
              <w:tab/>
            </w:r>
            <w:r w:rsidR="00B572AE">
              <w:rPr>
                <w:noProof/>
                <w:webHidden/>
              </w:rPr>
              <w:fldChar w:fldCharType="begin"/>
            </w:r>
            <w:r w:rsidR="00B572AE">
              <w:rPr>
                <w:noProof/>
                <w:webHidden/>
              </w:rPr>
              <w:instrText xml:space="preserve"> PAGEREF _Toc103680605 \h </w:instrText>
            </w:r>
            <w:r w:rsidR="00B572AE">
              <w:rPr>
                <w:noProof/>
                <w:webHidden/>
              </w:rPr>
            </w:r>
            <w:r w:rsidR="00B572AE">
              <w:rPr>
                <w:noProof/>
                <w:webHidden/>
              </w:rPr>
              <w:fldChar w:fldCharType="separate"/>
            </w:r>
            <w:r w:rsidR="00B572AE">
              <w:rPr>
                <w:noProof/>
                <w:webHidden/>
              </w:rPr>
              <w:t>133</w:t>
            </w:r>
            <w:r w:rsidR="00B572AE">
              <w:rPr>
                <w:noProof/>
                <w:webHidden/>
              </w:rPr>
              <w:fldChar w:fldCharType="end"/>
            </w:r>
          </w:hyperlink>
        </w:p>
        <w:p w14:paraId="64390560" w14:textId="4303AC19"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606" w:history="1">
            <w:r w:rsidR="00B572AE" w:rsidRPr="00764BE3">
              <w:rPr>
                <w:rStyle w:val="Hyperlink"/>
                <w:rFonts w:cstheme="minorHAnsi"/>
                <w:noProof/>
              </w:rPr>
              <w:t>4.9.1</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Ações de supervisão, controle e correição</w:t>
            </w:r>
            <w:r w:rsidR="00B572AE">
              <w:rPr>
                <w:noProof/>
                <w:webHidden/>
              </w:rPr>
              <w:tab/>
            </w:r>
            <w:r w:rsidR="00B572AE">
              <w:rPr>
                <w:noProof/>
                <w:webHidden/>
              </w:rPr>
              <w:fldChar w:fldCharType="begin"/>
            </w:r>
            <w:r w:rsidR="00B572AE">
              <w:rPr>
                <w:noProof/>
                <w:webHidden/>
              </w:rPr>
              <w:instrText xml:space="preserve"> PAGEREF _Toc103680606 \h </w:instrText>
            </w:r>
            <w:r w:rsidR="00B572AE">
              <w:rPr>
                <w:noProof/>
                <w:webHidden/>
              </w:rPr>
            </w:r>
            <w:r w:rsidR="00B572AE">
              <w:rPr>
                <w:noProof/>
                <w:webHidden/>
              </w:rPr>
              <w:fldChar w:fldCharType="separate"/>
            </w:r>
            <w:r w:rsidR="00B572AE">
              <w:rPr>
                <w:noProof/>
                <w:webHidden/>
              </w:rPr>
              <w:t>133</w:t>
            </w:r>
            <w:r w:rsidR="00B572AE">
              <w:rPr>
                <w:noProof/>
                <w:webHidden/>
              </w:rPr>
              <w:fldChar w:fldCharType="end"/>
            </w:r>
          </w:hyperlink>
        </w:p>
        <w:p w14:paraId="7A901727" w14:textId="713D2EF0" w:rsidR="00B572AE" w:rsidRDefault="008A3D44">
          <w:pPr>
            <w:pStyle w:val="Sumrio4"/>
            <w:tabs>
              <w:tab w:val="left" w:pos="1320"/>
              <w:tab w:val="right" w:leader="dot" w:pos="9736"/>
            </w:tabs>
            <w:rPr>
              <w:rFonts w:asciiTheme="minorHAnsi" w:eastAsiaTheme="minorEastAsia" w:hAnsiTheme="minorHAnsi" w:cstheme="minorBidi"/>
              <w:noProof/>
              <w:sz w:val="22"/>
              <w:szCs w:val="22"/>
              <w:lang w:eastAsia="pt-BR" w:bidi="ar-SA"/>
            </w:rPr>
          </w:pPr>
          <w:hyperlink w:anchor="_Toc103680607" w:history="1">
            <w:r w:rsidR="00B572AE" w:rsidRPr="00764BE3">
              <w:rPr>
                <w:rStyle w:val="Hyperlink"/>
                <w:rFonts w:cstheme="minorHAnsi"/>
                <w:noProof/>
              </w:rPr>
              <w:t>4.9.1.1</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Resultados dos serviços da Ouvidoria</w:t>
            </w:r>
            <w:r w:rsidR="00B572AE">
              <w:rPr>
                <w:noProof/>
                <w:webHidden/>
              </w:rPr>
              <w:tab/>
            </w:r>
            <w:r w:rsidR="00B572AE">
              <w:rPr>
                <w:noProof/>
                <w:webHidden/>
              </w:rPr>
              <w:fldChar w:fldCharType="begin"/>
            </w:r>
            <w:r w:rsidR="00B572AE">
              <w:rPr>
                <w:noProof/>
                <w:webHidden/>
              </w:rPr>
              <w:instrText xml:space="preserve"> PAGEREF _Toc103680607 \h </w:instrText>
            </w:r>
            <w:r w:rsidR="00B572AE">
              <w:rPr>
                <w:noProof/>
                <w:webHidden/>
              </w:rPr>
            </w:r>
            <w:r w:rsidR="00B572AE">
              <w:rPr>
                <w:noProof/>
                <w:webHidden/>
              </w:rPr>
              <w:fldChar w:fldCharType="separate"/>
            </w:r>
            <w:r w:rsidR="00B572AE">
              <w:rPr>
                <w:noProof/>
                <w:webHidden/>
              </w:rPr>
              <w:t>133</w:t>
            </w:r>
            <w:r w:rsidR="00B572AE">
              <w:rPr>
                <w:noProof/>
                <w:webHidden/>
              </w:rPr>
              <w:fldChar w:fldCharType="end"/>
            </w:r>
          </w:hyperlink>
        </w:p>
        <w:p w14:paraId="04D526DC" w14:textId="2814A702" w:rsidR="00B572AE" w:rsidRDefault="008A3D44">
          <w:pPr>
            <w:pStyle w:val="Sumrio4"/>
            <w:tabs>
              <w:tab w:val="left" w:pos="1320"/>
              <w:tab w:val="right" w:leader="dot" w:pos="9736"/>
            </w:tabs>
            <w:rPr>
              <w:rFonts w:asciiTheme="minorHAnsi" w:eastAsiaTheme="minorEastAsia" w:hAnsiTheme="minorHAnsi" w:cstheme="minorBidi"/>
              <w:noProof/>
              <w:sz w:val="22"/>
              <w:szCs w:val="22"/>
              <w:lang w:eastAsia="pt-BR" w:bidi="ar-SA"/>
            </w:rPr>
          </w:pPr>
          <w:hyperlink w:anchor="_Toc103680608" w:history="1">
            <w:r w:rsidR="00B572AE" w:rsidRPr="00764BE3">
              <w:rPr>
                <w:rStyle w:val="Hyperlink"/>
                <w:rFonts w:cstheme="minorHAnsi"/>
                <w:noProof/>
              </w:rPr>
              <w:t>4.9.1.2</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Diminuição do tempo de resposta e ranking da CGU</w:t>
            </w:r>
            <w:r w:rsidR="00B572AE">
              <w:rPr>
                <w:noProof/>
                <w:webHidden/>
              </w:rPr>
              <w:tab/>
            </w:r>
            <w:r w:rsidR="00B572AE">
              <w:rPr>
                <w:noProof/>
                <w:webHidden/>
              </w:rPr>
              <w:fldChar w:fldCharType="begin"/>
            </w:r>
            <w:r w:rsidR="00B572AE">
              <w:rPr>
                <w:noProof/>
                <w:webHidden/>
              </w:rPr>
              <w:instrText xml:space="preserve"> PAGEREF _Toc103680608 \h </w:instrText>
            </w:r>
            <w:r w:rsidR="00B572AE">
              <w:rPr>
                <w:noProof/>
                <w:webHidden/>
              </w:rPr>
            </w:r>
            <w:r w:rsidR="00B572AE">
              <w:rPr>
                <w:noProof/>
                <w:webHidden/>
              </w:rPr>
              <w:fldChar w:fldCharType="separate"/>
            </w:r>
            <w:r w:rsidR="00B572AE">
              <w:rPr>
                <w:noProof/>
                <w:webHidden/>
              </w:rPr>
              <w:t>135</w:t>
            </w:r>
            <w:r w:rsidR="00B572AE">
              <w:rPr>
                <w:noProof/>
                <w:webHidden/>
              </w:rPr>
              <w:fldChar w:fldCharType="end"/>
            </w:r>
          </w:hyperlink>
        </w:p>
        <w:p w14:paraId="00408AC9" w14:textId="7E362E3F" w:rsidR="00B572AE" w:rsidRDefault="008A3D44">
          <w:pPr>
            <w:pStyle w:val="Sumrio4"/>
            <w:tabs>
              <w:tab w:val="left" w:pos="1320"/>
              <w:tab w:val="right" w:leader="dot" w:pos="9736"/>
            </w:tabs>
            <w:rPr>
              <w:rFonts w:asciiTheme="minorHAnsi" w:eastAsiaTheme="minorEastAsia" w:hAnsiTheme="minorHAnsi" w:cstheme="minorBidi"/>
              <w:noProof/>
              <w:sz w:val="22"/>
              <w:szCs w:val="22"/>
              <w:lang w:eastAsia="pt-BR" w:bidi="ar-SA"/>
            </w:rPr>
          </w:pPr>
          <w:hyperlink w:anchor="_Toc103680609" w:history="1">
            <w:r w:rsidR="00B572AE" w:rsidRPr="00764BE3">
              <w:rPr>
                <w:rStyle w:val="Hyperlink"/>
                <w:rFonts w:cstheme="minorHAnsi"/>
                <w:noProof/>
              </w:rPr>
              <w:t>4.9.1.3</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Resultados do SIC e da Ouvidoria</w:t>
            </w:r>
            <w:r w:rsidR="00B572AE">
              <w:rPr>
                <w:noProof/>
                <w:webHidden/>
              </w:rPr>
              <w:tab/>
            </w:r>
            <w:r w:rsidR="00B572AE">
              <w:rPr>
                <w:noProof/>
                <w:webHidden/>
              </w:rPr>
              <w:fldChar w:fldCharType="begin"/>
            </w:r>
            <w:r w:rsidR="00B572AE">
              <w:rPr>
                <w:noProof/>
                <w:webHidden/>
              </w:rPr>
              <w:instrText xml:space="preserve"> PAGEREF _Toc103680609 \h </w:instrText>
            </w:r>
            <w:r w:rsidR="00B572AE">
              <w:rPr>
                <w:noProof/>
                <w:webHidden/>
              </w:rPr>
            </w:r>
            <w:r w:rsidR="00B572AE">
              <w:rPr>
                <w:noProof/>
                <w:webHidden/>
              </w:rPr>
              <w:fldChar w:fldCharType="separate"/>
            </w:r>
            <w:r w:rsidR="00B572AE">
              <w:rPr>
                <w:noProof/>
                <w:webHidden/>
              </w:rPr>
              <w:t>135</w:t>
            </w:r>
            <w:r w:rsidR="00B572AE">
              <w:rPr>
                <w:noProof/>
                <w:webHidden/>
              </w:rPr>
              <w:fldChar w:fldCharType="end"/>
            </w:r>
          </w:hyperlink>
        </w:p>
        <w:p w14:paraId="4718F1B9" w14:textId="1F762928" w:rsidR="00B572AE" w:rsidRDefault="008A3D44">
          <w:pPr>
            <w:pStyle w:val="Sumrio4"/>
            <w:tabs>
              <w:tab w:val="left" w:pos="1320"/>
              <w:tab w:val="right" w:leader="dot" w:pos="9736"/>
            </w:tabs>
            <w:rPr>
              <w:rFonts w:asciiTheme="minorHAnsi" w:eastAsiaTheme="minorEastAsia" w:hAnsiTheme="minorHAnsi" w:cstheme="minorBidi"/>
              <w:noProof/>
              <w:sz w:val="22"/>
              <w:szCs w:val="22"/>
              <w:lang w:eastAsia="pt-BR" w:bidi="ar-SA"/>
            </w:rPr>
          </w:pPr>
          <w:hyperlink w:anchor="_Toc103680610" w:history="1">
            <w:r w:rsidR="00B572AE" w:rsidRPr="00764BE3">
              <w:rPr>
                <w:rStyle w:val="Hyperlink"/>
                <w:rFonts w:cstheme="minorHAnsi"/>
                <w:noProof/>
              </w:rPr>
              <w:t>4.9.1.4</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Resultados qualitativos</w:t>
            </w:r>
            <w:r w:rsidR="00B572AE">
              <w:rPr>
                <w:noProof/>
                <w:webHidden/>
              </w:rPr>
              <w:tab/>
            </w:r>
            <w:r w:rsidR="00B572AE">
              <w:rPr>
                <w:noProof/>
                <w:webHidden/>
              </w:rPr>
              <w:fldChar w:fldCharType="begin"/>
            </w:r>
            <w:r w:rsidR="00B572AE">
              <w:rPr>
                <w:noProof/>
                <w:webHidden/>
              </w:rPr>
              <w:instrText xml:space="preserve"> PAGEREF _Toc103680610 \h </w:instrText>
            </w:r>
            <w:r w:rsidR="00B572AE">
              <w:rPr>
                <w:noProof/>
                <w:webHidden/>
              </w:rPr>
            </w:r>
            <w:r w:rsidR="00B572AE">
              <w:rPr>
                <w:noProof/>
                <w:webHidden/>
              </w:rPr>
              <w:fldChar w:fldCharType="separate"/>
            </w:r>
            <w:r w:rsidR="00B572AE">
              <w:rPr>
                <w:noProof/>
                <w:webHidden/>
              </w:rPr>
              <w:t>137</w:t>
            </w:r>
            <w:r w:rsidR="00B572AE">
              <w:rPr>
                <w:noProof/>
                <w:webHidden/>
              </w:rPr>
              <w:fldChar w:fldCharType="end"/>
            </w:r>
          </w:hyperlink>
        </w:p>
        <w:p w14:paraId="22FE2299" w14:textId="2ED051E1" w:rsidR="00B572AE" w:rsidRDefault="008A3D44">
          <w:pPr>
            <w:pStyle w:val="Sumrio4"/>
            <w:tabs>
              <w:tab w:val="left" w:pos="1320"/>
              <w:tab w:val="right" w:leader="dot" w:pos="9736"/>
            </w:tabs>
            <w:rPr>
              <w:rFonts w:asciiTheme="minorHAnsi" w:eastAsiaTheme="minorEastAsia" w:hAnsiTheme="minorHAnsi" w:cstheme="minorBidi"/>
              <w:noProof/>
              <w:sz w:val="22"/>
              <w:szCs w:val="22"/>
              <w:lang w:eastAsia="pt-BR" w:bidi="ar-SA"/>
            </w:rPr>
          </w:pPr>
          <w:hyperlink w:anchor="_Toc103680611" w:history="1">
            <w:r w:rsidR="00B572AE" w:rsidRPr="00764BE3">
              <w:rPr>
                <w:rStyle w:val="Hyperlink"/>
                <w:rFonts w:cstheme="minorHAnsi"/>
                <w:noProof/>
              </w:rPr>
              <w:t>4.9.1.5</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Denúncias e comunicações (denúncias anônimas)</w:t>
            </w:r>
            <w:r w:rsidR="00B572AE">
              <w:rPr>
                <w:noProof/>
                <w:webHidden/>
              </w:rPr>
              <w:tab/>
            </w:r>
            <w:r w:rsidR="00B572AE">
              <w:rPr>
                <w:noProof/>
                <w:webHidden/>
              </w:rPr>
              <w:fldChar w:fldCharType="begin"/>
            </w:r>
            <w:r w:rsidR="00B572AE">
              <w:rPr>
                <w:noProof/>
                <w:webHidden/>
              </w:rPr>
              <w:instrText xml:space="preserve"> PAGEREF _Toc103680611 \h </w:instrText>
            </w:r>
            <w:r w:rsidR="00B572AE">
              <w:rPr>
                <w:noProof/>
                <w:webHidden/>
              </w:rPr>
            </w:r>
            <w:r w:rsidR="00B572AE">
              <w:rPr>
                <w:noProof/>
                <w:webHidden/>
              </w:rPr>
              <w:fldChar w:fldCharType="separate"/>
            </w:r>
            <w:r w:rsidR="00B572AE">
              <w:rPr>
                <w:noProof/>
                <w:webHidden/>
              </w:rPr>
              <w:t>137</w:t>
            </w:r>
            <w:r w:rsidR="00B572AE">
              <w:rPr>
                <w:noProof/>
                <w:webHidden/>
              </w:rPr>
              <w:fldChar w:fldCharType="end"/>
            </w:r>
          </w:hyperlink>
        </w:p>
        <w:p w14:paraId="0A820806" w14:textId="76A7C5B7" w:rsidR="00B572AE" w:rsidRDefault="008A3D44">
          <w:pPr>
            <w:pStyle w:val="Sumrio4"/>
            <w:tabs>
              <w:tab w:val="left" w:pos="1320"/>
              <w:tab w:val="right" w:leader="dot" w:pos="9736"/>
            </w:tabs>
            <w:rPr>
              <w:rFonts w:asciiTheme="minorHAnsi" w:eastAsiaTheme="minorEastAsia" w:hAnsiTheme="minorHAnsi" w:cstheme="minorBidi"/>
              <w:noProof/>
              <w:sz w:val="22"/>
              <w:szCs w:val="22"/>
              <w:lang w:eastAsia="pt-BR" w:bidi="ar-SA"/>
            </w:rPr>
          </w:pPr>
          <w:hyperlink w:anchor="_Toc103680612" w:history="1">
            <w:r w:rsidR="00B572AE" w:rsidRPr="00764BE3">
              <w:rPr>
                <w:rStyle w:val="Hyperlink"/>
                <w:rFonts w:cstheme="minorHAnsi"/>
                <w:noProof/>
              </w:rPr>
              <w:t>4.9.1.6</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Serviço de informação ao cidadão – SIC</w:t>
            </w:r>
            <w:r w:rsidR="00B572AE">
              <w:rPr>
                <w:noProof/>
                <w:webHidden/>
              </w:rPr>
              <w:tab/>
            </w:r>
            <w:r w:rsidR="00B572AE">
              <w:rPr>
                <w:noProof/>
                <w:webHidden/>
              </w:rPr>
              <w:fldChar w:fldCharType="begin"/>
            </w:r>
            <w:r w:rsidR="00B572AE">
              <w:rPr>
                <w:noProof/>
                <w:webHidden/>
              </w:rPr>
              <w:instrText xml:space="preserve"> PAGEREF _Toc103680612 \h </w:instrText>
            </w:r>
            <w:r w:rsidR="00B572AE">
              <w:rPr>
                <w:noProof/>
                <w:webHidden/>
              </w:rPr>
            </w:r>
            <w:r w:rsidR="00B572AE">
              <w:rPr>
                <w:noProof/>
                <w:webHidden/>
              </w:rPr>
              <w:fldChar w:fldCharType="separate"/>
            </w:r>
            <w:r w:rsidR="00B572AE">
              <w:rPr>
                <w:noProof/>
                <w:webHidden/>
              </w:rPr>
              <w:t>137</w:t>
            </w:r>
            <w:r w:rsidR="00B572AE">
              <w:rPr>
                <w:noProof/>
                <w:webHidden/>
              </w:rPr>
              <w:fldChar w:fldCharType="end"/>
            </w:r>
          </w:hyperlink>
        </w:p>
        <w:p w14:paraId="397A89C0" w14:textId="1574DB0B"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613" w:history="1">
            <w:r w:rsidR="00B572AE" w:rsidRPr="00764BE3">
              <w:rPr>
                <w:rStyle w:val="Hyperlink"/>
                <w:rFonts w:cstheme="minorHAnsi"/>
                <w:noProof/>
              </w:rPr>
              <w:t>4.9.2</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Observações de Contexto</w:t>
            </w:r>
            <w:r w:rsidR="00B572AE">
              <w:rPr>
                <w:noProof/>
                <w:webHidden/>
              </w:rPr>
              <w:tab/>
            </w:r>
            <w:r w:rsidR="00B572AE">
              <w:rPr>
                <w:noProof/>
                <w:webHidden/>
              </w:rPr>
              <w:fldChar w:fldCharType="begin"/>
            </w:r>
            <w:r w:rsidR="00B572AE">
              <w:rPr>
                <w:noProof/>
                <w:webHidden/>
              </w:rPr>
              <w:instrText xml:space="preserve"> PAGEREF _Toc103680613 \h </w:instrText>
            </w:r>
            <w:r w:rsidR="00B572AE">
              <w:rPr>
                <w:noProof/>
                <w:webHidden/>
              </w:rPr>
            </w:r>
            <w:r w:rsidR="00B572AE">
              <w:rPr>
                <w:noProof/>
                <w:webHidden/>
              </w:rPr>
              <w:fldChar w:fldCharType="separate"/>
            </w:r>
            <w:r w:rsidR="00B572AE">
              <w:rPr>
                <w:noProof/>
                <w:webHidden/>
              </w:rPr>
              <w:t>138</w:t>
            </w:r>
            <w:r w:rsidR="00B572AE">
              <w:rPr>
                <w:noProof/>
                <w:webHidden/>
              </w:rPr>
              <w:fldChar w:fldCharType="end"/>
            </w:r>
          </w:hyperlink>
        </w:p>
        <w:p w14:paraId="2D034DBD" w14:textId="34EF3766"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614" w:history="1">
            <w:r w:rsidR="00B572AE" w:rsidRPr="00764BE3">
              <w:rPr>
                <w:rStyle w:val="Hyperlink"/>
                <w:rFonts w:cstheme="minorHAnsi"/>
                <w:noProof/>
              </w:rPr>
              <w:t>4.9.3</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Providências adotadas pela Alta Gestão ao longo do período</w:t>
            </w:r>
            <w:r w:rsidR="00B572AE">
              <w:rPr>
                <w:noProof/>
                <w:webHidden/>
              </w:rPr>
              <w:tab/>
            </w:r>
            <w:r w:rsidR="00B572AE">
              <w:rPr>
                <w:noProof/>
                <w:webHidden/>
              </w:rPr>
              <w:fldChar w:fldCharType="begin"/>
            </w:r>
            <w:r w:rsidR="00B572AE">
              <w:rPr>
                <w:noProof/>
                <w:webHidden/>
              </w:rPr>
              <w:instrText xml:space="preserve"> PAGEREF _Toc103680614 \h </w:instrText>
            </w:r>
            <w:r w:rsidR="00B572AE">
              <w:rPr>
                <w:noProof/>
                <w:webHidden/>
              </w:rPr>
            </w:r>
            <w:r w:rsidR="00B572AE">
              <w:rPr>
                <w:noProof/>
                <w:webHidden/>
              </w:rPr>
              <w:fldChar w:fldCharType="separate"/>
            </w:r>
            <w:r w:rsidR="00B572AE">
              <w:rPr>
                <w:noProof/>
                <w:webHidden/>
              </w:rPr>
              <w:t>138</w:t>
            </w:r>
            <w:r w:rsidR="00B572AE">
              <w:rPr>
                <w:noProof/>
                <w:webHidden/>
              </w:rPr>
              <w:fldChar w:fldCharType="end"/>
            </w:r>
          </w:hyperlink>
        </w:p>
        <w:p w14:paraId="72CA0DF8" w14:textId="6ABC193B"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615" w:history="1">
            <w:r w:rsidR="00B572AE" w:rsidRPr="00764BE3">
              <w:rPr>
                <w:rStyle w:val="Hyperlink"/>
                <w:rFonts w:cstheme="minorHAnsi"/>
                <w:noProof/>
              </w:rPr>
              <w:t>4.9.4</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Recomendações e Sugestões</w:t>
            </w:r>
            <w:r w:rsidR="00B572AE">
              <w:rPr>
                <w:noProof/>
                <w:webHidden/>
              </w:rPr>
              <w:tab/>
            </w:r>
            <w:r w:rsidR="00B572AE">
              <w:rPr>
                <w:noProof/>
                <w:webHidden/>
              </w:rPr>
              <w:fldChar w:fldCharType="begin"/>
            </w:r>
            <w:r w:rsidR="00B572AE">
              <w:rPr>
                <w:noProof/>
                <w:webHidden/>
              </w:rPr>
              <w:instrText xml:space="preserve"> PAGEREF _Toc103680615 \h </w:instrText>
            </w:r>
            <w:r w:rsidR="00B572AE">
              <w:rPr>
                <w:noProof/>
                <w:webHidden/>
              </w:rPr>
            </w:r>
            <w:r w:rsidR="00B572AE">
              <w:rPr>
                <w:noProof/>
                <w:webHidden/>
              </w:rPr>
              <w:fldChar w:fldCharType="separate"/>
            </w:r>
            <w:r w:rsidR="00B572AE">
              <w:rPr>
                <w:noProof/>
                <w:webHidden/>
              </w:rPr>
              <w:t>138</w:t>
            </w:r>
            <w:r w:rsidR="00B572AE">
              <w:rPr>
                <w:noProof/>
                <w:webHidden/>
              </w:rPr>
              <w:fldChar w:fldCharType="end"/>
            </w:r>
          </w:hyperlink>
        </w:p>
        <w:p w14:paraId="4C86D9C8" w14:textId="4F62DA02"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616" w:history="1">
            <w:r w:rsidR="00B572AE" w:rsidRPr="00764BE3">
              <w:rPr>
                <w:rStyle w:val="Hyperlink"/>
                <w:rFonts w:cstheme="minorHAnsi"/>
                <w:noProof/>
              </w:rPr>
              <w:t>4.9.5</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Avaliação</w:t>
            </w:r>
            <w:r w:rsidR="00B572AE">
              <w:rPr>
                <w:noProof/>
                <w:webHidden/>
              </w:rPr>
              <w:tab/>
            </w:r>
            <w:r w:rsidR="00B572AE">
              <w:rPr>
                <w:noProof/>
                <w:webHidden/>
              </w:rPr>
              <w:fldChar w:fldCharType="begin"/>
            </w:r>
            <w:r w:rsidR="00B572AE">
              <w:rPr>
                <w:noProof/>
                <w:webHidden/>
              </w:rPr>
              <w:instrText xml:space="preserve"> PAGEREF _Toc103680616 \h </w:instrText>
            </w:r>
            <w:r w:rsidR="00B572AE">
              <w:rPr>
                <w:noProof/>
                <w:webHidden/>
              </w:rPr>
            </w:r>
            <w:r w:rsidR="00B572AE">
              <w:rPr>
                <w:noProof/>
                <w:webHidden/>
              </w:rPr>
              <w:fldChar w:fldCharType="separate"/>
            </w:r>
            <w:r w:rsidR="00B572AE">
              <w:rPr>
                <w:noProof/>
                <w:webHidden/>
              </w:rPr>
              <w:t>140</w:t>
            </w:r>
            <w:r w:rsidR="00B572AE">
              <w:rPr>
                <w:noProof/>
                <w:webHidden/>
              </w:rPr>
              <w:fldChar w:fldCharType="end"/>
            </w:r>
          </w:hyperlink>
        </w:p>
        <w:p w14:paraId="6C5D9CB4" w14:textId="3E40040D" w:rsidR="00B572AE" w:rsidRDefault="008A3D44">
          <w:pPr>
            <w:pStyle w:val="Sumrio4"/>
            <w:tabs>
              <w:tab w:val="left" w:pos="1320"/>
              <w:tab w:val="right" w:leader="dot" w:pos="9736"/>
            </w:tabs>
            <w:rPr>
              <w:rFonts w:asciiTheme="minorHAnsi" w:eastAsiaTheme="minorEastAsia" w:hAnsiTheme="minorHAnsi" w:cstheme="minorBidi"/>
              <w:noProof/>
              <w:sz w:val="22"/>
              <w:szCs w:val="22"/>
              <w:lang w:eastAsia="pt-BR" w:bidi="ar-SA"/>
            </w:rPr>
          </w:pPr>
          <w:hyperlink w:anchor="_Toc103680617" w:history="1">
            <w:r w:rsidR="00B572AE" w:rsidRPr="00764BE3">
              <w:rPr>
                <w:rStyle w:val="Hyperlink"/>
                <w:rFonts w:cstheme="minorHAnsi"/>
                <w:noProof/>
              </w:rPr>
              <w:t>4.9.5.1</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Percepção do usuário quanto à resolutividade das demandas de Ouvidoria</w:t>
            </w:r>
            <w:r w:rsidR="00B572AE">
              <w:rPr>
                <w:noProof/>
                <w:webHidden/>
              </w:rPr>
              <w:tab/>
            </w:r>
            <w:r w:rsidR="00B572AE">
              <w:rPr>
                <w:noProof/>
                <w:webHidden/>
              </w:rPr>
              <w:fldChar w:fldCharType="begin"/>
            </w:r>
            <w:r w:rsidR="00B572AE">
              <w:rPr>
                <w:noProof/>
                <w:webHidden/>
              </w:rPr>
              <w:instrText xml:space="preserve"> PAGEREF _Toc103680617 \h </w:instrText>
            </w:r>
            <w:r w:rsidR="00B572AE">
              <w:rPr>
                <w:noProof/>
                <w:webHidden/>
              </w:rPr>
            </w:r>
            <w:r w:rsidR="00B572AE">
              <w:rPr>
                <w:noProof/>
                <w:webHidden/>
              </w:rPr>
              <w:fldChar w:fldCharType="separate"/>
            </w:r>
            <w:r w:rsidR="00B572AE">
              <w:rPr>
                <w:noProof/>
                <w:webHidden/>
              </w:rPr>
              <w:t>141</w:t>
            </w:r>
            <w:r w:rsidR="00B572AE">
              <w:rPr>
                <w:noProof/>
                <w:webHidden/>
              </w:rPr>
              <w:fldChar w:fldCharType="end"/>
            </w:r>
          </w:hyperlink>
        </w:p>
        <w:p w14:paraId="5E51976E" w14:textId="16CDBA32"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618" w:history="1">
            <w:r w:rsidR="00B572AE" w:rsidRPr="00764BE3">
              <w:rPr>
                <w:rStyle w:val="Hyperlink"/>
                <w:rFonts w:cstheme="minorHAnsi"/>
                <w:noProof/>
              </w:rPr>
              <w:t>4.9.6</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Comitê Técnico de Ouvidoria – CTO</w:t>
            </w:r>
            <w:r w:rsidR="00B572AE">
              <w:rPr>
                <w:noProof/>
                <w:webHidden/>
              </w:rPr>
              <w:tab/>
            </w:r>
            <w:r w:rsidR="00B572AE">
              <w:rPr>
                <w:noProof/>
                <w:webHidden/>
              </w:rPr>
              <w:fldChar w:fldCharType="begin"/>
            </w:r>
            <w:r w:rsidR="00B572AE">
              <w:rPr>
                <w:noProof/>
                <w:webHidden/>
              </w:rPr>
              <w:instrText xml:space="preserve"> PAGEREF _Toc103680618 \h </w:instrText>
            </w:r>
            <w:r w:rsidR="00B572AE">
              <w:rPr>
                <w:noProof/>
                <w:webHidden/>
              </w:rPr>
            </w:r>
            <w:r w:rsidR="00B572AE">
              <w:rPr>
                <w:noProof/>
                <w:webHidden/>
              </w:rPr>
              <w:fldChar w:fldCharType="separate"/>
            </w:r>
            <w:r w:rsidR="00B572AE">
              <w:rPr>
                <w:noProof/>
                <w:webHidden/>
              </w:rPr>
              <w:t>142</w:t>
            </w:r>
            <w:r w:rsidR="00B572AE">
              <w:rPr>
                <w:noProof/>
                <w:webHidden/>
              </w:rPr>
              <w:fldChar w:fldCharType="end"/>
            </w:r>
          </w:hyperlink>
        </w:p>
        <w:p w14:paraId="7B2B427B" w14:textId="606A8969" w:rsidR="00B572AE" w:rsidRDefault="008A3D44">
          <w:pPr>
            <w:pStyle w:val="Sumrio4"/>
            <w:tabs>
              <w:tab w:val="left" w:pos="1320"/>
              <w:tab w:val="right" w:leader="dot" w:pos="9736"/>
            </w:tabs>
            <w:rPr>
              <w:rFonts w:asciiTheme="minorHAnsi" w:eastAsiaTheme="minorEastAsia" w:hAnsiTheme="minorHAnsi" w:cstheme="minorBidi"/>
              <w:noProof/>
              <w:sz w:val="22"/>
              <w:szCs w:val="22"/>
              <w:lang w:eastAsia="pt-BR" w:bidi="ar-SA"/>
            </w:rPr>
          </w:pPr>
          <w:hyperlink w:anchor="_Toc103680619" w:history="1">
            <w:r w:rsidR="00B572AE" w:rsidRPr="00764BE3">
              <w:rPr>
                <w:rStyle w:val="Hyperlink"/>
                <w:rFonts w:cstheme="minorHAnsi"/>
                <w:noProof/>
              </w:rPr>
              <w:t>4.9.6.1</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Interlocução da Ouvidoria com entidades e órgãos externos</w:t>
            </w:r>
            <w:r w:rsidR="00B572AE">
              <w:rPr>
                <w:noProof/>
                <w:webHidden/>
              </w:rPr>
              <w:tab/>
            </w:r>
            <w:r w:rsidR="00B572AE">
              <w:rPr>
                <w:noProof/>
                <w:webHidden/>
              </w:rPr>
              <w:fldChar w:fldCharType="begin"/>
            </w:r>
            <w:r w:rsidR="00B572AE">
              <w:rPr>
                <w:noProof/>
                <w:webHidden/>
              </w:rPr>
              <w:instrText xml:space="preserve"> PAGEREF _Toc103680619 \h </w:instrText>
            </w:r>
            <w:r w:rsidR="00B572AE">
              <w:rPr>
                <w:noProof/>
                <w:webHidden/>
              </w:rPr>
            </w:r>
            <w:r w:rsidR="00B572AE">
              <w:rPr>
                <w:noProof/>
                <w:webHidden/>
              </w:rPr>
              <w:fldChar w:fldCharType="separate"/>
            </w:r>
            <w:r w:rsidR="00B572AE">
              <w:rPr>
                <w:noProof/>
                <w:webHidden/>
              </w:rPr>
              <w:t>142</w:t>
            </w:r>
            <w:r w:rsidR="00B572AE">
              <w:rPr>
                <w:noProof/>
                <w:webHidden/>
              </w:rPr>
              <w:fldChar w:fldCharType="end"/>
            </w:r>
          </w:hyperlink>
        </w:p>
        <w:p w14:paraId="45A25BA0" w14:textId="061D71BA" w:rsidR="00B572AE" w:rsidRDefault="008A3D44">
          <w:pPr>
            <w:pStyle w:val="Sumrio1"/>
            <w:tabs>
              <w:tab w:val="left" w:pos="440"/>
              <w:tab w:val="right" w:leader="dot" w:pos="9736"/>
            </w:tabs>
            <w:rPr>
              <w:rFonts w:asciiTheme="minorHAnsi" w:eastAsiaTheme="minorEastAsia" w:hAnsiTheme="minorHAnsi" w:cstheme="minorBidi"/>
              <w:b w:val="0"/>
              <w:bCs w:val="0"/>
              <w:caps w:val="0"/>
              <w:noProof/>
              <w:sz w:val="22"/>
              <w:szCs w:val="22"/>
              <w:lang w:eastAsia="pt-BR" w:bidi="ar-SA"/>
            </w:rPr>
          </w:pPr>
          <w:hyperlink w:anchor="_Toc103680620" w:history="1">
            <w:r w:rsidR="00B572AE" w:rsidRPr="00764BE3">
              <w:rPr>
                <w:rStyle w:val="Hyperlink"/>
                <w:rFonts w:cstheme="minorHAnsi"/>
                <w:noProof/>
              </w:rPr>
              <w:t>5</w:t>
            </w:r>
            <w:r w:rsidR="00B572AE">
              <w:rPr>
                <w:rFonts w:asciiTheme="minorHAnsi" w:eastAsiaTheme="minorEastAsia" w:hAnsiTheme="minorHAnsi" w:cstheme="minorBidi"/>
                <w:b w:val="0"/>
                <w:bCs w:val="0"/>
                <w:caps w:val="0"/>
                <w:noProof/>
                <w:sz w:val="22"/>
                <w:szCs w:val="22"/>
                <w:lang w:eastAsia="pt-BR" w:bidi="ar-SA"/>
              </w:rPr>
              <w:tab/>
            </w:r>
            <w:r w:rsidR="00B572AE" w:rsidRPr="00764BE3">
              <w:rPr>
                <w:rStyle w:val="Hyperlink"/>
                <w:rFonts w:cstheme="minorHAnsi"/>
                <w:noProof/>
              </w:rPr>
              <w:t>Informações orçamentárias, financeiras e contábeis</w:t>
            </w:r>
            <w:r w:rsidR="00B572AE">
              <w:rPr>
                <w:noProof/>
                <w:webHidden/>
              </w:rPr>
              <w:tab/>
            </w:r>
            <w:r w:rsidR="00B572AE">
              <w:rPr>
                <w:noProof/>
                <w:webHidden/>
              </w:rPr>
              <w:fldChar w:fldCharType="begin"/>
            </w:r>
            <w:r w:rsidR="00B572AE">
              <w:rPr>
                <w:noProof/>
                <w:webHidden/>
              </w:rPr>
              <w:instrText xml:space="preserve"> PAGEREF _Toc103680620 \h </w:instrText>
            </w:r>
            <w:r w:rsidR="00B572AE">
              <w:rPr>
                <w:noProof/>
                <w:webHidden/>
              </w:rPr>
            </w:r>
            <w:r w:rsidR="00B572AE">
              <w:rPr>
                <w:noProof/>
                <w:webHidden/>
              </w:rPr>
              <w:fldChar w:fldCharType="separate"/>
            </w:r>
            <w:r w:rsidR="00B572AE">
              <w:rPr>
                <w:noProof/>
                <w:webHidden/>
              </w:rPr>
              <w:t>143</w:t>
            </w:r>
            <w:r w:rsidR="00B572AE">
              <w:rPr>
                <w:noProof/>
                <w:webHidden/>
              </w:rPr>
              <w:fldChar w:fldCharType="end"/>
            </w:r>
          </w:hyperlink>
        </w:p>
        <w:p w14:paraId="00A1D52E" w14:textId="45BFD178" w:rsidR="00B572AE" w:rsidRDefault="008A3D44">
          <w:pPr>
            <w:pStyle w:val="Sumrio2"/>
            <w:tabs>
              <w:tab w:val="left" w:pos="660"/>
              <w:tab w:val="right" w:leader="dot" w:pos="9736"/>
            </w:tabs>
            <w:rPr>
              <w:rFonts w:asciiTheme="minorHAnsi" w:eastAsiaTheme="minorEastAsia" w:hAnsiTheme="minorHAnsi" w:cstheme="minorBidi"/>
              <w:b w:val="0"/>
              <w:bCs w:val="0"/>
              <w:noProof/>
              <w:sz w:val="22"/>
              <w:szCs w:val="22"/>
              <w:lang w:eastAsia="pt-BR" w:bidi="ar-SA"/>
            </w:rPr>
          </w:pPr>
          <w:hyperlink w:anchor="_Toc103680621" w:history="1">
            <w:r w:rsidR="00B572AE" w:rsidRPr="00764BE3">
              <w:rPr>
                <w:rStyle w:val="Hyperlink"/>
                <w:noProof/>
              </w:rPr>
              <w:t>5.1</w:t>
            </w:r>
            <w:r w:rsidR="00B572AE">
              <w:rPr>
                <w:rFonts w:asciiTheme="minorHAnsi" w:eastAsiaTheme="minorEastAsia" w:hAnsiTheme="minorHAnsi" w:cstheme="minorBidi"/>
                <w:b w:val="0"/>
                <w:bCs w:val="0"/>
                <w:noProof/>
                <w:sz w:val="22"/>
                <w:szCs w:val="22"/>
                <w:lang w:eastAsia="pt-BR" w:bidi="ar-SA"/>
              </w:rPr>
              <w:tab/>
            </w:r>
            <w:r w:rsidR="00B572AE" w:rsidRPr="00764BE3">
              <w:rPr>
                <w:rStyle w:val="Hyperlink"/>
                <w:noProof/>
              </w:rPr>
              <w:t>Demonstrações contábeis</w:t>
            </w:r>
            <w:r w:rsidR="00B572AE">
              <w:rPr>
                <w:noProof/>
                <w:webHidden/>
              </w:rPr>
              <w:tab/>
            </w:r>
            <w:r w:rsidR="00B572AE">
              <w:rPr>
                <w:noProof/>
                <w:webHidden/>
              </w:rPr>
              <w:fldChar w:fldCharType="begin"/>
            </w:r>
            <w:r w:rsidR="00B572AE">
              <w:rPr>
                <w:noProof/>
                <w:webHidden/>
              </w:rPr>
              <w:instrText xml:space="preserve"> PAGEREF _Toc103680621 \h </w:instrText>
            </w:r>
            <w:r w:rsidR="00B572AE">
              <w:rPr>
                <w:noProof/>
                <w:webHidden/>
              </w:rPr>
            </w:r>
            <w:r w:rsidR="00B572AE">
              <w:rPr>
                <w:noProof/>
                <w:webHidden/>
              </w:rPr>
              <w:fldChar w:fldCharType="separate"/>
            </w:r>
            <w:r w:rsidR="00B572AE">
              <w:rPr>
                <w:noProof/>
                <w:webHidden/>
              </w:rPr>
              <w:t>143</w:t>
            </w:r>
            <w:r w:rsidR="00B572AE">
              <w:rPr>
                <w:noProof/>
                <w:webHidden/>
              </w:rPr>
              <w:fldChar w:fldCharType="end"/>
            </w:r>
          </w:hyperlink>
        </w:p>
        <w:p w14:paraId="5B7C0732" w14:textId="5AB18916"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622" w:history="1">
            <w:r w:rsidR="00B572AE" w:rsidRPr="00764BE3">
              <w:rPr>
                <w:rStyle w:val="Hyperlink"/>
                <w:rFonts w:cstheme="minorHAnsi"/>
                <w:noProof/>
              </w:rPr>
              <w:t>5.1.1</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Balanço Patrimonial de 2021</w:t>
            </w:r>
            <w:r w:rsidR="00B572AE">
              <w:rPr>
                <w:noProof/>
                <w:webHidden/>
              </w:rPr>
              <w:tab/>
            </w:r>
            <w:r w:rsidR="00B572AE">
              <w:rPr>
                <w:noProof/>
                <w:webHidden/>
              </w:rPr>
              <w:fldChar w:fldCharType="begin"/>
            </w:r>
            <w:r w:rsidR="00B572AE">
              <w:rPr>
                <w:noProof/>
                <w:webHidden/>
              </w:rPr>
              <w:instrText xml:space="preserve"> PAGEREF _Toc103680622 \h </w:instrText>
            </w:r>
            <w:r w:rsidR="00B572AE">
              <w:rPr>
                <w:noProof/>
                <w:webHidden/>
              </w:rPr>
            </w:r>
            <w:r w:rsidR="00B572AE">
              <w:rPr>
                <w:noProof/>
                <w:webHidden/>
              </w:rPr>
              <w:fldChar w:fldCharType="separate"/>
            </w:r>
            <w:r w:rsidR="00B572AE">
              <w:rPr>
                <w:noProof/>
                <w:webHidden/>
              </w:rPr>
              <w:t>144</w:t>
            </w:r>
            <w:r w:rsidR="00B572AE">
              <w:rPr>
                <w:noProof/>
                <w:webHidden/>
              </w:rPr>
              <w:fldChar w:fldCharType="end"/>
            </w:r>
          </w:hyperlink>
        </w:p>
        <w:p w14:paraId="402CFFED" w14:textId="5A77CE86"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623" w:history="1">
            <w:r w:rsidR="00B572AE" w:rsidRPr="00764BE3">
              <w:rPr>
                <w:rStyle w:val="Hyperlink"/>
                <w:rFonts w:cstheme="minorHAnsi"/>
                <w:noProof/>
              </w:rPr>
              <w:t>5.1.2</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Demonstração do Resultado do Exercício de 2021</w:t>
            </w:r>
            <w:r w:rsidR="00B572AE">
              <w:rPr>
                <w:noProof/>
                <w:webHidden/>
              </w:rPr>
              <w:tab/>
            </w:r>
            <w:r w:rsidR="00B572AE">
              <w:rPr>
                <w:noProof/>
                <w:webHidden/>
              </w:rPr>
              <w:fldChar w:fldCharType="begin"/>
            </w:r>
            <w:r w:rsidR="00B572AE">
              <w:rPr>
                <w:noProof/>
                <w:webHidden/>
              </w:rPr>
              <w:instrText xml:space="preserve"> PAGEREF _Toc103680623 \h </w:instrText>
            </w:r>
            <w:r w:rsidR="00B572AE">
              <w:rPr>
                <w:noProof/>
                <w:webHidden/>
              </w:rPr>
            </w:r>
            <w:r w:rsidR="00B572AE">
              <w:rPr>
                <w:noProof/>
                <w:webHidden/>
              </w:rPr>
              <w:fldChar w:fldCharType="separate"/>
            </w:r>
            <w:r w:rsidR="00B572AE">
              <w:rPr>
                <w:noProof/>
                <w:webHidden/>
              </w:rPr>
              <w:t>146</w:t>
            </w:r>
            <w:r w:rsidR="00B572AE">
              <w:rPr>
                <w:noProof/>
                <w:webHidden/>
              </w:rPr>
              <w:fldChar w:fldCharType="end"/>
            </w:r>
          </w:hyperlink>
        </w:p>
        <w:p w14:paraId="19630895" w14:textId="7606DD51" w:rsidR="00B572AE" w:rsidRDefault="008A3D44">
          <w:pPr>
            <w:pStyle w:val="Sumrio2"/>
            <w:tabs>
              <w:tab w:val="left" w:pos="660"/>
              <w:tab w:val="right" w:leader="dot" w:pos="9736"/>
            </w:tabs>
            <w:rPr>
              <w:rFonts w:asciiTheme="minorHAnsi" w:eastAsiaTheme="minorEastAsia" w:hAnsiTheme="minorHAnsi" w:cstheme="minorBidi"/>
              <w:b w:val="0"/>
              <w:bCs w:val="0"/>
              <w:noProof/>
              <w:sz w:val="22"/>
              <w:szCs w:val="22"/>
              <w:lang w:eastAsia="pt-BR" w:bidi="ar-SA"/>
            </w:rPr>
          </w:pPr>
          <w:hyperlink w:anchor="_Toc103680624" w:history="1">
            <w:r w:rsidR="00B572AE" w:rsidRPr="00764BE3">
              <w:rPr>
                <w:rStyle w:val="Hyperlink"/>
                <w:noProof/>
              </w:rPr>
              <w:t>5.2</w:t>
            </w:r>
            <w:r w:rsidR="00B572AE">
              <w:rPr>
                <w:rFonts w:asciiTheme="minorHAnsi" w:eastAsiaTheme="minorEastAsia" w:hAnsiTheme="minorHAnsi" w:cstheme="minorBidi"/>
                <w:b w:val="0"/>
                <w:bCs w:val="0"/>
                <w:noProof/>
                <w:sz w:val="22"/>
                <w:szCs w:val="22"/>
                <w:lang w:eastAsia="pt-BR" w:bidi="ar-SA"/>
              </w:rPr>
              <w:tab/>
            </w:r>
            <w:r w:rsidR="00B572AE" w:rsidRPr="00764BE3">
              <w:rPr>
                <w:rStyle w:val="Hyperlink"/>
                <w:noProof/>
              </w:rPr>
              <w:t>Base de preparação das demonstrações e principais critério e políticas contábeis</w:t>
            </w:r>
            <w:r w:rsidR="00B572AE">
              <w:rPr>
                <w:noProof/>
                <w:webHidden/>
              </w:rPr>
              <w:tab/>
            </w:r>
            <w:r w:rsidR="00B572AE">
              <w:rPr>
                <w:noProof/>
                <w:webHidden/>
              </w:rPr>
              <w:fldChar w:fldCharType="begin"/>
            </w:r>
            <w:r w:rsidR="00B572AE">
              <w:rPr>
                <w:noProof/>
                <w:webHidden/>
              </w:rPr>
              <w:instrText xml:space="preserve"> PAGEREF _Toc103680624 \h </w:instrText>
            </w:r>
            <w:r w:rsidR="00B572AE">
              <w:rPr>
                <w:noProof/>
                <w:webHidden/>
              </w:rPr>
            </w:r>
            <w:r w:rsidR="00B572AE">
              <w:rPr>
                <w:noProof/>
                <w:webHidden/>
              </w:rPr>
              <w:fldChar w:fldCharType="separate"/>
            </w:r>
            <w:r w:rsidR="00B572AE">
              <w:rPr>
                <w:noProof/>
                <w:webHidden/>
              </w:rPr>
              <w:t>147</w:t>
            </w:r>
            <w:r w:rsidR="00B572AE">
              <w:rPr>
                <w:noProof/>
                <w:webHidden/>
              </w:rPr>
              <w:fldChar w:fldCharType="end"/>
            </w:r>
          </w:hyperlink>
        </w:p>
        <w:p w14:paraId="074CFBAC" w14:textId="51169542" w:rsidR="00B572AE" w:rsidRDefault="008A3D44">
          <w:pPr>
            <w:pStyle w:val="Sumrio2"/>
            <w:tabs>
              <w:tab w:val="left" w:pos="660"/>
              <w:tab w:val="right" w:leader="dot" w:pos="9736"/>
            </w:tabs>
            <w:rPr>
              <w:rFonts w:asciiTheme="minorHAnsi" w:eastAsiaTheme="minorEastAsia" w:hAnsiTheme="minorHAnsi" w:cstheme="minorBidi"/>
              <w:b w:val="0"/>
              <w:bCs w:val="0"/>
              <w:noProof/>
              <w:sz w:val="22"/>
              <w:szCs w:val="22"/>
              <w:lang w:eastAsia="pt-BR" w:bidi="ar-SA"/>
            </w:rPr>
          </w:pPr>
          <w:hyperlink w:anchor="_Toc103680625" w:history="1">
            <w:r w:rsidR="00B572AE" w:rsidRPr="00764BE3">
              <w:rPr>
                <w:rStyle w:val="Hyperlink"/>
                <w:noProof/>
              </w:rPr>
              <w:t>5.3</w:t>
            </w:r>
            <w:r w:rsidR="00B572AE">
              <w:rPr>
                <w:rFonts w:asciiTheme="minorHAnsi" w:eastAsiaTheme="minorEastAsia" w:hAnsiTheme="minorHAnsi" w:cstheme="minorBidi"/>
                <w:b w:val="0"/>
                <w:bCs w:val="0"/>
                <w:noProof/>
                <w:sz w:val="22"/>
                <w:szCs w:val="22"/>
                <w:lang w:eastAsia="pt-BR" w:bidi="ar-SA"/>
              </w:rPr>
              <w:tab/>
            </w:r>
            <w:r w:rsidR="00B572AE" w:rsidRPr="00764BE3">
              <w:rPr>
                <w:rStyle w:val="Hyperlink"/>
                <w:noProof/>
              </w:rPr>
              <w:t>Notas explicativas das demonstrações contábeis</w:t>
            </w:r>
            <w:r w:rsidR="00B572AE">
              <w:rPr>
                <w:noProof/>
                <w:webHidden/>
              </w:rPr>
              <w:tab/>
            </w:r>
            <w:r w:rsidR="00B572AE">
              <w:rPr>
                <w:noProof/>
                <w:webHidden/>
              </w:rPr>
              <w:fldChar w:fldCharType="begin"/>
            </w:r>
            <w:r w:rsidR="00B572AE">
              <w:rPr>
                <w:noProof/>
                <w:webHidden/>
              </w:rPr>
              <w:instrText xml:space="preserve"> PAGEREF _Toc103680625 \h </w:instrText>
            </w:r>
            <w:r w:rsidR="00B572AE">
              <w:rPr>
                <w:noProof/>
                <w:webHidden/>
              </w:rPr>
            </w:r>
            <w:r w:rsidR="00B572AE">
              <w:rPr>
                <w:noProof/>
                <w:webHidden/>
              </w:rPr>
              <w:fldChar w:fldCharType="separate"/>
            </w:r>
            <w:r w:rsidR="00B572AE">
              <w:rPr>
                <w:noProof/>
                <w:webHidden/>
              </w:rPr>
              <w:t>148</w:t>
            </w:r>
            <w:r w:rsidR="00B572AE">
              <w:rPr>
                <w:noProof/>
                <w:webHidden/>
              </w:rPr>
              <w:fldChar w:fldCharType="end"/>
            </w:r>
          </w:hyperlink>
        </w:p>
        <w:p w14:paraId="2F5FAA29" w14:textId="26BBABCE"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626" w:history="1">
            <w:r w:rsidR="00B572AE" w:rsidRPr="00764BE3">
              <w:rPr>
                <w:rStyle w:val="Hyperlink"/>
                <w:rFonts w:cstheme="minorHAnsi"/>
                <w:noProof/>
              </w:rPr>
              <w:t>5.3.1</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Caixa e equivalente de caixa</w:t>
            </w:r>
            <w:r w:rsidR="00B572AE">
              <w:rPr>
                <w:noProof/>
                <w:webHidden/>
              </w:rPr>
              <w:tab/>
            </w:r>
            <w:r w:rsidR="00B572AE">
              <w:rPr>
                <w:noProof/>
                <w:webHidden/>
              </w:rPr>
              <w:fldChar w:fldCharType="begin"/>
            </w:r>
            <w:r w:rsidR="00B572AE">
              <w:rPr>
                <w:noProof/>
                <w:webHidden/>
              </w:rPr>
              <w:instrText xml:space="preserve"> PAGEREF _Toc103680626 \h </w:instrText>
            </w:r>
            <w:r w:rsidR="00B572AE">
              <w:rPr>
                <w:noProof/>
                <w:webHidden/>
              </w:rPr>
            </w:r>
            <w:r w:rsidR="00B572AE">
              <w:rPr>
                <w:noProof/>
                <w:webHidden/>
              </w:rPr>
              <w:fldChar w:fldCharType="separate"/>
            </w:r>
            <w:r w:rsidR="00B572AE">
              <w:rPr>
                <w:noProof/>
                <w:webHidden/>
              </w:rPr>
              <w:t>148</w:t>
            </w:r>
            <w:r w:rsidR="00B572AE">
              <w:rPr>
                <w:noProof/>
                <w:webHidden/>
              </w:rPr>
              <w:fldChar w:fldCharType="end"/>
            </w:r>
          </w:hyperlink>
        </w:p>
        <w:p w14:paraId="040FB4F9" w14:textId="2FC9787E"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627" w:history="1">
            <w:r w:rsidR="00B572AE" w:rsidRPr="00764BE3">
              <w:rPr>
                <w:rStyle w:val="Hyperlink"/>
                <w:rFonts w:cstheme="minorHAnsi"/>
                <w:noProof/>
              </w:rPr>
              <w:t>5.3.2</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Créditos de curto e longo prazo</w:t>
            </w:r>
            <w:r w:rsidR="00B572AE">
              <w:rPr>
                <w:noProof/>
                <w:webHidden/>
              </w:rPr>
              <w:tab/>
            </w:r>
            <w:r w:rsidR="00B572AE">
              <w:rPr>
                <w:noProof/>
                <w:webHidden/>
              </w:rPr>
              <w:fldChar w:fldCharType="begin"/>
            </w:r>
            <w:r w:rsidR="00B572AE">
              <w:rPr>
                <w:noProof/>
                <w:webHidden/>
              </w:rPr>
              <w:instrText xml:space="preserve"> PAGEREF _Toc103680627 \h </w:instrText>
            </w:r>
            <w:r w:rsidR="00B572AE">
              <w:rPr>
                <w:noProof/>
                <w:webHidden/>
              </w:rPr>
            </w:r>
            <w:r w:rsidR="00B572AE">
              <w:rPr>
                <w:noProof/>
                <w:webHidden/>
              </w:rPr>
              <w:fldChar w:fldCharType="separate"/>
            </w:r>
            <w:r w:rsidR="00B572AE">
              <w:rPr>
                <w:noProof/>
                <w:webHidden/>
              </w:rPr>
              <w:t>149</w:t>
            </w:r>
            <w:r w:rsidR="00B572AE">
              <w:rPr>
                <w:noProof/>
                <w:webHidden/>
              </w:rPr>
              <w:fldChar w:fldCharType="end"/>
            </w:r>
          </w:hyperlink>
        </w:p>
        <w:p w14:paraId="699E7245" w14:textId="3609F500" w:rsidR="00B572AE" w:rsidRDefault="008A3D44">
          <w:pPr>
            <w:pStyle w:val="Sumrio4"/>
            <w:tabs>
              <w:tab w:val="left" w:pos="1320"/>
              <w:tab w:val="right" w:leader="dot" w:pos="9736"/>
            </w:tabs>
            <w:rPr>
              <w:rFonts w:asciiTheme="minorHAnsi" w:eastAsiaTheme="minorEastAsia" w:hAnsiTheme="minorHAnsi" w:cstheme="minorBidi"/>
              <w:noProof/>
              <w:sz w:val="22"/>
              <w:szCs w:val="22"/>
              <w:lang w:eastAsia="pt-BR" w:bidi="ar-SA"/>
            </w:rPr>
          </w:pPr>
          <w:hyperlink w:anchor="_Toc103680628" w:history="1">
            <w:r w:rsidR="00B572AE" w:rsidRPr="00764BE3">
              <w:rPr>
                <w:rStyle w:val="Hyperlink"/>
                <w:rFonts w:cstheme="minorHAnsi"/>
                <w:noProof/>
              </w:rPr>
              <w:t>5.3.2.1</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Tributos a compensar</w:t>
            </w:r>
            <w:r w:rsidR="00B572AE">
              <w:rPr>
                <w:noProof/>
                <w:webHidden/>
              </w:rPr>
              <w:tab/>
            </w:r>
            <w:r w:rsidR="00B572AE">
              <w:rPr>
                <w:noProof/>
                <w:webHidden/>
              </w:rPr>
              <w:fldChar w:fldCharType="begin"/>
            </w:r>
            <w:r w:rsidR="00B572AE">
              <w:rPr>
                <w:noProof/>
                <w:webHidden/>
              </w:rPr>
              <w:instrText xml:space="preserve"> PAGEREF _Toc103680628 \h </w:instrText>
            </w:r>
            <w:r w:rsidR="00B572AE">
              <w:rPr>
                <w:noProof/>
                <w:webHidden/>
              </w:rPr>
            </w:r>
            <w:r w:rsidR="00B572AE">
              <w:rPr>
                <w:noProof/>
                <w:webHidden/>
              </w:rPr>
              <w:fldChar w:fldCharType="separate"/>
            </w:r>
            <w:r w:rsidR="00B572AE">
              <w:rPr>
                <w:noProof/>
                <w:webHidden/>
              </w:rPr>
              <w:t>149</w:t>
            </w:r>
            <w:r w:rsidR="00B572AE">
              <w:rPr>
                <w:noProof/>
                <w:webHidden/>
              </w:rPr>
              <w:fldChar w:fldCharType="end"/>
            </w:r>
          </w:hyperlink>
        </w:p>
        <w:p w14:paraId="7E92BBA5" w14:textId="296AE5AC" w:rsidR="00B572AE" w:rsidRDefault="008A3D44">
          <w:pPr>
            <w:pStyle w:val="Sumrio4"/>
            <w:tabs>
              <w:tab w:val="left" w:pos="1320"/>
              <w:tab w:val="right" w:leader="dot" w:pos="9736"/>
            </w:tabs>
            <w:rPr>
              <w:rFonts w:asciiTheme="minorHAnsi" w:eastAsiaTheme="minorEastAsia" w:hAnsiTheme="minorHAnsi" w:cstheme="minorBidi"/>
              <w:noProof/>
              <w:sz w:val="22"/>
              <w:szCs w:val="22"/>
              <w:lang w:eastAsia="pt-BR" w:bidi="ar-SA"/>
            </w:rPr>
          </w:pPr>
          <w:hyperlink w:anchor="_Toc103680629" w:history="1">
            <w:r w:rsidR="00B572AE" w:rsidRPr="00764BE3">
              <w:rPr>
                <w:rStyle w:val="Hyperlink"/>
                <w:rFonts w:cstheme="minorHAnsi"/>
                <w:noProof/>
              </w:rPr>
              <w:t>5.3.2.2</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Depósitos judiciais</w:t>
            </w:r>
            <w:r w:rsidR="00B572AE">
              <w:rPr>
                <w:noProof/>
                <w:webHidden/>
              </w:rPr>
              <w:tab/>
            </w:r>
            <w:r w:rsidR="00B572AE">
              <w:rPr>
                <w:noProof/>
                <w:webHidden/>
              </w:rPr>
              <w:fldChar w:fldCharType="begin"/>
            </w:r>
            <w:r w:rsidR="00B572AE">
              <w:rPr>
                <w:noProof/>
                <w:webHidden/>
              </w:rPr>
              <w:instrText xml:space="preserve"> PAGEREF _Toc103680629 \h </w:instrText>
            </w:r>
            <w:r w:rsidR="00B572AE">
              <w:rPr>
                <w:noProof/>
                <w:webHidden/>
              </w:rPr>
            </w:r>
            <w:r w:rsidR="00B572AE">
              <w:rPr>
                <w:noProof/>
                <w:webHidden/>
              </w:rPr>
              <w:fldChar w:fldCharType="separate"/>
            </w:r>
            <w:r w:rsidR="00B572AE">
              <w:rPr>
                <w:noProof/>
                <w:webHidden/>
              </w:rPr>
              <w:t>150</w:t>
            </w:r>
            <w:r w:rsidR="00B572AE">
              <w:rPr>
                <w:noProof/>
                <w:webHidden/>
              </w:rPr>
              <w:fldChar w:fldCharType="end"/>
            </w:r>
          </w:hyperlink>
        </w:p>
        <w:p w14:paraId="5E35AF70" w14:textId="54AF0DB3" w:rsidR="00B572AE" w:rsidRDefault="008A3D44">
          <w:pPr>
            <w:pStyle w:val="Sumrio4"/>
            <w:tabs>
              <w:tab w:val="left" w:pos="1320"/>
              <w:tab w:val="right" w:leader="dot" w:pos="9736"/>
            </w:tabs>
            <w:rPr>
              <w:rFonts w:asciiTheme="minorHAnsi" w:eastAsiaTheme="minorEastAsia" w:hAnsiTheme="minorHAnsi" w:cstheme="minorBidi"/>
              <w:noProof/>
              <w:sz w:val="22"/>
              <w:szCs w:val="22"/>
              <w:lang w:eastAsia="pt-BR" w:bidi="ar-SA"/>
            </w:rPr>
          </w:pPr>
          <w:hyperlink w:anchor="_Toc103680630" w:history="1">
            <w:r w:rsidR="00B572AE" w:rsidRPr="00764BE3">
              <w:rPr>
                <w:rStyle w:val="Hyperlink"/>
                <w:rFonts w:cstheme="minorHAnsi"/>
                <w:noProof/>
              </w:rPr>
              <w:t>5.3.2.3</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Permissão de uso de pátio a receber</w:t>
            </w:r>
            <w:r w:rsidR="00B572AE">
              <w:rPr>
                <w:noProof/>
                <w:webHidden/>
              </w:rPr>
              <w:tab/>
            </w:r>
            <w:r w:rsidR="00B572AE">
              <w:rPr>
                <w:noProof/>
                <w:webHidden/>
              </w:rPr>
              <w:fldChar w:fldCharType="begin"/>
            </w:r>
            <w:r w:rsidR="00B572AE">
              <w:rPr>
                <w:noProof/>
                <w:webHidden/>
              </w:rPr>
              <w:instrText xml:space="preserve"> PAGEREF _Toc103680630 \h </w:instrText>
            </w:r>
            <w:r w:rsidR="00B572AE">
              <w:rPr>
                <w:noProof/>
                <w:webHidden/>
              </w:rPr>
            </w:r>
            <w:r w:rsidR="00B572AE">
              <w:rPr>
                <w:noProof/>
                <w:webHidden/>
              </w:rPr>
              <w:fldChar w:fldCharType="separate"/>
            </w:r>
            <w:r w:rsidR="00B572AE">
              <w:rPr>
                <w:noProof/>
                <w:webHidden/>
              </w:rPr>
              <w:t>151</w:t>
            </w:r>
            <w:r w:rsidR="00B572AE">
              <w:rPr>
                <w:noProof/>
                <w:webHidden/>
              </w:rPr>
              <w:fldChar w:fldCharType="end"/>
            </w:r>
          </w:hyperlink>
        </w:p>
        <w:p w14:paraId="4C983753" w14:textId="7510E6DC"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631" w:history="1">
            <w:r w:rsidR="00B572AE" w:rsidRPr="00764BE3">
              <w:rPr>
                <w:rStyle w:val="Hyperlink"/>
                <w:rFonts w:cstheme="minorHAnsi"/>
                <w:noProof/>
              </w:rPr>
              <w:t>5.3.3</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Investimentos</w:t>
            </w:r>
            <w:r w:rsidR="00B572AE">
              <w:rPr>
                <w:noProof/>
                <w:webHidden/>
              </w:rPr>
              <w:tab/>
            </w:r>
            <w:r w:rsidR="00B572AE">
              <w:rPr>
                <w:noProof/>
                <w:webHidden/>
              </w:rPr>
              <w:fldChar w:fldCharType="begin"/>
            </w:r>
            <w:r w:rsidR="00B572AE">
              <w:rPr>
                <w:noProof/>
                <w:webHidden/>
              </w:rPr>
              <w:instrText xml:space="preserve"> PAGEREF _Toc103680631 \h </w:instrText>
            </w:r>
            <w:r w:rsidR="00B572AE">
              <w:rPr>
                <w:noProof/>
                <w:webHidden/>
              </w:rPr>
            </w:r>
            <w:r w:rsidR="00B572AE">
              <w:rPr>
                <w:noProof/>
                <w:webHidden/>
              </w:rPr>
              <w:fldChar w:fldCharType="separate"/>
            </w:r>
            <w:r w:rsidR="00B572AE">
              <w:rPr>
                <w:noProof/>
                <w:webHidden/>
              </w:rPr>
              <w:t>152</w:t>
            </w:r>
            <w:r w:rsidR="00B572AE">
              <w:rPr>
                <w:noProof/>
                <w:webHidden/>
              </w:rPr>
              <w:fldChar w:fldCharType="end"/>
            </w:r>
          </w:hyperlink>
        </w:p>
        <w:p w14:paraId="068F4A9D" w14:textId="0069F70D" w:rsidR="00B572AE" w:rsidRDefault="008A3D44">
          <w:pPr>
            <w:pStyle w:val="Sumrio4"/>
            <w:tabs>
              <w:tab w:val="left" w:pos="1320"/>
              <w:tab w:val="right" w:leader="dot" w:pos="9736"/>
            </w:tabs>
            <w:rPr>
              <w:rFonts w:asciiTheme="minorHAnsi" w:eastAsiaTheme="minorEastAsia" w:hAnsiTheme="minorHAnsi" w:cstheme="minorBidi"/>
              <w:noProof/>
              <w:sz w:val="22"/>
              <w:szCs w:val="22"/>
              <w:lang w:eastAsia="pt-BR" w:bidi="ar-SA"/>
            </w:rPr>
          </w:pPr>
          <w:hyperlink w:anchor="_Toc103680632" w:history="1">
            <w:r w:rsidR="00B572AE" w:rsidRPr="00764BE3">
              <w:rPr>
                <w:rStyle w:val="Hyperlink"/>
                <w:rFonts w:cstheme="minorHAnsi"/>
                <w:noProof/>
              </w:rPr>
              <w:t>5.3.3.1</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Estrada de Ferro Paraná-Oeste S/A – FERROESTE</w:t>
            </w:r>
            <w:r w:rsidR="00B572AE">
              <w:rPr>
                <w:noProof/>
                <w:webHidden/>
              </w:rPr>
              <w:tab/>
            </w:r>
            <w:r w:rsidR="00B572AE">
              <w:rPr>
                <w:noProof/>
                <w:webHidden/>
              </w:rPr>
              <w:fldChar w:fldCharType="begin"/>
            </w:r>
            <w:r w:rsidR="00B572AE">
              <w:rPr>
                <w:noProof/>
                <w:webHidden/>
              </w:rPr>
              <w:instrText xml:space="preserve"> PAGEREF _Toc103680632 \h </w:instrText>
            </w:r>
            <w:r w:rsidR="00B572AE">
              <w:rPr>
                <w:noProof/>
                <w:webHidden/>
              </w:rPr>
            </w:r>
            <w:r w:rsidR="00B572AE">
              <w:rPr>
                <w:noProof/>
                <w:webHidden/>
              </w:rPr>
              <w:fldChar w:fldCharType="separate"/>
            </w:r>
            <w:r w:rsidR="00B572AE">
              <w:rPr>
                <w:noProof/>
                <w:webHidden/>
              </w:rPr>
              <w:t>152</w:t>
            </w:r>
            <w:r w:rsidR="00B572AE">
              <w:rPr>
                <w:noProof/>
                <w:webHidden/>
              </w:rPr>
              <w:fldChar w:fldCharType="end"/>
            </w:r>
          </w:hyperlink>
        </w:p>
        <w:p w14:paraId="422E2C3F" w14:textId="5E535D1E" w:rsidR="00B572AE" w:rsidRDefault="008A3D44">
          <w:pPr>
            <w:pStyle w:val="Sumrio4"/>
            <w:tabs>
              <w:tab w:val="left" w:pos="1320"/>
              <w:tab w:val="right" w:leader="dot" w:pos="9736"/>
            </w:tabs>
            <w:rPr>
              <w:rFonts w:asciiTheme="minorHAnsi" w:eastAsiaTheme="minorEastAsia" w:hAnsiTheme="minorHAnsi" w:cstheme="minorBidi"/>
              <w:noProof/>
              <w:sz w:val="22"/>
              <w:szCs w:val="22"/>
              <w:lang w:eastAsia="pt-BR" w:bidi="ar-SA"/>
            </w:rPr>
          </w:pPr>
          <w:hyperlink w:anchor="_Toc103680633" w:history="1">
            <w:r w:rsidR="00B572AE" w:rsidRPr="00764BE3">
              <w:rPr>
                <w:rStyle w:val="Hyperlink"/>
                <w:rFonts w:cstheme="minorHAnsi"/>
                <w:noProof/>
              </w:rPr>
              <w:t>5.3.3.2</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Transnordestina Logística S/A – TLSA</w:t>
            </w:r>
            <w:r w:rsidR="00B572AE">
              <w:rPr>
                <w:noProof/>
                <w:webHidden/>
              </w:rPr>
              <w:tab/>
            </w:r>
            <w:r w:rsidR="00B572AE">
              <w:rPr>
                <w:noProof/>
                <w:webHidden/>
              </w:rPr>
              <w:fldChar w:fldCharType="begin"/>
            </w:r>
            <w:r w:rsidR="00B572AE">
              <w:rPr>
                <w:noProof/>
                <w:webHidden/>
              </w:rPr>
              <w:instrText xml:space="preserve"> PAGEREF _Toc103680633 \h </w:instrText>
            </w:r>
            <w:r w:rsidR="00B572AE">
              <w:rPr>
                <w:noProof/>
                <w:webHidden/>
              </w:rPr>
            </w:r>
            <w:r w:rsidR="00B572AE">
              <w:rPr>
                <w:noProof/>
                <w:webHidden/>
              </w:rPr>
              <w:fldChar w:fldCharType="separate"/>
            </w:r>
            <w:r w:rsidR="00B572AE">
              <w:rPr>
                <w:noProof/>
                <w:webHidden/>
              </w:rPr>
              <w:t>152</w:t>
            </w:r>
            <w:r w:rsidR="00B572AE">
              <w:rPr>
                <w:noProof/>
                <w:webHidden/>
              </w:rPr>
              <w:fldChar w:fldCharType="end"/>
            </w:r>
          </w:hyperlink>
        </w:p>
        <w:p w14:paraId="0064441C" w14:textId="09479307"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634" w:history="1">
            <w:r w:rsidR="00B572AE" w:rsidRPr="00764BE3">
              <w:rPr>
                <w:rStyle w:val="Hyperlink"/>
                <w:rFonts w:cstheme="minorHAnsi"/>
                <w:noProof/>
              </w:rPr>
              <w:t>5.3.4</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Imobilizado</w:t>
            </w:r>
            <w:r w:rsidR="00B572AE">
              <w:rPr>
                <w:noProof/>
                <w:webHidden/>
              </w:rPr>
              <w:tab/>
            </w:r>
            <w:r w:rsidR="00B572AE">
              <w:rPr>
                <w:noProof/>
                <w:webHidden/>
              </w:rPr>
              <w:fldChar w:fldCharType="begin"/>
            </w:r>
            <w:r w:rsidR="00B572AE">
              <w:rPr>
                <w:noProof/>
                <w:webHidden/>
              </w:rPr>
              <w:instrText xml:space="preserve"> PAGEREF _Toc103680634 \h </w:instrText>
            </w:r>
            <w:r w:rsidR="00B572AE">
              <w:rPr>
                <w:noProof/>
                <w:webHidden/>
              </w:rPr>
            </w:r>
            <w:r w:rsidR="00B572AE">
              <w:rPr>
                <w:noProof/>
                <w:webHidden/>
              </w:rPr>
              <w:fldChar w:fldCharType="separate"/>
            </w:r>
            <w:r w:rsidR="00B572AE">
              <w:rPr>
                <w:noProof/>
                <w:webHidden/>
              </w:rPr>
              <w:t>153</w:t>
            </w:r>
            <w:r w:rsidR="00B572AE">
              <w:rPr>
                <w:noProof/>
                <w:webHidden/>
              </w:rPr>
              <w:fldChar w:fldCharType="end"/>
            </w:r>
          </w:hyperlink>
        </w:p>
        <w:p w14:paraId="219583C5" w14:textId="087E8244" w:rsidR="00B572AE" w:rsidRDefault="008A3D44">
          <w:pPr>
            <w:pStyle w:val="Sumrio4"/>
            <w:tabs>
              <w:tab w:val="left" w:pos="1320"/>
              <w:tab w:val="right" w:leader="dot" w:pos="9736"/>
            </w:tabs>
            <w:rPr>
              <w:rFonts w:asciiTheme="minorHAnsi" w:eastAsiaTheme="minorEastAsia" w:hAnsiTheme="minorHAnsi" w:cstheme="minorBidi"/>
              <w:noProof/>
              <w:sz w:val="22"/>
              <w:szCs w:val="22"/>
              <w:lang w:eastAsia="pt-BR" w:bidi="ar-SA"/>
            </w:rPr>
          </w:pPr>
          <w:hyperlink w:anchor="_Toc103680635" w:history="1">
            <w:r w:rsidR="00B572AE" w:rsidRPr="00764BE3">
              <w:rPr>
                <w:rStyle w:val="Hyperlink"/>
                <w:rFonts w:cstheme="minorHAnsi"/>
                <w:noProof/>
              </w:rPr>
              <w:t>5.3.4.1</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Composição e fluxo do ativo imobilizado:</w:t>
            </w:r>
            <w:r w:rsidR="00B572AE">
              <w:rPr>
                <w:noProof/>
                <w:webHidden/>
              </w:rPr>
              <w:tab/>
            </w:r>
            <w:r w:rsidR="00B572AE">
              <w:rPr>
                <w:noProof/>
                <w:webHidden/>
              </w:rPr>
              <w:fldChar w:fldCharType="begin"/>
            </w:r>
            <w:r w:rsidR="00B572AE">
              <w:rPr>
                <w:noProof/>
                <w:webHidden/>
              </w:rPr>
              <w:instrText xml:space="preserve"> PAGEREF _Toc103680635 \h </w:instrText>
            </w:r>
            <w:r w:rsidR="00B572AE">
              <w:rPr>
                <w:noProof/>
                <w:webHidden/>
              </w:rPr>
            </w:r>
            <w:r w:rsidR="00B572AE">
              <w:rPr>
                <w:noProof/>
                <w:webHidden/>
              </w:rPr>
              <w:fldChar w:fldCharType="separate"/>
            </w:r>
            <w:r w:rsidR="00B572AE">
              <w:rPr>
                <w:noProof/>
                <w:webHidden/>
              </w:rPr>
              <w:t>153</w:t>
            </w:r>
            <w:r w:rsidR="00B572AE">
              <w:rPr>
                <w:noProof/>
                <w:webHidden/>
              </w:rPr>
              <w:fldChar w:fldCharType="end"/>
            </w:r>
          </w:hyperlink>
        </w:p>
        <w:p w14:paraId="7FECECBD" w14:textId="0433FB0F" w:rsidR="00B572AE" w:rsidRDefault="008A3D44">
          <w:pPr>
            <w:pStyle w:val="Sumrio4"/>
            <w:tabs>
              <w:tab w:val="left" w:pos="1320"/>
              <w:tab w:val="right" w:leader="dot" w:pos="9736"/>
            </w:tabs>
            <w:rPr>
              <w:rFonts w:asciiTheme="minorHAnsi" w:eastAsiaTheme="minorEastAsia" w:hAnsiTheme="minorHAnsi" w:cstheme="minorBidi"/>
              <w:noProof/>
              <w:sz w:val="22"/>
              <w:szCs w:val="22"/>
              <w:lang w:eastAsia="pt-BR" w:bidi="ar-SA"/>
            </w:rPr>
          </w:pPr>
          <w:hyperlink w:anchor="_Toc103680636" w:history="1">
            <w:r w:rsidR="00B572AE" w:rsidRPr="00764BE3">
              <w:rPr>
                <w:rStyle w:val="Hyperlink"/>
                <w:rFonts w:cstheme="minorHAnsi"/>
                <w:noProof/>
              </w:rPr>
              <w:t>5.3.4.2</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Ferrovia Norte Sul (FNS)</w:t>
            </w:r>
            <w:r w:rsidR="00B572AE">
              <w:rPr>
                <w:noProof/>
                <w:webHidden/>
              </w:rPr>
              <w:tab/>
            </w:r>
            <w:r w:rsidR="00B572AE">
              <w:rPr>
                <w:noProof/>
                <w:webHidden/>
              </w:rPr>
              <w:fldChar w:fldCharType="begin"/>
            </w:r>
            <w:r w:rsidR="00B572AE">
              <w:rPr>
                <w:noProof/>
                <w:webHidden/>
              </w:rPr>
              <w:instrText xml:space="preserve"> PAGEREF _Toc103680636 \h </w:instrText>
            </w:r>
            <w:r w:rsidR="00B572AE">
              <w:rPr>
                <w:noProof/>
                <w:webHidden/>
              </w:rPr>
            </w:r>
            <w:r w:rsidR="00B572AE">
              <w:rPr>
                <w:noProof/>
                <w:webHidden/>
              </w:rPr>
              <w:fldChar w:fldCharType="separate"/>
            </w:r>
            <w:r w:rsidR="00B572AE">
              <w:rPr>
                <w:noProof/>
                <w:webHidden/>
              </w:rPr>
              <w:t>158</w:t>
            </w:r>
            <w:r w:rsidR="00B572AE">
              <w:rPr>
                <w:noProof/>
                <w:webHidden/>
              </w:rPr>
              <w:fldChar w:fldCharType="end"/>
            </w:r>
          </w:hyperlink>
        </w:p>
        <w:p w14:paraId="3F430486" w14:textId="65C61AA2" w:rsidR="00B572AE" w:rsidRDefault="008A3D44">
          <w:pPr>
            <w:pStyle w:val="Sumrio4"/>
            <w:tabs>
              <w:tab w:val="left" w:pos="1320"/>
              <w:tab w:val="right" w:leader="dot" w:pos="9736"/>
            </w:tabs>
            <w:rPr>
              <w:rFonts w:asciiTheme="minorHAnsi" w:eastAsiaTheme="minorEastAsia" w:hAnsiTheme="minorHAnsi" w:cstheme="minorBidi"/>
              <w:noProof/>
              <w:sz w:val="22"/>
              <w:szCs w:val="22"/>
              <w:lang w:eastAsia="pt-BR" w:bidi="ar-SA"/>
            </w:rPr>
          </w:pPr>
          <w:hyperlink w:anchor="_Toc103680637" w:history="1">
            <w:r w:rsidR="00B572AE" w:rsidRPr="00764BE3">
              <w:rPr>
                <w:rStyle w:val="Hyperlink"/>
                <w:rFonts w:cstheme="minorHAnsi"/>
                <w:noProof/>
              </w:rPr>
              <w:t>5.3.4.3</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Ferrovia de Integração Oeste Leste (FIOL)</w:t>
            </w:r>
            <w:r w:rsidR="00B572AE">
              <w:rPr>
                <w:noProof/>
                <w:webHidden/>
              </w:rPr>
              <w:tab/>
            </w:r>
            <w:r w:rsidR="00B572AE">
              <w:rPr>
                <w:noProof/>
                <w:webHidden/>
              </w:rPr>
              <w:fldChar w:fldCharType="begin"/>
            </w:r>
            <w:r w:rsidR="00B572AE">
              <w:rPr>
                <w:noProof/>
                <w:webHidden/>
              </w:rPr>
              <w:instrText xml:space="preserve"> PAGEREF _Toc103680637 \h </w:instrText>
            </w:r>
            <w:r w:rsidR="00B572AE">
              <w:rPr>
                <w:noProof/>
                <w:webHidden/>
              </w:rPr>
            </w:r>
            <w:r w:rsidR="00B572AE">
              <w:rPr>
                <w:noProof/>
                <w:webHidden/>
              </w:rPr>
              <w:fldChar w:fldCharType="separate"/>
            </w:r>
            <w:r w:rsidR="00B572AE">
              <w:rPr>
                <w:noProof/>
                <w:webHidden/>
              </w:rPr>
              <w:t>159</w:t>
            </w:r>
            <w:r w:rsidR="00B572AE">
              <w:rPr>
                <w:noProof/>
                <w:webHidden/>
              </w:rPr>
              <w:fldChar w:fldCharType="end"/>
            </w:r>
          </w:hyperlink>
        </w:p>
        <w:p w14:paraId="091157E2" w14:textId="13893045" w:rsidR="00B572AE" w:rsidRDefault="008A3D44">
          <w:pPr>
            <w:pStyle w:val="Sumrio4"/>
            <w:tabs>
              <w:tab w:val="left" w:pos="1320"/>
              <w:tab w:val="right" w:leader="dot" w:pos="9736"/>
            </w:tabs>
            <w:rPr>
              <w:rFonts w:asciiTheme="minorHAnsi" w:eastAsiaTheme="minorEastAsia" w:hAnsiTheme="minorHAnsi" w:cstheme="minorBidi"/>
              <w:noProof/>
              <w:sz w:val="22"/>
              <w:szCs w:val="22"/>
              <w:lang w:eastAsia="pt-BR" w:bidi="ar-SA"/>
            </w:rPr>
          </w:pPr>
          <w:hyperlink w:anchor="_Toc103680638" w:history="1">
            <w:r w:rsidR="00B572AE" w:rsidRPr="00764BE3">
              <w:rPr>
                <w:rStyle w:val="Hyperlink"/>
                <w:rFonts w:cstheme="minorHAnsi"/>
                <w:noProof/>
              </w:rPr>
              <w:t>5.3.4.4</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Investimento Cruzado</w:t>
            </w:r>
            <w:r w:rsidR="00B572AE">
              <w:rPr>
                <w:noProof/>
                <w:webHidden/>
              </w:rPr>
              <w:tab/>
            </w:r>
            <w:r w:rsidR="00B572AE">
              <w:rPr>
                <w:noProof/>
                <w:webHidden/>
              </w:rPr>
              <w:fldChar w:fldCharType="begin"/>
            </w:r>
            <w:r w:rsidR="00B572AE">
              <w:rPr>
                <w:noProof/>
                <w:webHidden/>
              </w:rPr>
              <w:instrText xml:space="preserve"> PAGEREF _Toc103680638 \h </w:instrText>
            </w:r>
            <w:r w:rsidR="00B572AE">
              <w:rPr>
                <w:noProof/>
                <w:webHidden/>
              </w:rPr>
            </w:r>
            <w:r w:rsidR="00B572AE">
              <w:rPr>
                <w:noProof/>
                <w:webHidden/>
              </w:rPr>
              <w:fldChar w:fldCharType="separate"/>
            </w:r>
            <w:r w:rsidR="00B572AE">
              <w:rPr>
                <w:noProof/>
                <w:webHidden/>
              </w:rPr>
              <w:t>159</w:t>
            </w:r>
            <w:r w:rsidR="00B572AE">
              <w:rPr>
                <w:noProof/>
                <w:webHidden/>
              </w:rPr>
              <w:fldChar w:fldCharType="end"/>
            </w:r>
          </w:hyperlink>
        </w:p>
        <w:p w14:paraId="79652C59" w14:textId="00D31B4D"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639" w:history="1">
            <w:r w:rsidR="00B572AE" w:rsidRPr="00764BE3">
              <w:rPr>
                <w:rStyle w:val="Hyperlink"/>
                <w:rFonts w:cstheme="minorHAnsi"/>
                <w:noProof/>
              </w:rPr>
              <w:t>5.3.5</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Intangível</w:t>
            </w:r>
            <w:r w:rsidR="00B572AE">
              <w:rPr>
                <w:noProof/>
                <w:webHidden/>
              </w:rPr>
              <w:tab/>
            </w:r>
            <w:r w:rsidR="00B572AE">
              <w:rPr>
                <w:noProof/>
                <w:webHidden/>
              </w:rPr>
              <w:fldChar w:fldCharType="begin"/>
            </w:r>
            <w:r w:rsidR="00B572AE">
              <w:rPr>
                <w:noProof/>
                <w:webHidden/>
              </w:rPr>
              <w:instrText xml:space="preserve"> PAGEREF _Toc103680639 \h </w:instrText>
            </w:r>
            <w:r w:rsidR="00B572AE">
              <w:rPr>
                <w:noProof/>
                <w:webHidden/>
              </w:rPr>
            </w:r>
            <w:r w:rsidR="00B572AE">
              <w:rPr>
                <w:noProof/>
                <w:webHidden/>
              </w:rPr>
              <w:fldChar w:fldCharType="separate"/>
            </w:r>
            <w:r w:rsidR="00B572AE">
              <w:rPr>
                <w:noProof/>
                <w:webHidden/>
              </w:rPr>
              <w:t>161</w:t>
            </w:r>
            <w:r w:rsidR="00B572AE">
              <w:rPr>
                <w:noProof/>
                <w:webHidden/>
              </w:rPr>
              <w:fldChar w:fldCharType="end"/>
            </w:r>
          </w:hyperlink>
        </w:p>
        <w:p w14:paraId="39635BD4" w14:textId="5035EB2E"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640" w:history="1">
            <w:r w:rsidR="00B572AE" w:rsidRPr="00764BE3">
              <w:rPr>
                <w:rStyle w:val="Hyperlink"/>
                <w:rFonts w:cstheme="minorHAnsi"/>
                <w:noProof/>
              </w:rPr>
              <w:t>5.3.6</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Obrigações de curto e longo prazo</w:t>
            </w:r>
            <w:r w:rsidR="00B572AE">
              <w:rPr>
                <w:noProof/>
                <w:webHidden/>
              </w:rPr>
              <w:tab/>
            </w:r>
            <w:r w:rsidR="00B572AE">
              <w:rPr>
                <w:noProof/>
                <w:webHidden/>
              </w:rPr>
              <w:fldChar w:fldCharType="begin"/>
            </w:r>
            <w:r w:rsidR="00B572AE">
              <w:rPr>
                <w:noProof/>
                <w:webHidden/>
              </w:rPr>
              <w:instrText xml:space="preserve"> PAGEREF _Toc103680640 \h </w:instrText>
            </w:r>
            <w:r w:rsidR="00B572AE">
              <w:rPr>
                <w:noProof/>
                <w:webHidden/>
              </w:rPr>
            </w:r>
            <w:r w:rsidR="00B572AE">
              <w:rPr>
                <w:noProof/>
                <w:webHidden/>
              </w:rPr>
              <w:fldChar w:fldCharType="separate"/>
            </w:r>
            <w:r w:rsidR="00B572AE">
              <w:rPr>
                <w:noProof/>
                <w:webHidden/>
              </w:rPr>
              <w:t>161</w:t>
            </w:r>
            <w:r w:rsidR="00B572AE">
              <w:rPr>
                <w:noProof/>
                <w:webHidden/>
              </w:rPr>
              <w:fldChar w:fldCharType="end"/>
            </w:r>
          </w:hyperlink>
        </w:p>
        <w:p w14:paraId="33C6937B" w14:textId="34827731" w:rsidR="00B572AE" w:rsidRDefault="008A3D44">
          <w:pPr>
            <w:pStyle w:val="Sumrio4"/>
            <w:tabs>
              <w:tab w:val="left" w:pos="1320"/>
              <w:tab w:val="right" w:leader="dot" w:pos="9736"/>
            </w:tabs>
            <w:rPr>
              <w:rFonts w:asciiTheme="minorHAnsi" w:eastAsiaTheme="minorEastAsia" w:hAnsiTheme="minorHAnsi" w:cstheme="minorBidi"/>
              <w:noProof/>
              <w:sz w:val="22"/>
              <w:szCs w:val="22"/>
              <w:lang w:eastAsia="pt-BR" w:bidi="ar-SA"/>
            </w:rPr>
          </w:pPr>
          <w:hyperlink w:anchor="_Toc103680641" w:history="1">
            <w:r w:rsidR="00B572AE" w:rsidRPr="00764BE3">
              <w:rPr>
                <w:rStyle w:val="Hyperlink"/>
                <w:rFonts w:cstheme="minorHAnsi"/>
                <w:noProof/>
              </w:rPr>
              <w:t>5.3.6.1</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Depósitos retidos sobre fornecedores</w:t>
            </w:r>
            <w:r w:rsidR="00B572AE">
              <w:rPr>
                <w:noProof/>
                <w:webHidden/>
              </w:rPr>
              <w:tab/>
            </w:r>
            <w:r w:rsidR="00B572AE">
              <w:rPr>
                <w:noProof/>
                <w:webHidden/>
              </w:rPr>
              <w:fldChar w:fldCharType="begin"/>
            </w:r>
            <w:r w:rsidR="00B572AE">
              <w:rPr>
                <w:noProof/>
                <w:webHidden/>
              </w:rPr>
              <w:instrText xml:space="preserve"> PAGEREF _Toc103680641 \h </w:instrText>
            </w:r>
            <w:r w:rsidR="00B572AE">
              <w:rPr>
                <w:noProof/>
                <w:webHidden/>
              </w:rPr>
            </w:r>
            <w:r w:rsidR="00B572AE">
              <w:rPr>
                <w:noProof/>
                <w:webHidden/>
              </w:rPr>
              <w:fldChar w:fldCharType="separate"/>
            </w:r>
            <w:r w:rsidR="00B572AE">
              <w:rPr>
                <w:noProof/>
                <w:webHidden/>
              </w:rPr>
              <w:t>162</w:t>
            </w:r>
            <w:r w:rsidR="00B572AE">
              <w:rPr>
                <w:noProof/>
                <w:webHidden/>
              </w:rPr>
              <w:fldChar w:fldCharType="end"/>
            </w:r>
          </w:hyperlink>
        </w:p>
        <w:p w14:paraId="6414A9C0" w14:textId="688CFB5A" w:rsidR="00B572AE" w:rsidRDefault="008A3D44">
          <w:pPr>
            <w:pStyle w:val="Sumrio4"/>
            <w:tabs>
              <w:tab w:val="left" w:pos="1320"/>
              <w:tab w:val="right" w:leader="dot" w:pos="9736"/>
            </w:tabs>
            <w:rPr>
              <w:rFonts w:asciiTheme="minorHAnsi" w:eastAsiaTheme="minorEastAsia" w:hAnsiTheme="minorHAnsi" w:cstheme="minorBidi"/>
              <w:noProof/>
              <w:sz w:val="22"/>
              <w:szCs w:val="22"/>
              <w:lang w:eastAsia="pt-BR" w:bidi="ar-SA"/>
            </w:rPr>
          </w:pPr>
          <w:hyperlink w:anchor="_Toc103680642" w:history="1">
            <w:r w:rsidR="00B572AE" w:rsidRPr="00764BE3">
              <w:rPr>
                <w:rStyle w:val="Hyperlink"/>
                <w:rFonts w:cstheme="minorHAnsi"/>
                <w:noProof/>
              </w:rPr>
              <w:t>5.3.6.2</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Precatórios de terceiros</w:t>
            </w:r>
            <w:r w:rsidR="00B572AE">
              <w:rPr>
                <w:noProof/>
                <w:webHidden/>
              </w:rPr>
              <w:tab/>
            </w:r>
            <w:r w:rsidR="00B572AE">
              <w:rPr>
                <w:noProof/>
                <w:webHidden/>
              </w:rPr>
              <w:fldChar w:fldCharType="begin"/>
            </w:r>
            <w:r w:rsidR="00B572AE">
              <w:rPr>
                <w:noProof/>
                <w:webHidden/>
              </w:rPr>
              <w:instrText xml:space="preserve"> PAGEREF _Toc103680642 \h </w:instrText>
            </w:r>
            <w:r w:rsidR="00B572AE">
              <w:rPr>
                <w:noProof/>
                <w:webHidden/>
              </w:rPr>
            </w:r>
            <w:r w:rsidR="00B572AE">
              <w:rPr>
                <w:noProof/>
                <w:webHidden/>
              </w:rPr>
              <w:fldChar w:fldCharType="separate"/>
            </w:r>
            <w:r w:rsidR="00B572AE">
              <w:rPr>
                <w:noProof/>
                <w:webHidden/>
              </w:rPr>
              <w:t>162</w:t>
            </w:r>
            <w:r w:rsidR="00B572AE">
              <w:rPr>
                <w:noProof/>
                <w:webHidden/>
              </w:rPr>
              <w:fldChar w:fldCharType="end"/>
            </w:r>
          </w:hyperlink>
        </w:p>
        <w:p w14:paraId="07C12350" w14:textId="2E832701" w:rsidR="00B572AE" w:rsidRDefault="008A3D44">
          <w:pPr>
            <w:pStyle w:val="Sumrio4"/>
            <w:tabs>
              <w:tab w:val="left" w:pos="1320"/>
              <w:tab w:val="right" w:leader="dot" w:pos="9736"/>
            </w:tabs>
            <w:rPr>
              <w:rFonts w:asciiTheme="minorHAnsi" w:eastAsiaTheme="minorEastAsia" w:hAnsiTheme="minorHAnsi" w:cstheme="minorBidi"/>
              <w:noProof/>
              <w:sz w:val="22"/>
              <w:szCs w:val="22"/>
              <w:lang w:eastAsia="pt-BR" w:bidi="ar-SA"/>
            </w:rPr>
          </w:pPr>
          <w:hyperlink w:anchor="_Toc103680643" w:history="1">
            <w:r w:rsidR="00B572AE" w:rsidRPr="00764BE3">
              <w:rPr>
                <w:rStyle w:val="Hyperlink"/>
                <w:rFonts w:cstheme="minorHAnsi"/>
                <w:noProof/>
              </w:rPr>
              <w:t>5.3.6.3</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Provisões de ações judiciais</w:t>
            </w:r>
            <w:r w:rsidR="00B572AE">
              <w:rPr>
                <w:noProof/>
                <w:webHidden/>
              </w:rPr>
              <w:tab/>
            </w:r>
            <w:r w:rsidR="00B572AE">
              <w:rPr>
                <w:noProof/>
                <w:webHidden/>
              </w:rPr>
              <w:fldChar w:fldCharType="begin"/>
            </w:r>
            <w:r w:rsidR="00B572AE">
              <w:rPr>
                <w:noProof/>
                <w:webHidden/>
              </w:rPr>
              <w:instrText xml:space="preserve"> PAGEREF _Toc103680643 \h </w:instrText>
            </w:r>
            <w:r w:rsidR="00B572AE">
              <w:rPr>
                <w:noProof/>
                <w:webHidden/>
              </w:rPr>
            </w:r>
            <w:r w:rsidR="00B572AE">
              <w:rPr>
                <w:noProof/>
                <w:webHidden/>
              </w:rPr>
              <w:fldChar w:fldCharType="separate"/>
            </w:r>
            <w:r w:rsidR="00B572AE">
              <w:rPr>
                <w:noProof/>
                <w:webHidden/>
              </w:rPr>
              <w:t>162</w:t>
            </w:r>
            <w:r w:rsidR="00B572AE">
              <w:rPr>
                <w:noProof/>
                <w:webHidden/>
              </w:rPr>
              <w:fldChar w:fldCharType="end"/>
            </w:r>
          </w:hyperlink>
        </w:p>
        <w:p w14:paraId="17747182" w14:textId="6BF84C1E"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644" w:history="1">
            <w:r w:rsidR="00B572AE" w:rsidRPr="00764BE3">
              <w:rPr>
                <w:rStyle w:val="Hyperlink"/>
                <w:rFonts w:cstheme="minorHAnsi"/>
                <w:noProof/>
              </w:rPr>
              <w:t>5.3.7</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Receita a diferir</w:t>
            </w:r>
            <w:r w:rsidR="00B572AE">
              <w:rPr>
                <w:noProof/>
                <w:webHidden/>
              </w:rPr>
              <w:tab/>
            </w:r>
            <w:r w:rsidR="00B572AE">
              <w:rPr>
                <w:noProof/>
                <w:webHidden/>
              </w:rPr>
              <w:fldChar w:fldCharType="begin"/>
            </w:r>
            <w:r w:rsidR="00B572AE">
              <w:rPr>
                <w:noProof/>
                <w:webHidden/>
              </w:rPr>
              <w:instrText xml:space="preserve"> PAGEREF _Toc103680644 \h </w:instrText>
            </w:r>
            <w:r w:rsidR="00B572AE">
              <w:rPr>
                <w:noProof/>
                <w:webHidden/>
              </w:rPr>
            </w:r>
            <w:r w:rsidR="00B572AE">
              <w:rPr>
                <w:noProof/>
                <w:webHidden/>
              </w:rPr>
              <w:fldChar w:fldCharType="separate"/>
            </w:r>
            <w:r w:rsidR="00B572AE">
              <w:rPr>
                <w:noProof/>
                <w:webHidden/>
              </w:rPr>
              <w:t>167</w:t>
            </w:r>
            <w:r w:rsidR="00B572AE">
              <w:rPr>
                <w:noProof/>
                <w:webHidden/>
              </w:rPr>
              <w:fldChar w:fldCharType="end"/>
            </w:r>
          </w:hyperlink>
        </w:p>
        <w:p w14:paraId="6933399A" w14:textId="6ED9D4B8" w:rsidR="00B572AE" w:rsidRDefault="008A3D44">
          <w:pPr>
            <w:pStyle w:val="Sumrio4"/>
            <w:tabs>
              <w:tab w:val="left" w:pos="1320"/>
              <w:tab w:val="right" w:leader="dot" w:pos="9736"/>
            </w:tabs>
            <w:rPr>
              <w:rFonts w:asciiTheme="minorHAnsi" w:eastAsiaTheme="minorEastAsia" w:hAnsiTheme="minorHAnsi" w:cstheme="minorBidi"/>
              <w:noProof/>
              <w:sz w:val="22"/>
              <w:szCs w:val="22"/>
              <w:lang w:eastAsia="pt-BR" w:bidi="ar-SA"/>
            </w:rPr>
          </w:pPr>
          <w:hyperlink w:anchor="_Toc103680645" w:history="1">
            <w:r w:rsidR="00B572AE" w:rsidRPr="00764BE3">
              <w:rPr>
                <w:rStyle w:val="Hyperlink"/>
                <w:rFonts w:cstheme="minorHAnsi"/>
                <w:noProof/>
              </w:rPr>
              <w:t>5.3.7.1</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Receita a diferir – pátios e terminais</w:t>
            </w:r>
            <w:r w:rsidR="00B572AE">
              <w:rPr>
                <w:noProof/>
                <w:webHidden/>
              </w:rPr>
              <w:tab/>
            </w:r>
            <w:r w:rsidR="00B572AE">
              <w:rPr>
                <w:noProof/>
                <w:webHidden/>
              </w:rPr>
              <w:fldChar w:fldCharType="begin"/>
            </w:r>
            <w:r w:rsidR="00B572AE">
              <w:rPr>
                <w:noProof/>
                <w:webHidden/>
              </w:rPr>
              <w:instrText xml:space="preserve"> PAGEREF _Toc103680645 \h </w:instrText>
            </w:r>
            <w:r w:rsidR="00B572AE">
              <w:rPr>
                <w:noProof/>
                <w:webHidden/>
              </w:rPr>
            </w:r>
            <w:r w:rsidR="00B572AE">
              <w:rPr>
                <w:noProof/>
                <w:webHidden/>
              </w:rPr>
              <w:fldChar w:fldCharType="separate"/>
            </w:r>
            <w:r w:rsidR="00B572AE">
              <w:rPr>
                <w:noProof/>
                <w:webHidden/>
              </w:rPr>
              <w:t>167</w:t>
            </w:r>
            <w:r w:rsidR="00B572AE">
              <w:rPr>
                <w:noProof/>
                <w:webHidden/>
              </w:rPr>
              <w:fldChar w:fldCharType="end"/>
            </w:r>
          </w:hyperlink>
        </w:p>
        <w:p w14:paraId="6D35BDAE" w14:textId="4B2FC9C2" w:rsidR="00B572AE" w:rsidRDefault="008A3D44">
          <w:pPr>
            <w:pStyle w:val="Sumrio4"/>
            <w:tabs>
              <w:tab w:val="left" w:pos="1320"/>
              <w:tab w:val="right" w:leader="dot" w:pos="9736"/>
            </w:tabs>
            <w:rPr>
              <w:rFonts w:asciiTheme="minorHAnsi" w:eastAsiaTheme="minorEastAsia" w:hAnsiTheme="minorHAnsi" w:cstheme="minorBidi"/>
              <w:noProof/>
              <w:sz w:val="22"/>
              <w:szCs w:val="22"/>
              <w:lang w:eastAsia="pt-BR" w:bidi="ar-SA"/>
            </w:rPr>
          </w:pPr>
          <w:hyperlink w:anchor="_Toc103680646" w:history="1">
            <w:r w:rsidR="00B572AE" w:rsidRPr="00764BE3">
              <w:rPr>
                <w:rStyle w:val="Hyperlink"/>
                <w:rFonts w:cstheme="minorHAnsi"/>
                <w:noProof/>
              </w:rPr>
              <w:t>5.3.7.2</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Receita e diferir – subconcessão – FIOL I</w:t>
            </w:r>
            <w:r w:rsidR="00B572AE">
              <w:rPr>
                <w:noProof/>
                <w:webHidden/>
              </w:rPr>
              <w:tab/>
            </w:r>
            <w:r w:rsidR="00B572AE">
              <w:rPr>
                <w:noProof/>
                <w:webHidden/>
              </w:rPr>
              <w:fldChar w:fldCharType="begin"/>
            </w:r>
            <w:r w:rsidR="00B572AE">
              <w:rPr>
                <w:noProof/>
                <w:webHidden/>
              </w:rPr>
              <w:instrText xml:space="preserve"> PAGEREF _Toc103680646 \h </w:instrText>
            </w:r>
            <w:r w:rsidR="00B572AE">
              <w:rPr>
                <w:noProof/>
                <w:webHidden/>
              </w:rPr>
            </w:r>
            <w:r w:rsidR="00B572AE">
              <w:rPr>
                <w:noProof/>
                <w:webHidden/>
              </w:rPr>
              <w:fldChar w:fldCharType="separate"/>
            </w:r>
            <w:r w:rsidR="00B572AE">
              <w:rPr>
                <w:noProof/>
                <w:webHidden/>
              </w:rPr>
              <w:t>168</w:t>
            </w:r>
            <w:r w:rsidR="00B572AE">
              <w:rPr>
                <w:noProof/>
                <w:webHidden/>
              </w:rPr>
              <w:fldChar w:fldCharType="end"/>
            </w:r>
          </w:hyperlink>
        </w:p>
        <w:p w14:paraId="41BABC43" w14:textId="2E37C3F1"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647" w:history="1">
            <w:r w:rsidR="00B572AE" w:rsidRPr="00764BE3">
              <w:rPr>
                <w:rStyle w:val="Hyperlink"/>
                <w:rFonts w:cstheme="minorHAnsi"/>
                <w:noProof/>
              </w:rPr>
              <w:t>5.3.8</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Passivo investimento cruzado</w:t>
            </w:r>
            <w:r w:rsidR="00B572AE">
              <w:rPr>
                <w:noProof/>
                <w:webHidden/>
              </w:rPr>
              <w:tab/>
            </w:r>
            <w:r w:rsidR="00B572AE">
              <w:rPr>
                <w:noProof/>
                <w:webHidden/>
              </w:rPr>
              <w:fldChar w:fldCharType="begin"/>
            </w:r>
            <w:r w:rsidR="00B572AE">
              <w:rPr>
                <w:noProof/>
                <w:webHidden/>
              </w:rPr>
              <w:instrText xml:space="preserve"> PAGEREF _Toc103680647 \h </w:instrText>
            </w:r>
            <w:r w:rsidR="00B572AE">
              <w:rPr>
                <w:noProof/>
                <w:webHidden/>
              </w:rPr>
            </w:r>
            <w:r w:rsidR="00B572AE">
              <w:rPr>
                <w:noProof/>
                <w:webHidden/>
              </w:rPr>
              <w:fldChar w:fldCharType="separate"/>
            </w:r>
            <w:r w:rsidR="00B572AE">
              <w:rPr>
                <w:noProof/>
                <w:webHidden/>
              </w:rPr>
              <w:t>169</w:t>
            </w:r>
            <w:r w:rsidR="00B572AE">
              <w:rPr>
                <w:noProof/>
                <w:webHidden/>
              </w:rPr>
              <w:fldChar w:fldCharType="end"/>
            </w:r>
          </w:hyperlink>
        </w:p>
        <w:p w14:paraId="33D54084" w14:textId="74FA8EB7"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648" w:history="1">
            <w:r w:rsidR="00B572AE" w:rsidRPr="00764BE3">
              <w:rPr>
                <w:rStyle w:val="Hyperlink"/>
                <w:rFonts w:cstheme="minorHAnsi"/>
                <w:noProof/>
              </w:rPr>
              <w:t>5.3.9</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Direitos de uso e passivos de arrendamentos</w:t>
            </w:r>
            <w:r w:rsidR="00B572AE">
              <w:rPr>
                <w:noProof/>
                <w:webHidden/>
              </w:rPr>
              <w:tab/>
            </w:r>
            <w:r w:rsidR="00B572AE">
              <w:rPr>
                <w:noProof/>
                <w:webHidden/>
              </w:rPr>
              <w:fldChar w:fldCharType="begin"/>
            </w:r>
            <w:r w:rsidR="00B572AE">
              <w:rPr>
                <w:noProof/>
                <w:webHidden/>
              </w:rPr>
              <w:instrText xml:space="preserve"> PAGEREF _Toc103680648 \h </w:instrText>
            </w:r>
            <w:r w:rsidR="00B572AE">
              <w:rPr>
                <w:noProof/>
                <w:webHidden/>
              </w:rPr>
            </w:r>
            <w:r w:rsidR="00B572AE">
              <w:rPr>
                <w:noProof/>
                <w:webHidden/>
              </w:rPr>
              <w:fldChar w:fldCharType="separate"/>
            </w:r>
            <w:r w:rsidR="00B572AE">
              <w:rPr>
                <w:noProof/>
                <w:webHidden/>
              </w:rPr>
              <w:t>169</w:t>
            </w:r>
            <w:r w:rsidR="00B572AE">
              <w:rPr>
                <w:noProof/>
                <w:webHidden/>
              </w:rPr>
              <w:fldChar w:fldCharType="end"/>
            </w:r>
          </w:hyperlink>
        </w:p>
        <w:p w14:paraId="1718CA31" w14:textId="491EA346" w:rsidR="00B572AE" w:rsidRDefault="008A3D44">
          <w:pPr>
            <w:pStyle w:val="Sumrio3"/>
            <w:tabs>
              <w:tab w:val="left" w:pos="1100"/>
              <w:tab w:val="right" w:leader="dot" w:pos="9736"/>
            </w:tabs>
            <w:rPr>
              <w:rFonts w:asciiTheme="minorHAnsi" w:eastAsiaTheme="minorEastAsia" w:hAnsiTheme="minorHAnsi" w:cstheme="minorBidi"/>
              <w:noProof/>
              <w:sz w:val="22"/>
              <w:szCs w:val="22"/>
              <w:lang w:eastAsia="pt-BR" w:bidi="ar-SA"/>
            </w:rPr>
          </w:pPr>
          <w:hyperlink w:anchor="_Toc103680649" w:history="1">
            <w:r w:rsidR="00B572AE" w:rsidRPr="00764BE3">
              <w:rPr>
                <w:rStyle w:val="Hyperlink"/>
                <w:rFonts w:cstheme="minorHAnsi"/>
                <w:noProof/>
              </w:rPr>
              <w:t>5.3.10</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Patrimônio líquido</w:t>
            </w:r>
            <w:r w:rsidR="00B572AE">
              <w:rPr>
                <w:noProof/>
                <w:webHidden/>
              </w:rPr>
              <w:tab/>
            </w:r>
            <w:r w:rsidR="00B572AE">
              <w:rPr>
                <w:noProof/>
                <w:webHidden/>
              </w:rPr>
              <w:fldChar w:fldCharType="begin"/>
            </w:r>
            <w:r w:rsidR="00B572AE">
              <w:rPr>
                <w:noProof/>
                <w:webHidden/>
              </w:rPr>
              <w:instrText xml:space="preserve"> PAGEREF _Toc103680649 \h </w:instrText>
            </w:r>
            <w:r w:rsidR="00B572AE">
              <w:rPr>
                <w:noProof/>
                <w:webHidden/>
              </w:rPr>
            </w:r>
            <w:r w:rsidR="00B572AE">
              <w:rPr>
                <w:noProof/>
                <w:webHidden/>
              </w:rPr>
              <w:fldChar w:fldCharType="separate"/>
            </w:r>
            <w:r w:rsidR="00B572AE">
              <w:rPr>
                <w:noProof/>
                <w:webHidden/>
              </w:rPr>
              <w:t>170</w:t>
            </w:r>
            <w:r w:rsidR="00B572AE">
              <w:rPr>
                <w:noProof/>
                <w:webHidden/>
              </w:rPr>
              <w:fldChar w:fldCharType="end"/>
            </w:r>
          </w:hyperlink>
        </w:p>
        <w:p w14:paraId="2D118328" w14:textId="027D9DFB" w:rsidR="00B572AE" w:rsidRDefault="008A3D44">
          <w:pPr>
            <w:pStyle w:val="Sumrio4"/>
            <w:tabs>
              <w:tab w:val="left" w:pos="1320"/>
              <w:tab w:val="right" w:leader="dot" w:pos="9736"/>
            </w:tabs>
            <w:rPr>
              <w:rFonts w:asciiTheme="minorHAnsi" w:eastAsiaTheme="minorEastAsia" w:hAnsiTheme="minorHAnsi" w:cstheme="minorBidi"/>
              <w:noProof/>
              <w:sz w:val="22"/>
              <w:szCs w:val="22"/>
              <w:lang w:eastAsia="pt-BR" w:bidi="ar-SA"/>
            </w:rPr>
          </w:pPr>
          <w:hyperlink w:anchor="_Toc103680650" w:history="1">
            <w:r w:rsidR="00B572AE" w:rsidRPr="00764BE3">
              <w:rPr>
                <w:rStyle w:val="Hyperlink"/>
                <w:rFonts w:cstheme="minorHAnsi"/>
                <w:noProof/>
              </w:rPr>
              <w:t>5.3.10.1</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Capital social</w:t>
            </w:r>
            <w:r w:rsidR="00B572AE">
              <w:rPr>
                <w:noProof/>
                <w:webHidden/>
              </w:rPr>
              <w:tab/>
            </w:r>
            <w:r w:rsidR="00B572AE">
              <w:rPr>
                <w:noProof/>
                <w:webHidden/>
              </w:rPr>
              <w:fldChar w:fldCharType="begin"/>
            </w:r>
            <w:r w:rsidR="00B572AE">
              <w:rPr>
                <w:noProof/>
                <w:webHidden/>
              </w:rPr>
              <w:instrText xml:space="preserve"> PAGEREF _Toc103680650 \h </w:instrText>
            </w:r>
            <w:r w:rsidR="00B572AE">
              <w:rPr>
                <w:noProof/>
                <w:webHidden/>
              </w:rPr>
            </w:r>
            <w:r w:rsidR="00B572AE">
              <w:rPr>
                <w:noProof/>
                <w:webHidden/>
              </w:rPr>
              <w:fldChar w:fldCharType="separate"/>
            </w:r>
            <w:r w:rsidR="00B572AE">
              <w:rPr>
                <w:noProof/>
                <w:webHidden/>
              </w:rPr>
              <w:t>170</w:t>
            </w:r>
            <w:r w:rsidR="00B572AE">
              <w:rPr>
                <w:noProof/>
                <w:webHidden/>
              </w:rPr>
              <w:fldChar w:fldCharType="end"/>
            </w:r>
          </w:hyperlink>
        </w:p>
        <w:p w14:paraId="13E168B4" w14:textId="50C43CB0" w:rsidR="00B572AE" w:rsidRDefault="008A3D44">
          <w:pPr>
            <w:pStyle w:val="Sumrio4"/>
            <w:tabs>
              <w:tab w:val="left" w:pos="1320"/>
              <w:tab w:val="right" w:leader="dot" w:pos="9736"/>
            </w:tabs>
            <w:rPr>
              <w:rFonts w:asciiTheme="minorHAnsi" w:eastAsiaTheme="minorEastAsia" w:hAnsiTheme="minorHAnsi" w:cstheme="minorBidi"/>
              <w:noProof/>
              <w:sz w:val="22"/>
              <w:szCs w:val="22"/>
              <w:lang w:eastAsia="pt-BR" w:bidi="ar-SA"/>
            </w:rPr>
          </w:pPr>
          <w:hyperlink w:anchor="_Toc103680651" w:history="1">
            <w:r w:rsidR="00B572AE" w:rsidRPr="00764BE3">
              <w:rPr>
                <w:rStyle w:val="Hyperlink"/>
                <w:rFonts w:cstheme="minorHAnsi"/>
                <w:noProof/>
              </w:rPr>
              <w:t>5.3.10.2</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Adiantamento para Futuro Aumento de Capital – AFAC</w:t>
            </w:r>
            <w:r w:rsidR="00B572AE">
              <w:rPr>
                <w:noProof/>
                <w:webHidden/>
              </w:rPr>
              <w:tab/>
            </w:r>
            <w:r w:rsidR="00B572AE">
              <w:rPr>
                <w:noProof/>
                <w:webHidden/>
              </w:rPr>
              <w:fldChar w:fldCharType="begin"/>
            </w:r>
            <w:r w:rsidR="00B572AE">
              <w:rPr>
                <w:noProof/>
                <w:webHidden/>
              </w:rPr>
              <w:instrText xml:space="preserve"> PAGEREF _Toc103680651 \h </w:instrText>
            </w:r>
            <w:r w:rsidR="00B572AE">
              <w:rPr>
                <w:noProof/>
                <w:webHidden/>
              </w:rPr>
            </w:r>
            <w:r w:rsidR="00B572AE">
              <w:rPr>
                <w:noProof/>
                <w:webHidden/>
              </w:rPr>
              <w:fldChar w:fldCharType="separate"/>
            </w:r>
            <w:r w:rsidR="00B572AE">
              <w:rPr>
                <w:noProof/>
                <w:webHidden/>
              </w:rPr>
              <w:t>170</w:t>
            </w:r>
            <w:r w:rsidR="00B572AE">
              <w:rPr>
                <w:noProof/>
                <w:webHidden/>
              </w:rPr>
              <w:fldChar w:fldCharType="end"/>
            </w:r>
          </w:hyperlink>
        </w:p>
        <w:p w14:paraId="497A8CB1" w14:textId="16793413" w:rsidR="00B572AE" w:rsidRDefault="008A3D44">
          <w:pPr>
            <w:pStyle w:val="Sumrio4"/>
            <w:tabs>
              <w:tab w:val="left" w:pos="1320"/>
              <w:tab w:val="right" w:leader="dot" w:pos="9736"/>
            </w:tabs>
            <w:rPr>
              <w:rFonts w:asciiTheme="minorHAnsi" w:eastAsiaTheme="minorEastAsia" w:hAnsiTheme="minorHAnsi" w:cstheme="minorBidi"/>
              <w:noProof/>
              <w:sz w:val="22"/>
              <w:szCs w:val="22"/>
              <w:lang w:eastAsia="pt-BR" w:bidi="ar-SA"/>
            </w:rPr>
          </w:pPr>
          <w:hyperlink w:anchor="_Toc103680652" w:history="1">
            <w:r w:rsidR="00B572AE" w:rsidRPr="00764BE3">
              <w:rPr>
                <w:rStyle w:val="Hyperlink"/>
                <w:rFonts w:cstheme="minorHAnsi"/>
                <w:noProof/>
              </w:rPr>
              <w:t>5.3.10.3</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Prejuízos acumulados</w:t>
            </w:r>
            <w:r w:rsidR="00B572AE">
              <w:rPr>
                <w:noProof/>
                <w:webHidden/>
              </w:rPr>
              <w:tab/>
            </w:r>
            <w:r w:rsidR="00B572AE">
              <w:rPr>
                <w:noProof/>
                <w:webHidden/>
              </w:rPr>
              <w:fldChar w:fldCharType="begin"/>
            </w:r>
            <w:r w:rsidR="00B572AE">
              <w:rPr>
                <w:noProof/>
                <w:webHidden/>
              </w:rPr>
              <w:instrText xml:space="preserve"> PAGEREF _Toc103680652 \h </w:instrText>
            </w:r>
            <w:r w:rsidR="00B572AE">
              <w:rPr>
                <w:noProof/>
                <w:webHidden/>
              </w:rPr>
            </w:r>
            <w:r w:rsidR="00B572AE">
              <w:rPr>
                <w:noProof/>
                <w:webHidden/>
              </w:rPr>
              <w:fldChar w:fldCharType="separate"/>
            </w:r>
            <w:r w:rsidR="00B572AE">
              <w:rPr>
                <w:noProof/>
                <w:webHidden/>
              </w:rPr>
              <w:t>171</w:t>
            </w:r>
            <w:r w:rsidR="00B572AE">
              <w:rPr>
                <w:noProof/>
                <w:webHidden/>
              </w:rPr>
              <w:fldChar w:fldCharType="end"/>
            </w:r>
          </w:hyperlink>
        </w:p>
        <w:p w14:paraId="7D745131" w14:textId="0AFD5B6C" w:rsidR="00B572AE" w:rsidRDefault="008A3D44">
          <w:pPr>
            <w:pStyle w:val="Sumrio2"/>
            <w:tabs>
              <w:tab w:val="left" w:pos="660"/>
              <w:tab w:val="right" w:leader="dot" w:pos="9736"/>
            </w:tabs>
            <w:rPr>
              <w:rFonts w:asciiTheme="minorHAnsi" w:eastAsiaTheme="minorEastAsia" w:hAnsiTheme="minorHAnsi" w:cstheme="minorBidi"/>
              <w:b w:val="0"/>
              <w:bCs w:val="0"/>
              <w:noProof/>
              <w:sz w:val="22"/>
              <w:szCs w:val="22"/>
              <w:lang w:eastAsia="pt-BR" w:bidi="ar-SA"/>
            </w:rPr>
          </w:pPr>
          <w:hyperlink w:anchor="_Toc103680653" w:history="1">
            <w:r w:rsidR="00B572AE" w:rsidRPr="00764BE3">
              <w:rPr>
                <w:rStyle w:val="Hyperlink"/>
                <w:noProof/>
              </w:rPr>
              <w:t>5.4</w:t>
            </w:r>
            <w:r w:rsidR="00B572AE">
              <w:rPr>
                <w:rFonts w:asciiTheme="minorHAnsi" w:eastAsiaTheme="minorEastAsia" w:hAnsiTheme="minorHAnsi" w:cstheme="minorBidi"/>
                <w:b w:val="0"/>
                <w:bCs w:val="0"/>
                <w:noProof/>
                <w:sz w:val="22"/>
                <w:szCs w:val="22"/>
                <w:lang w:eastAsia="pt-BR" w:bidi="ar-SA"/>
              </w:rPr>
              <w:tab/>
            </w:r>
            <w:r w:rsidR="00B572AE" w:rsidRPr="00764BE3">
              <w:rPr>
                <w:rStyle w:val="Hyperlink"/>
                <w:noProof/>
              </w:rPr>
              <w:t>Principais contas de resultados</w:t>
            </w:r>
            <w:r w:rsidR="00B572AE">
              <w:rPr>
                <w:noProof/>
                <w:webHidden/>
              </w:rPr>
              <w:tab/>
            </w:r>
            <w:r w:rsidR="00B572AE">
              <w:rPr>
                <w:noProof/>
                <w:webHidden/>
              </w:rPr>
              <w:fldChar w:fldCharType="begin"/>
            </w:r>
            <w:r w:rsidR="00B572AE">
              <w:rPr>
                <w:noProof/>
                <w:webHidden/>
              </w:rPr>
              <w:instrText xml:space="preserve"> PAGEREF _Toc103680653 \h </w:instrText>
            </w:r>
            <w:r w:rsidR="00B572AE">
              <w:rPr>
                <w:noProof/>
                <w:webHidden/>
              </w:rPr>
            </w:r>
            <w:r w:rsidR="00B572AE">
              <w:rPr>
                <w:noProof/>
                <w:webHidden/>
              </w:rPr>
              <w:fldChar w:fldCharType="separate"/>
            </w:r>
            <w:r w:rsidR="00B572AE">
              <w:rPr>
                <w:noProof/>
                <w:webHidden/>
              </w:rPr>
              <w:t>171</w:t>
            </w:r>
            <w:r w:rsidR="00B572AE">
              <w:rPr>
                <w:noProof/>
                <w:webHidden/>
              </w:rPr>
              <w:fldChar w:fldCharType="end"/>
            </w:r>
          </w:hyperlink>
        </w:p>
        <w:p w14:paraId="725BBE68" w14:textId="01BA53F2"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654" w:history="1">
            <w:r w:rsidR="00B572AE" w:rsidRPr="00764BE3">
              <w:rPr>
                <w:rStyle w:val="Hyperlink"/>
                <w:rFonts w:cstheme="minorHAnsi"/>
                <w:noProof/>
              </w:rPr>
              <w:t>5.4.1</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Receita líquida</w:t>
            </w:r>
            <w:r w:rsidR="00B572AE">
              <w:rPr>
                <w:noProof/>
                <w:webHidden/>
              </w:rPr>
              <w:tab/>
            </w:r>
            <w:r w:rsidR="00B572AE">
              <w:rPr>
                <w:noProof/>
                <w:webHidden/>
              </w:rPr>
              <w:fldChar w:fldCharType="begin"/>
            </w:r>
            <w:r w:rsidR="00B572AE">
              <w:rPr>
                <w:noProof/>
                <w:webHidden/>
              </w:rPr>
              <w:instrText xml:space="preserve"> PAGEREF _Toc103680654 \h </w:instrText>
            </w:r>
            <w:r w:rsidR="00B572AE">
              <w:rPr>
                <w:noProof/>
                <w:webHidden/>
              </w:rPr>
            </w:r>
            <w:r w:rsidR="00B572AE">
              <w:rPr>
                <w:noProof/>
                <w:webHidden/>
              </w:rPr>
              <w:fldChar w:fldCharType="separate"/>
            </w:r>
            <w:r w:rsidR="00B572AE">
              <w:rPr>
                <w:noProof/>
                <w:webHidden/>
              </w:rPr>
              <w:t>171</w:t>
            </w:r>
            <w:r w:rsidR="00B572AE">
              <w:rPr>
                <w:noProof/>
                <w:webHidden/>
              </w:rPr>
              <w:fldChar w:fldCharType="end"/>
            </w:r>
          </w:hyperlink>
        </w:p>
        <w:p w14:paraId="44A4947E" w14:textId="111F18F7"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655" w:history="1">
            <w:r w:rsidR="00B572AE" w:rsidRPr="00764BE3">
              <w:rPr>
                <w:rStyle w:val="Hyperlink"/>
                <w:rFonts w:cstheme="minorHAnsi"/>
                <w:noProof/>
              </w:rPr>
              <w:t>5.4.2</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Despesas com pessoal</w:t>
            </w:r>
            <w:r w:rsidR="00B572AE">
              <w:rPr>
                <w:noProof/>
                <w:webHidden/>
              </w:rPr>
              <w:tab/>
            </w:r>
            <w:r w:rsidR="00B572AE">
              <w:rPr>
                <w:noProof/>
                <w:webHidden/>
              </w:rPr>
              <w:fldChar w:fldCharType="begin"/>
            </w:r>
            <w:r w:rsidR="00B572AE">
              <w:rPr>
                <w:noProof/>
                <w:webHidden/>
              </w:rPr>
              <w:instrText xml:space="preserve"> PAGEREF _Toc103680655 \h </w:instrText>
            </w:r>
            <w:r w:rsidR="00B572AE">
              <w:rPr>
                <w:noProof/>
                <w:webHidden/>
              </w:rPr>
            </w:r>
            <w:r w:rsidR="00B572AE">
              <w:rPr>
                <w:noProof/>
                <w:webHidden/>
              </w:rPr>
              <w:fldChar w:fldCharType="separate"/>
            </w:r>
            <w:r w:rsidR="00B572AE">
              <w:rPr>
                <w:noProof/>
                <w:webHidden/>
              </w:rPr>
              <w:t>172</w:t>
            </w:r>
            <w:r w:rsidR="00B572AE">
              <w:rPr>
                <w:noProof/>
                <w:webHidden/>
              </w:rPr>
              <w:fldChar w:fldCharType="end"/>
            </w:r>
          </w:hyperlink>
        </w:p>
        <w:p w14:paraId="78E17139" w14:textId="7A22EEFA"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656" w:history="1">
            <w:r w:rsidR="00B572AE" w:rsidRPr="00764BE3">
              <w:rPr>
                <w:rStyle w:val="Hyperlink"/>
                <w:rFonts w:cstheme="minorHAnsi"/>
                <w:noProof/>
              </w:rPr>
              <w:t>5.4.3</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Despesas gerais e administrativas</w:t>
            </w:r>
            <w:r w:rsidR="00B572AE">
              <w:rPr>
                <w:noProof/>
                <w:webHidden/>
              </w:rPr>
              <w:tab/>
            </w:r>
            <w:r w:rsidR="00B572AE">
              <w:rPr>
                <w:noProof/>
                <w:webHidden/>
              </w:rPr>
              <w:fldChar w:fldCharType="begin"/>
            </w:r>
            <w:r w:rsidR="00B572AE">
              <w:rPr>
                <w:noProof/>
                <w:webHidden/>
              </w:rPr>
              <w:instrText xml:space="preserve"> PAGEREF _Toc103680656 \h </w:instrText>
            </w:r>
            <w:r w:rsidR="00B572AE">
              <w:rPr>
                <w:noProof/>
                <w:webHidden/>
              </w:rPr>
            </w:r>
            <w:r w:rsidR="00B572AE">
              <w:rPr>
                <w:noProof/>
                <w:webHidden/>
              </w:rPr>
              <w:fldChar w:fldCharType="separate"/>
            </w:r>
            <w:r w:rsidR="00B572AE">
              <w:rPr>
                <w:noProof/>
                <w:webHidden/>
              </w:rPr>
              <w:t>172</w:t>
            </w:r>
            <w:r w:rsidR="00B572AE">
              <w:rPr>
                <w:noProof/>
                <w:webHidden/>
              </w:rPr>
              <w:fldChar w:fldCharType="end"/>
            </w:r>
          </w:hyperlink>
        </w:p>
        <w:p w14:paraId="7BC19489" w14:textId="5BC1B054"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657" w:history="1">
            <w:r w:rsidR="00B572AE" w:rsidRPr="00764BE3">
              <w:rPr>
                <w:rStyle w:val="Hyperlink"/>
                <w:rFonts w:cstheme="minorHAnsi"/>
                <w:noProof/>
              </w:rPr>
              <w:t>5.4.4</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Outras receitas/ despesas operacionais 2021</w:t>
            </w:r>
            <w:r w:rsidR="00B572AE">
              <w:rPr>
                <w:noProof/>
                <w:webHidden/>
              </w:rPr>
              <w:tab/>
            </w:r>
            <w:r w:rsidR="00B572AE">
              <w:rPr>
                <w:noProof/>
                <w:webHidden/>
              </w:rPr>
              <w:fldChar w:fldCharType="begin"/>
            </w:r>
            <w:r w:rsidR="00B572AE">
              <w:rPr>
                <w:noProof/>
                <w:webHidden/>
              </w:rPr>
              <w:instrText xml:space="preserve"> PAGEREF _Toc103680657 \h </w:instrText>
            </w:r>
            <w:r w:rsidR="00B572AE">
              <w:rPr>
                <w:noProof/>
                <w:webHidden/>
              </w:rPr>
            </w:r>
            <w:r w:rsidR="00B572AE">
              <w:rPr>
                <w:noProof/>
                <w:webHidden/>
              </w:rPr>
              <w:fldChar w:fldCharType="separate"/>
            </w:r>
            <w:r w:rsidR="00B572AE">
              <w:rPr>
                <w:noProof/>
                <w:webHidden/>
              </w:rPr>
              <w:t>172</w:t>
            </w:r>
            <w:r w:rsidR="00B572AE">
              <w:rPr>
                <w:noProof/>
                <w:webHidden/>
              </w:rPr>
              <w:fldChar w:fldCharType="end"/>
            </w:r>
          </w:hyperlink>
        </w:p>
        <w:p w14:paraId="4C6C3D49" w14:textId="6779592A"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658" w:history="1">
            <w:r w:rsidR="00B572AE" w:rsidRPr="00764BE3">
              <w:rPr>
                <w:rStyle w:val="Hyperlink"/>
                <w:rFonts w:cstheme="minorHAnsi"/>
                <w:noProof/>
              </w:rPr>
              <w:t>5.4.5</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Receitas financeiras</w:t>
            </w:r>
            <w:r w:rsidR="00B572AE">
              <w:rPr>
                <w:noProof/>
                <w:webHidden/>
              </w:rPr>
              <w:tab/>
            </w:r>
            <w:r w:rsidR="00B572AE">
              <w:rPr>
                <w:noProof/>
                <w:webHidden/>
              </w:rPr>
              <w:fldChar w:fldCharType="begin"/>
            </w:r>
            <w:r w:rsidR="00B572AE">
              <w:rPr>
                <w:noProof/>
                <w:webHidden/>
              </w:rPr>
              <w:instrText xml:space="preserve"> PAGEREF _Toc103680658 \h </w:instrText>
            </w:r>
            <w:r w:rsidR="00B572AE">
              <w:rPr>
                <w:noProof/>
                <w:webHidden/>
              </w:rPr>
            </w:r>
            <w:r w:rsidR="00B572AE">
              <w:rPr>
                <w:noProof/>
                <w:webHidden/>
              </w:rPr>
              <w:fldChar w:fldCharType="separate"/>
            </w:r>
            <w:r w:rsidR="00B572AE">
              <w:rPr>
                <w:noProof/>
                <w:webHidden/>
              </w:rPr>
              <w:t>173</w:t>
            </w:r>
            <w:r w:rsidR="00B572AE">
              <w:rPr>
                <w:noProof/>
                <w:webHidden/>
              </w:rPr>
              <w:fldChar w:fldCharType="end"/>
            </w:r>
          </w:hyperlink>
        </w:p>
        <w:p w14:paraId="6F77FA8D" w14:textId="7B3FC4CB" w:rsidR="00B572AE" w:rsidRDefault="008A3D44">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3680659" w:history="1">
            <w:r w:rsidR="00B572AE" w:rsidRPr="00764BE3">
              <w:rPr>
                <w:rStyle w:val="Hyperlink"/>
                <w:rFonts w:cstheme="minorHAnsi"/>
                <w:noProof/>
              </w:rPr>
              <w:t>5.4.6</w:t>
            </w:r>
            <w:r w:rsidR="00B572AE">
              <w:rPr>
                <w:rFonts w:asciiTheme="minorHAnsi" w:eastAsiaTheme="minorEastAsia" w:hAnsiTheme="minorHAnsi" w:cstheme="minorBidi"/>
                <w:noProof/>
                <w:sz w:val="22"/>
                <w:szCs w:val="22"/>
                <w:lang w:eastAsia="pt-BR" w:bidi="ar-SA"/>
              </w:rPr>
              <w:tab/>
            </w:r>
            <w:r w:rsidR="00B572AE" w:rsidRPr="00764BE3">
              <w:rPr>
                <w:rStyle w:val="Hyperlink"/>
                <w:rFonts w:cstheme="minorHAnsi"/>
                <w:noProof/>
              </w:rPr>
              <w:t>Subvenção do Tesouro Nacional</w:t>
            </w:r>
            <w:r w:rsidR="00B572AE">
              <w:rPr>
                <w:noProof/>
                <w:webHidden/>
              </w:rPr>
              <w:tab/>
            </w:r>
            <w:r w:rsidR="00B572AE">
              <w:rPr>
                <w:noProof/>
                <w:webHidden/>
              </w:rPr>
              <w:fldChar w:fldCharType="begin"/>
            </w:r>
            <w:r w:rsidR="00B572AE">
              <w:rPr>
                <w:noProof/>
                <w:webHidden/>
              </w:rPr>
              <w:instrText xml:space="preserve"> PAGEREF _Toc103680659 \h </w:instrText>
            </w:r>
            <w:r w:rsidR="00B572AE">
              <w:rPr>
                <w:noProof/>
                <w:webHidden/>
              </w:rPr>
            </w:r>
            <w:r w:rsidR="00B572AE">
              <w:rPr>
                <w:noProof/>
                <w:webHidden/>
              </w:rPr>
              <w:fldChar w:fldCharType="separate"/>
            </w:r>
            <w:r w:rsidR="00B572AE">
              <w:rPr>
                <w:noProof/>
                <w:webHidden/>
              </w:rPr>
              <w:t>174</w:t>
            </w:r>
            <w:r w:rsidR="00B572AE">
              <w:rPr>
                <w:noProof/>
                <w:webHidden/>
              </w:rPr>
              <w:fldChar w:fldCharType="end"/>
            </w:r>
          </w:hyperlink>
        </w:p>
        <w:p w14:paraId="68D3D5AD" w14:textId="4CFC50C8" w:rsidR="00B572AE" w:rsidRDefault="008A3D44">
          <w:pPr>
            <w:pStyle w:val="Sumrio2"/>
            <w:tabs>
              <w:tab w:val="left" w:pos="660"/>
              <w:tab w:val="right" w:leader="dot" w:pos="9736"/>
            </w:tabs>
            <w:rPr>
              <w:rFonts w:asciiTheme="minorHAnsi" w:eastAsiaTheme="minorEastAsia" w:hAnsiTheme="minorHAnsi" w:cstheme="minorBidi"/>
              <w:b w:val="0"/>
              <w:bCs w:val="0"/>
              <w:noProof/>
              <w:sz w:val="22"/>
              <w:szCs w:val="22"/>
              <w:lang w:eastAsia="pt-BR" w:bidi="ar-SA"/>
            </w:rPr>
          </w:pPr>
          <w:hyperlink w:anchor="_Toc103680660" w:history="1">
            <w:r w:rsidR="00B572AE" w:rsidRPr="00764BE3">
              <w:rPr>
                <w:rStyle w:val="Hyperlink"/>
                <w:noProof/>
              </w:rPr>
              <w:t>5.5</w:t>
            </w:r>
            <w:r w:rsidR="00B572AE">
              <w:rPr>
                <w:rFonts w:asciiTheme="minorHAnsi" w:eastAsiaTheme="minorEastAsia" w:hAnsiTheme="minorHAnsi" w:cstheme="minorBidi"/>
                <w:b w:val="0"/>
                <w:bCs w:val="0"/>
                <w:noProof/>
                <w:sz w:val="22"/>
                <w:szCs w:val="22"/>
                <w:lang w:eastAsia="pt-BR" w:bidi="ar-SA"/>
              </w:rPr>
              <w:tab/>
            </w:r>
            <w:r w:rsidR="00B572AE" w:rsidRPr="00764BE3">
              <w:rPr>
                <w:rStyle w:val="Hyperlink"/>
                <w:noProof/>
              </w:rPr>
              <w:t>Execução descentralizada com transferência de recursos</w:t>
            </w:r>
            <w:r w:rsidR="00B572AE">
              <w:rPr>
                <w:noProof/>
                <w:webHidden/>
              </w:rPr>
              <w:tab/>
            </w:r>
            <w:r w:rsidR="00B572AE">
              <w:rPr>
                <w:noProof/>
                <w:webHidden/>
              </w:rPr>
              <w:fldChar w:fldCharType="begin"/>
            </w:r>
            <w:r w:rsidR="00B572AE">
              <w:rPr>
                <w:noProof/>
                <w:webHidden/>
              </w:rPr>
              <w:instrText xml:space="preserve"> PAGEREF _Toc103680660 \h </w:instrText>
            </w:r>
            <w:r w:rsidR="00B572AE">
              <w:rPr>
                <w:noProof/>
                <w:webHidden/>
              </w:rPr>
            </w:r>
            <w:r w:rsidR="00B572AE">
              <w:rPr>
                <w:noProof/>
                <w:webHidden/>
              </w:rPr>
              <w:fldChar w:fldCharType="separate"/>
            </w:r>
            <w:r w:rsidR="00B572AE">
              <w:rPr>
                <w:noProof/>
                <w:webHidden/>
              </w:rPr>
              <w:t>174</w:t>
            </w:r>
            <w:r w:rsidR="00B572AE">
              <w:rPr>
                <w:noProof/>
                <w:webHidden/>
              </w:rPr>
              <w:fldChar w:fldCharType="end"/>
            </w:r>
          </w:hyperlink>
        </w:p>
        <w:p w14:paraId="21B941C4" w14:textId="5F02C45B" w:rsidR="00B572AE" w:rsidRDefault="008A3D44">
          <w:pPr>
            <w:pStyle w:val="Sumrio2"/>
            <w:tabs>
              <w:tab w:val="left" w:pos="660"/>
              <w:tab w:val="right" w:leader="dot" w:pos="9736"/>
            </w:tabs>
            <w:rPr>
              <w:rFonts w:asciiTheme="minorHAnsi" w:eastAsiaTheme="minorEastAsia" w:hAnsiTheme="minorHAnsi" w:cstheme="minorBidi"/>
              <w:b w:val="0"/>
              <w:bCs w:val="0"/>
              <w:noProof/>
              <w:sz w:val="22"/>
              <w:szCs w:val="22"/>
              <w:lang w:eastAsia="pt-BR" w:bidi="ar-SA"/>
            </w:rPr>
          </w:pPr>
          <w:hyperlink w:anchor="_Toc103680661" w:history="1">
            <w:r w:rsidR="00B572AE" w:rsidRPr="00764BE3">
              <w:rPr>
                <w:rStyle w:val="Hyperlink"/>
                <w:noProof/>
              </w:rPr>
              <w:t>5.6</w:t>
            </w:r>
            <w:r w:rsidR="00B572AE">
              <w:rPr>
                <w:rFonts w:asciiTheme="minorHAnsi" w:eastAsiaTheme="minorEastAsia" w:hAnsiTheme="minorHAnsi" w:cstheme="minorBidi"/>
                <w:b w:val="0"/>
                <w:bCs w:val="0"/>
                <w:noProof/>
                <w:sz w:val="22"/>
                <w:szCs w:val="22"/>
                <w:lang w:eastAsia="pt-BR" w:bidi="ar-SA"/>
              </w:rPr>
              <w:tab/>
            </w:r>
            <w:r w:rsidR="00B572AE" w:rsidRPr="00764BE3">
              <w:rPr>
                <w:rStyle w:val="Hyperlink"/>
                <w:noProof/>
              </w:rPr>
              <w:t>Aprovação das demonstrações contábeis de 2021</w:t>
            </w:r>
            <w:r w:rsidR="00B572AE">
              <w:rPr>
                <w:noProof/>
                <w:webHidden/>
              </w:rPr>
              <w:tab/>
            </w:r>
            <w:r w:rsidR="00B572AE">
              <w:rPr>
                <w:noProof/>
                <w:webHidden/>
              </w:rPr>
              <w:fldChar w:fldCharType="begin"/>
            </w:r>
            <w:r w:rsidR="00B572AE">
              <w:rPr>
                <w:noProof/>
                <w:webHidden/>
              </w:rPr>
              <w:instrText xml:space="preserve"> PAGEREF _Toc103680661 \h </w:instrText>
            </w:r>
            <w:r w:rsidR="00B572AE">
              <w:rPr>
                <w:noProof/>
                <w:webHidden/>
              </w:rPr>
            </w:r>
            <w:r w:rsidR="00B572AE">
              <w:rPr>
                <w:noProof/>
                <w:webHidden/>
              </w:rPr>
              <w:fldChar w:fldCharType="separate"/>
            </w:r>
            <w:r w:rsidR="00B572AE">
              <w:rPr>
                <w:noProof/>
                <w:webHidden/>
              </w:rPr>
              <w:t>176</w:t>
            </w:r>
            <w:r w:rsidR="00B572AE">
              <w:rPr>
                <w:noProof/>
                <w:webHidden/>
              </w:rPr>
              <w:fldChar w:fldCharType="end"/>
            </w:r>
          </w:hyperlink>
        </w:p>
        <w:p w14:paraId="5B1CAF9A" w14:textId="1FF4D40A" w:rsidR="00B572AE" w:rsidRDefault="008A3D44">
          <w:pPr>
            <w:pStyle w:val="Sumrio2"/>
            <w:tabs>
              <w:tab w:val="left" w:pos="660"/>
              <w:tab w:val="right" w:leader="dot" w:pos="9736"/>
            </w:tabs>
            <w:rPr>
              <w:rFonts w:asciiTheme="minorHAnsi" w:eastAsiaTheme="minorEastAsia" w:hAnsiTheme="minorHAnsi" w:cstheme="minorBidi"/>
              <w:b w:val="0"/>
              <w:bCs w:val="0"/>
              <w:noProof/>
              <w:sz w:val="22"/>
              <w:szCs w:val="22"/>
              <w:lang w:eastAsia="pt-BR" w:bidi="ar-SA"/>
            </w:rPr>
          </w:pPr>
          <w:hyperlink w:anchor="_Toc103680662" w:history="1">
            <w:r w:rsidR="00B572AE" w:rsidRPr="00764BE3">
              <w:rPr>
                <w:rStyle w:val="Hyperlink"/>
                <w:noProof/>
              </w:rPr>
              <w:t>5.7</w:t>
            </w:r>
            <w:r w:rsidR="00B572AE">
              <w:rPr>
                <w:rFonts w:asciiTheme="minorHAnsi" w:eastAsiaTheme="minorEastAsia" w:hAnsiTheme="minorHAnsi" w:cstheme="minorBidi"/>
                <w:b w:val="0"/>
                <w:bCs w:val="0"/>
                <w:noProof/>
                <w:sz w:val="22"/>
                <w:szCs w:val="22"/>
                <w:lang w:eastAsia="pt-BR" w:bidi="ar-SA"/>
              </w:rPr>
              <w:tab/>
            </w:r>
            <w:r w:rsidR="00B572AE" w:rsidRPr="00764BE3">
              <w:rPr>
                <w:rStyle w:val="Hyperlink"/>
                <w:noProof/>
              </w:rPr>
              <w:t>Setor de contabilidade da Valec</w:t>
            </w:r>
            <w:r w:rsidR="00B572AE">
              <w:rPr>
                <w:noProof/>
                <w:webHidden/>
              </w:rPr>
              <w:tab/>
            </w:r>
            <w:r w:rsidR="00B572AE">
              <w:rPr>
                <w:noProof/>
                <w:webHidden/>
              </w:rPr>
              <w:fldChar w:fldCharType="begin"/>
            </w:r>
            <w:r w:rsidR="00B572AE">
              <w:rPr>
                <w:noProof/>
                <w:webHidden/>
              </w:rPr>
              <w:instrText xml:space="preserve"> PAGEREF _Toc103680662 \h </w:instrText>
            </w:r>
            <w:r w:rsidR="00B572AE">
              <w:rPr>
                <w:noProof/>
                <w:webHidden/>
              </w:rPr>
            </w:r>
            <w:r w:rsidR="00B572AE">
              <w:rPr>
                <w:noProof/>
                <w:webHidden/>
              </w:rPr>
              <w:fldChar w:fldCharType="separate"/>
            </w:r>
            <w:r w:rsidR="00B572AE">
              <w:rPr>
                <w:noProof/>
                <w:webHidden/>
              </w:rPr>
              <w:t>176</w:t>
            </w:r>
            <w:r w:rsidR="00B572AE">
              <w:rPr>
                <w:noProof/>
                <w:webHidden/>
              </w:rPr>
              <w:fldChar w:fldCharType="end"/>
            </w:r>
          </w:hyperlink>
        </w:p>
        <w:p w14:paraId="12EE3D6F" w14:textId="76899802" w:rsidR="00BE6714" w:rsidRPr="00252D7B" w:rsidRDefault="00EC4D9A">
          <w:pPr>
            <w:rPr>
              <w:rFonts w:asciiTheme="minorHAnsi" w:hAnsiTheme="minorHAnsi" w:cstheme="minorHAnsi"/>
            </w:rPr>
          </w:pPr>
          <w:r w:rsidRPr="00252D7B">
            <w:rPr>
              <w:rFonts w:asciiTheme="minorHAnsi" w:hAnsiTheme="minorHAnsi" w:cstheme="minorHAnsi"/>
              <w:b/>
              <w:bCs/>
              <w:caps/>
              <w:sz w:val="24"/>
              <w:szCs w:val="24"/>
            </w:rPr>
            <w:fldChar w:fldCharType="end"/>
          </w:r>
        </w:p>
      </w:sdtContent>
    </w:sdt>
    <w:p w14:paraId="666AF125" w14:textId="63734508" w:rsidR="00502D5A" w:rsidRPr="00252D7B" w:rsidRDefault="00502D5A" w:rsidP="00502D5A">
      <w:pPr>
        <w:pStyle w:val="Ttulo1"/>
        <w:numPr>
          <w:ilvl w:val="0"/>
          <w:numId w:val="0"/>
        </w:numPr>
        <w:spacing w:after="240"/>
        <w:rPr>
          <w:rFonts w:asciiTheme="minorHAnsi" w:hAnsiTheme="minorHAnsi" w:cstheme="minorHAnsi"/>
        </w:rPr>
      </w:pPr>
      <w:bookmarkStart w:id="1" w:name="_Toc95830190"/>
      <w:bookmarkStart w:id="2" w:name="_Toc103680497"/>
      <w:r w:rsidRPr="00252D7B">
        <w:rPr>
          <w:rFonts w:asciiTheme="minorHAnsi" w:hAnsiTheme="minorHAnsi" w:cstheme="minorHAnsi"/>
        </w:rPr>
        <w:lastRenderedPageBreak/>
        <w:t>Índice de Tabelas</w:t>
      </w:r>
      <w:bookmarkEnd w:id="1"/>
      <w:bookmarkEnd w:id="2"/>
    </w:p>
    <w:p w14:paraId="271A624B" w14:textId="3600A2F6" w:rsidR="00B572AE" w:rsidRDefault="00502D5A">
      <w:pPr>
        <w:pStyle w:val="ndicedeilustraes"/>
        <w:tabs>
          <w:tab w:val="right" w:leader="dot" w:pos="9736"/>
        </w:tabs>
        <w:rPr>
          <w:rFonts w:asciiTheme="minorHAnsi" w:eastAsiaTheme="minorEastAsia" w:hAnsiTheme="minorHAnsi" w:cstheme="minorBidi"/>
          <w:noProof/>
          <w:lang w:eastAsia="pt-BR" w:bidi="ar-SA"/>
        </w:rPr>
      </w:pPr>
      <w:r w:rsidRPr="00252D7B">
        <w:rPr>
          <w:rFonts w:asciiTheme="minorHAnsi" w:hAnsiTheme="minorHAnsi" w:cstheme="minorHAnsi"/>
        </w:rPr>
        <w:fldChar w:fldCharType="begin"/>
      </w:r>
      <w:r w:rsidRPr="00252D7B">
        <w:rPr>
          <w:rFonts w:asciiTheme="minorHAnsi" w:hAnsiTheme="minorHAnsi" w:cstheme="minorHAnsi"/>
        </w:rPr>
        <w:instrText xml:space="preserve"> TOC \h \z \c "Tabela" </w:instrText>
      </w:r>
      <w:r w:rsidRPr="00252D7B">
        <w:rPr>
          <w:rFonts w:asciiTheme="minorHAnsi" w:hAnsiTheme="minorHAnsi" w:cstheme="minorHAnsi"/>
        </w:rPr>
        <w:fldChar w:fldCharType="separate"/>
      </w:r>
      <w:hyperlink w:anchor="_Toc103680663" w:history="1">
        <w:r w:rsidR="00B572AE" w:rsidRPr="00EE0A8E">
          <w:rPr>
            <w:rStyle w:val="Hyperlink"/>
            <w:rFonts w:cstheme="minorHAnsi"/>
            <w:noProof/>
          </w:rPr>
          <w:t>Tabela 1 – Resumo do andamento das obras na FIOL II</w:t>
        </w:r>
        <w:r w:rsidR="00B572AE">
          <w:rPr>
            <w:noProof/>
            <w:webHidden/>
          </w:rPr>
          <w:tab/>
        </w:r>
        <w:r w:rsidR="00B572AE">
          <w:rPr>
            <w:noProof/>
            <w:webHidden/>
          </w:rPr>
          <w:fldChar w:fldCharType="begin"/>
        </w:r>
        <w:r w:rsidR="00B572AE">
          <w:rPr>
            <w:noProof/>
            <w:webHidden/>
          </w:rPr>
          <w:instrText xml:space="preserve"> PAGEREF _Toc103680663 \h </w:instrText>
        </w:r>
        <w:r w:rsidR="00B572AE">
          <w:rPr>
            <w:noProof/>
            <w:webHidden/>
          </w:rPr>
        </w:r>
        <w:r w:rsidR="00B572AE">
          <w:rPr>
            <w:noProof/>
            <w:webHidden/>
          </w:rPr>
          <w:fldChar w:fldCharType="separate"/>
        </w:r>
        <w:r w:rsidR="00B572AE">
          <w:rPr>
            <w:noProof/>
            <w:webHidden/>
          </w:rPr>
          <w:t>36</w:t>
        </w:r>
        <w:r w:rsidR="00B572AE">
          <w:rPr>
            <w:noProof/>
            <w:webHidden/>
          </w:rPr>
          <w:fldChar w:fldCharType="end"/>
        </w:r>
      </w:hyperlink>
    </w:p>
    <w:p w14:paraId="3A399A75" w14:textId="495CA3DF"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664" w:history="1">
        <w:r w:rsidR="00B572AE" w:rsidRPr="00EE0A8E">
          <w:rPr>
            <w:rStyle w:val="Hyperlink"/>
            <w:rFonts w:cstheme="minorHAnsi"/>
            <w:noProof/>
          </w:rPr>
          <w:t>Tabela 2 – Resultado das metas do Plano de Negócios de 2021</w:t>
        </w:r>
        <w:r w:rsidR="00B572AE">
          <w:rPr>
            <w:noProof/>
            <w:webHidden/>
          </w:rPr>
          <w:tab/>
        </w:r>
        <w:r w:rsidR="00B572AE">
          <w:rPr>
            <w:noProof/>
            <w:webHidden/>
          </w:rPr>
          <w:fldChar w:fldCharType="begin"/>
        </w:r>
        <w:r w:rsidR="00B572AE">
          <w:rPr>
            <w:noProof/>
            <w:webHidden/>
          </w:rPr>
          <w:instrText xml:space="preserve"> PAGEREF _Toc103680664 \h </w:instrText>
        </w:r>
        <w:r w:rsidR="00B572AE">
          <w:rPr>
            <w:noProof/>
            <w:webHidden/>
          </w:rPr>
        </w:r>
        <w:r w:rsidR="00B572AE">
          <w:rPr>
            <w:noProof/>
            <w:webHidden/>
          </w:rPr>
          <w:fldChar w:fldCharType="separate"/>
        </w:r>
        <w:r w:rsidR="00B572AE">
          <w:rPr>
            <w:noProof/>
            <w:webHidden/>
          </w:rPr>
          <w:t>76</w:t>
        </w:r>
        <w:r w:rsidR="00B572AE">
          <w:rPr>
            <w:noProof/>
            <w:webHidden/>
          </w:rPr>
          <w:fldChar w:fldCharType="end"/>
        </w:r>
      </w:hyperlink>
    </w:p>
    <w:p w14:paraId="4EE751B8" w14:textId="460BCAE7"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665" w:history="1">
        <w:r w:rsidR="00B572AE" w:rsidRPr="00EE0A8E">
          <w:rPr>
            <w:rStyle w:val="Hyperlink"/>
            <w:rFonts w:cstheme="minorHAnsi"/>
            <w:noProof/>
          </w:rPr>
          <w:t>Tabela 3 – Resultado das iniciativas do Plano de Negócios de 2021</w:t>
        </w:r>
        <w:r w:rsidR="00B572AE">
          <w:rPr>
            <w:noProof/>
            <w:webHidden/>
          </w:rPr>
          <w:tab/>
        </w:r>
        <w:r w:rsidR="00B572AE">
          <w:rPr>
            <w:noProof/>
            <w:webHidden/>
          </w:rPr>
          <w:fldChar w:fldCharType="begin"/>
        </w:r>
        <w:r w:rsidR="00B572AE">
          <w:rPr>
            <w:noProof/>
            <w:webHidden/>
          </w:rPr>
          <w:instrText xml:space="preserve"> PAGEREF _Toc103680665 \h </w:instrText>
        </w:r>
        <w:r w:rsidR="00B572AE">
          <w:rPr>
            <w:noProof/>
            <w:webHidden/>
          </w:rPr>
        </w:r>
        <w:r w:rsidR="00B572AE">
          <w:rPr>
            <w:noProof/>
            <w:webHidden/>
          </w:rPr>
          <w:fldChar w:fldCharType="separate"/>
        </w:r>
        <w:r w:rsidR="00B572AE">
          <w:rPr>
            <w:noProof/>
            <w:webHidden/>
          </w:rPr>
          <w:t>80</w:t>
        </w:r>
        <w:r w:rsidR="00B572AE">
          <w:rPr>
            <w:noProof/>
            <w:webHidden/>
          </w:rPr>
          <w:fldChar w:fldCharType="end"/>
        </w:r>
      </w:hyperlink>
    </w:p>
    <w:p w14:paraId="1B36EA2B" w14:textId="1C111BDC"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666" w:history="1">
        <w:r w:rsidR="00B572AE" w:rsidRPr="00EE0A8E">
          <w:rPr>
            <w:rStyle w:val="Hyperlink"/>
            <w:rFonts w:cstheme="minorHAnsi"/>
            <w:noProof/>
          </w:rPr>
          <w:t>Tabela 4 – Execução da Lei Orçamentária Anual (LOA 2021) (R$ 1,00)</w:t>
        </w:r>
        <w:r w:rsidR="00B572AE">
          <w:rPr>
            <w:noProof/>
            <w:webHidden/>
          </w:rPr>
          <w:tab/>
        </w:r>
        <w:r w:rsidR="00B572AE">
          <w:rPr>
            <w:noProof/>
            <w:webHidden/>
          </w:rPr>
          <w:fldChar w:fldCharType="begin"/>
        </w:r>
        <w:r w:rsidR="00B572AE">
          <w:rPr>
            <w:noProof/>
            <w:webHidden/>
          </w:rPr>
          <w:instrText xml:space="preserve"> PAGEREF _Toc103680666 \h </w:instrText>
        </w:r>
        <w:r w:rsidR="00B572AE">
          <w:rPr>
            <w:noProof/>
            <w:webHidden/>
          </w:rPr>
        </w:r>
        <w:r w:rsidR="00B572AE">
          <w:rPr>
            <w:noProof/>
            <w:webHidden/>
          </w:rPr>
          <w:fldChar w:fldCharType="separate"/>
        </w:r>
        <w:r w:rsidR="00B572AE">
          <w:rPr>
            <w:noProof/>
            <w:webHidden/>
          </w:rPr>
          <w:t>85</w:t>
        </w:r>
        <w:r w:rsidR="00B572AE">
          <w:rPr>
            <w:noProof/>
            <w:webHidden/>
          </w:rPr>
          <w:fldChar w:fldCharType="end"/>
        </w:r>
      </w:hyperlink>
    </w:p>
    <w:p w14:paraId="24C243CC" w14:textId="2759E085"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667" w:history="1">
        <w:r w:rsidR="00B572AE" w:rsidRPr="00EE0A8E">
          <w:rPr>
            <w:rStyle w:val="Hyperlink"/>
            <w:rFonts w:cstheme="minorHAnsi"/>
            <w:noProof/>
          </w:rPr>
          <w:t>Tabela 5 – Execução de Restos a Pagar em 2021 (R$ 1,00)</w:t>
        </w:r>
        <w:r w:rsidR="00B572AE">
          <w:rPr>
            <w:noProof/>
            <w:webHidden/>
          </w:rPr>
          <w:tab/>
        </w:r>
        <w:r w:rsidR="00B572AE">
          <w:rPr>
            <w:noProof/>
            <w:webHidden/>
          </w:rPr>
          <w:fldChar w:fldCharType="begin"/>
        </w:r>
        <w:r w:rsidR="00B572AE">
          <w:rPr>
            <w:noProof/>
            <w:webHidden/>
          </w:rPr>
          <w:instrText xml:space="preserve"> PAGEREF _Toc103680667 \h </w:instrText>
        </w:r>
        <w:r w:rsidR="00B572AE">
          <w:rPr>
            <w:noProof/>
            <w:webHidden/>
          </w:rPr>
        </w:r>
        <w:r w:rsidR="00B572AE">
          <w:rPr>
            <w:noProof/>
            <w:webHidden/>
          </w:rPr>
          <w:fldChar w:fldCharType="separate"/>
        </w:r>
        <w:r w:rsidR="00B572AE">
          <w:rPr>
            <w:noProof/>
            <w:webHidden/>
          </w:rPr>
          <w:t>85</w:t>
        </w:r>
        <w:r w:rsidR="00B572AE">
          <w:rPr>
            <w:noProof/>
            <w:webHidden/>
          </w:rPr>
          <w:fldChar w:fldCharType="end"/>
        </w:r>
      </w:hyperlink>
    </w:p>
    <w:p w14:paraId="4BAFAA39" w14:textId="3BE7D0A5"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668" w:history="1">
        <w:r w:rsidR="00B572AE" w:rsidRPr="00EE0A8E">
          <w:rPr>
            <w:rStyle w:val="Hyperlink"/>
            <w:rFonts w:cstheme="minorHAnsi"/>
            <w:noProof/>
          </w:rPr>
          <w:t>Tabela 6 – Despesas com pessoal em 2021 (R$ 1,00)</w:t>
        </w:r>
        <w:r w:rsidR="00B572AE">
          <w:rPr>
            <w:noProof/>
            <w:webHidden/>
          </w:rPr>
          <w:tab/>
        </w:r>
        <w:r w:rsidR="00B572AE">
          <w:rPr>
            <w:noProof/>
            <w:webHidden/>
          </w:rPr>
          <w:fldChar w:fldCharType="begin"/>
        </w:r>
        <w:r w:rsidR="00B572AE">
          <w:rPr>
            <w:noProof/>
            <w:webHidden/>
          </w:rPr>
          <w:instrText xml:space="preserve"> PAGEREF _Toc103680668 \h </w:instrText>
        </w:r>
        <w:r w:rsidR="00B572AE">
          <w:rPr>
            <w:noProof/>
            <w:webHidden/>
          </w:rPr>
        </w:r>
        <w:r w:rsidR="00B572AE">
          <w:rPr>
            <w:noProof/>
            <w:webHidden/>
          </w:rPr>
          <w:fldChar w:fldCharType="separate"/>
        </w:r>
        <w:r w:rsidR="00B572AE">
          <w:rPr>
            <w:noProof/>
            <w:webHidden/>
          </w:rPr>
          <w:t>86</w:t>
        </w:r>
        <w:r w:rsidR="00B572AE">
          <w:rPr>
            <w:noProof/>
            <w:webHidden/>
          </w:rPr>
          <w:fldChar w:fldCharType="end"/>
        </w:r>
      </w:hyperlink>
    </w:p>
    <w:p w14:paraId="2D2220A1" w14:textId="40E4D393"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669" w:history="1">
        <w:r w:rsidR="00B572AE" w:rsidRPr="00EE0A8E">
          <w:rPr>
            <w:rStyle w:val="Hyperlink"/>
            <w:rFonts w:cstheme="minorHAnsi"/>
            <w:noProof/>
          </w:rPr>
          <w:t>Tabela 7 – Orçamento de Investimentos 2021 (R$ 1,00)</w:t>
        </w:r>
        <w:r w:rsidR="00B572AE">
          <w:rPr>
            <w:noProof/>
            <w:webHidden/>
          </w:rPr>
          <w:tab/>
        </w:r>
        <w:r w:rsidR="00B572AE">
          <w:rPr>
            <w:noProof/>
            <w:webHidden/>
          </w:rPr>
          <w:fldChar w:fldCharType="begin"/>
        </w:r>
        <w:r w:rsidR="00B572AE">
          <w:rPr>
            <w:noProof/>
            <w:webHidden/>
          </w:rPr>
          <w:instrText xml:space="preserve"> PAGEREF _Toc103680669 \h </w:instrText>
        </w:r>
        <w:r w:rsidR="00B572AE">
          <w:rPr>
            <w:noProof/>
            <w:webHidden/>
          </w:rPr>
        </w:r>
        <w:r w:rsidR="00B572AE">
          <w:rPr>
            <w:noProof/>
            <w:webHidden/>
          </w:rPr>
          <w:fldChar w:fldCharType="separate"/>
        </w:r>
        <w:r w:rsidR="00B572AE">
          <w:rPr>
            <w:noProof/>
            <w:webHidden/>
          </w:rPr>
          <w:t>87</w:t>
        </w:r>
        <w:r w:rsidR="00B572AE">
          <w:rPr>
            <w:noProof/>
            <w:webHidden/>
          </w:rPr>
          <w:fldChar w:fldCharType="end"/>
        </w:r>
      </w:hyperlink>
    </w:p>
    <w:p w14:paraId="114A84C0" w14:textId="748D2E90"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670" w:history="1">
        <w:r w:rsidR="00B572AE" w:rsidRPr="00EE0A8E">
          <w:rPr>
            <w:rStyle w:val="Hyperlink"/>
            <w:rFonts w:cstheme="minorHAnsi"/>
            <w:noProof/>
          </w:rPr>
          <w:t>Tabela 8 – Outras Despesas Correntes 2021</w:t>
        </w:r>
        <w:r w:rsidR="00B572AE">
          <w:rPr>
            <w:noProof/>
            <w:webHidden/>
          </w:rPr>
          <w:tab/>
        </w:r>
        <w:r w:rsidR="00B572AE">
          <w:rPr>
            <w:noProof/>
            <w:webHidden/>
          </w:rPr>
          <w:fldChar w:fldCharType="begin"/>
        </w:r>
        <w:r w:rsidR="00B572AE">
          <w:rPr>
            <w:noProof/>
            <w:webHidden/>
          </w:rPr>
          <w:instrText xml:space="preserve"> PAGEREF _Toc103680670 \h </w:instrText>
        </w:r>
        <w:r w:rsidR="00B572AE">
          <w:rPr>
            <w:noProof/>
            <w:webHidden/>
          </w:rPr>
        </w:r>
        <w:r w:rsidR="00B572AE">
          <w:rPr>
            <w:noProof/>
            <w:webHidden/>
          </w:rPr>
          <w:fldChar w:fldCharType="separate"/>
        </w:r>
        <w:r w:rsidR="00B572AE">
          <w:rPr>
            <w:noProof/>
            <w:webHidden/>
          </w:rPr>
          <w:t>88</w:t>
        </w:r>
        <w:r w:rsidR="00B572AE">
          <w:rPr>
            <w:noProof/>
            <w:webHidden/>
          </w:rPr>
          <w:fldChar w:fldCharType="end"/>
        </w:r>
      </w:hyperlink>
    </w:p>
    <w:p w14:paraId="72D37F6E" w14:textId="73BDB4D0"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671" w:history="1">
        <w:r w:rsidR="00B572AE" w:rsidRPr="00EE0A8E">
          <w:rPr>
            <w:rStyle w:val="Hyperlink"/>
            <w:rFonts w:cstheme="minorHAnsi"/>
            <w:noProof/>
          </w:rPr>
          <w:t>Tabela 9 – Valor empenhado / Limite de empenho</w:t>
        </w:r>
        <w:r w:rsidR="00B572AE">
          <w:rPr>
            <w:noProof/>
            <w:webHidden/>
          </w:rPr>
          <w:tab/>
        </w:r>
        <w:r w:rsidR="00B572AE">
          <w:rPr>
            <w:noProof/>
            <w:webHidden/>
          </w:rPr>
          <w:fldChar w:fldCharType="begin"/>
        </w:r>
        <w:r w:rsidR="00B572AE">
          <w:rPr>
            <w:noProof/>
            <w:webHidden/>
          </w:rPr>
          <w:instrText xml:space="preserve"> PAGEREF _Toc103680671 \h </w:instrText>
        </w:r>
        <w:r w:rsidR="00B572AE">
          <w:rPr>
            <w:noProof/>
            <w:webHidden/>
          </w:rPr>
        </w:r>
        <w:r w:rsidR="00B572AE">
          <w:rPr>
            <w:noProof/>
            <w:webHidden/>
          </w:rPr>
          <w:fldChar w:fldCharType="separate"/>
        </w:r>
        <w:r w:rsidR="00B572AE">
          <w:rPr>
            <w:noProof/>
            <w:webHidden/>
          </w:rPr>
          <w:t>89</w:t>
        </w:r>
        <w:r w:rsidR="00B572AE">
          <w:rPr>
            <w:noProof/>
            <w:webHidden/>
          </w:rPr>
          <w:fldChar w:fldCharType="end"/>
        </w:r>
      </w:hyperlink>
    </w:p>
    <w:p w14:paraId="36CC9C51" w14:textId="3A5C09C9"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672" w:history="1">
        <w:r w:rsidR="00B572AE" w:rsidRPr="00EE0A8E">
          <w:rPr>
            <w:rStyle w:val="Hyperlink"/>
            <w:rFonts w:cstheme="minorHAnsi"/>
            <w:noProof/>
          </w:rPr>
          <w:t>Tabela 10 – Liquidado no exercício / Empenhado no exercício</w:t>
        </w:r>
        <w:r w:rsidR="00B572AE">
          <w:rPr>
            <w:noProof/>
            <w:webHidden/>
          </w:rPr>
          <w:tab/>
        </w:r>
        <w:r w:rsidR="00B572AE">
          <w:rPr>
            <w:noProof/>
            <w:webHidden/>
          </w:rPr>
          <w:fldChar w:fldCharType="begin"/>
        </w:r>
        <w:r w:rsidR="00B572AE">
          <w:rPr>
            <w:noProof/>
            <w:webHidden/>
          </w:rPr>
          <w:instrText xml:space="preserve"> PAGEREF _Toc103680672 \h </w:instrText>
        </w:r>
        <w:r w:rsidR="00B572AE">
          <w:rPr>
            <w:noProof/>
            <w:webHidden/>
          </w:rPr>
        </w:r>
        <w:r w:rsidR="00B572AE">
          <w:rPr>
            <w:noProof/>
            <w:webHidden/>
          </w:rPr>
          <w:fldChar w:fldCharType="separate"/>
        </w:r>
        <w:r w:rsidR="00B572AE">
          <w:rPr>
            <w:noProof/>
            <w:webHidden/>
          </w:rPr>
          <w:t>89</w:t>
        </w:r>
        <w:r w:rsidR="00B572AE">
          <w:rPr>
            <w:noProof/>
            <w:webHidden/>
          </w:rPr>
          <w:fldChar w:fldCharType="end"/>
        </w:r>
      </w:hyperlink>
    </w:p>
    <w:p w14:paraId="6295A4EB" w14:textId="74EA8490"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673" w:history="1">
        <w:r w:rsidR="00B572AE" w:rsidRPr="00EE0A8E">
          <w:rPr>
            <w:rStyle w:val="Hyperlink"/>
            <w:rFonts w:cstheme="minorHAnsi"/>
            <w:noProof/>
          </w:rPr>
          <w:t>Tabela 11 – Resultados da Necessidade de Recursos do Tesouro Nacional</w:t>
        </w:r>
        <w:r w:rsidR="00B572AE">
          <w:rPr>
            <w:noProof/>
            <w:webHidden/>
          </w:rPr>
          <w:tab/>
        </w:r>
        <w:r w:rsidR="00B572AE">
          <w:rPr>
            <w:noProof/>
            <w:webHidden/>
          </w:rPr>
          <w:fldChar w:fldCharType="begin"/>
        </w:r>
        <w:r w:rsidR="00B572AE">
          <w:rPr>
            <w:noProof/>
            <w:webHidden/>
          </w:rPr>
          <w:instrText xml:space="preserve"> PAGEREF _Toc103680673 \h </w:instrText>
        </w:r>
        <w:r w:rsidR="00B572AE">
          <w:rPr>
            <w:noProof/>
            <w:webHidden/>
          </w:rPr>
        </w:r>
        <w:r w:rsidR="00B572AE">
          <w:rPr>
            <w:noProof/>
            <w:webHidden/>
          </w:rPr>
          <w:fldChar w:fldCharType="separate"/>
        </w:r>
        <w:r w:rsidR="00B572AE">
          <w:rPr>
            <w:noProof/>
            <w:webHidden/>
          </w:rPr>
          <w:t>90</w:t>
        </w:r>
        <w:r w:rsidR="00B572AE">
          <w:rPr>
            <w:noProof/>
            <w:webHidden/>
          </w:rPr>
          <w:fldChar w:fldCharType="end"/>
        </w:r>
      </w:hyperlink>
    </w:p>
    <w:p w14:paraId="21E4AEE1" w14:textId="1229C050"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674" w:history="1">
        <w:r w:rsidR="00B572AE" w:rsidRPr="00EE0A8E">
          <w:rPr>
            <w:rStyle w:val="Hyperlink"/>
            <w:rFonts w:cstheme="minorHAnsi"/>
            <w:noProof/>
          </w:rPr>
          <w:t>Tabela 12 – Distribuição de empregados com necessidades especiais</w:t>
        </w:r>
        <w:r w:rsidR="00B572AE">
          <w:rPr>
            <w:noProof/>
            <w:webHidden/>
          </w:rPr>
          <w:tab/>
        </w:r>
        <w:r w:rsidR="00B572AE">
          <w:rPr>
            <w:noProof/>
            <w:webHidden/>
          </w:rPr>
          <w:fldChar w:fldCharType="begin"/>
        </w:r>
        <w:r w:rsidR="00B572AE">
          <w:rPr>
            <w:noProof/>
            <w:webHidden/>
          </w:rPr>
          <w:instrText xml:space="preserve"> PAGEREF _Toc103680674 \h </w:instrText>
        </w:r>
        <w:r w:rsidR="00B572AE">
          <w:rPr>
            <w:noProof/>
            <w:webHidden/>
          </w:rPr>
        </w:r>
        <w:r w:rsidR="00B572AE">
          <w:rPr>
            <w:noProof/>
            <w:webHidden/>
          </w:rPr>
          <w:fldChar w:fldCharType="separate"/>
        </w:r>
        <w:r w:rsidR="00B572AE">
          <w:rPr>
            <w:noProof/>
            <w:webHidden/>
          </w:rPr>
          <w:t>96</w:t>
        </w:r>
        <w:r w:rsidR="00B572AE">
          <w:rPr>
            <w:noProof/>
            <w:webHidden/>
          </w:rPr>
          <w:fldChar w:fldCharType="end"/>
        </w:r>
      </w:hyperlink>
    </w:p>
    <w:p w14:paraId="5D15A99B" w14:textId="2AF99E3B"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675" w:history="1">
        <w:r w:rsidR="00B572AE" w:rsidRPr="00EE0A8E">
          <w:rPr>
            <w:rStyle w:val="Hyperlink"/>
            <w:rFonts w:cstheme="minorHAnsi"/>
            <w:noProof/>
          </w:rPr>
          <w:t>Tabela 13 – Distribuição dos empregados por situação funcional e por carreira</w:t>
        </w:r>
        <w:r w:rsidR="00B572AE">
          <w:rPr>
            <w:noProof/>
            <w:webHidden/>
          </w:rPr>
          <w:tab/>
        </w:r>
        <w:r w:rsidR="00B572AE">
          <w:rPr>
            <w:noProof/>
            <w:webHidden/>
          </w:rPr>
          <w:fldChar w:fldCharType="begin"/>
        </w:r>
        <w:r w:rsidR="00B572AE">
          <w:rPr>
            <w:noProof/>
            <w:webHidden/>
          </w:rPr>
          <w:instrText xml:space="preserve"> PAGEREF _Toc103680675 \h </w:instrText>
        </w:r>
        <w:r w:rsidR="00B572AE">
          <w:rPr>
            <w:noProof/>
            <w:webHidden/>
          </w:rPr>
        </w:r>
        <w:r w:rsidR="00B572AE">
          <w:rPr>
            <w:noProof/>
            <w:webHidden/>
          </w:rPr>
          <w:fldChar w:fldCharType="separate"/>
        </w:r>
        <w:r w:rsidR="00B572AE">
          <w:rPr>
            <w:noProof/>
            <w:webHidden/>
          </w:rPr>
          <w:t>98</w:t>
        </w:r>
        <w:r w:rsidR="00B572AE">
          <w:rPr>
            <w:noProof/>
            <w:webHidden/>
          </w:rPr>
          <w:fldChar w:fldCharType="end"/>
        </w:r>
      </w:hyperlink>
    </w:p>
    <w:p w14:paraId="23187E2B" w14:textId="56488FCB"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676" w:history="1">
        <w:r w:rsidR="00B572AE" w:rsidRPr="00EE0A8E">
          <w:rPr>
            <w:rStyle w:val="Hyperlink"/>
            <w:rFonts w:cstheme="minorHAnsi"/>
            <w:noProof/>
          </w:rPr>
          <w:t>Tabela 14 – Distribuição dos estagiários por área</w:t>
        </w:r>
        <w:r w:rsidR="00B572AE">
          <w:rPr>
            <w:noProof/>
            <w:webHidden/>
          </w:rPr>
          <w:tab/>
        </w:r>
        <w:r w:rsidR="00B572AE">
          <w:rPr>
            <w:noProof/>
            <w:webHidden/>
          </w:rPr>
          <w:fldChar w:fldCharType="begin"/>
        </w:r>
        <w:r w:rsidR="00B572AE">
          <w:rPr>
            <w:noProof/>
            <w:webHidden/>
          </w:rPr>
          <w:instrText xml:space="preserve"> PAGEREF _Toc103680676 \h </w:instrText>
        </w:r>
        <w:r w:rsidR="00B572AE">
          <w:rPr>
            <w:noProof/>
            <w:webHidden/>
          </w:rPr>
        </w:r>
        <w:r w:rsidR="00B572AE">
          <w:rPr>
            <w:noProof/>
            <w:webHidden/>
          </w:rPr>
          <w:fldChar w:fldCharType="separate"/>
        </w:r>
        <w:r w:rsidR="00B572AE">
          <w:rPr>
            <w:noProof/>
            <w:webHidden/>
          </w:rPr>
          <w:t>99</w:t>
        </w:r>
        <w:r w:rsidR="00B572AE">
          <w:rPr>
            <w:noProof/>
            <w:webHidden/>
          </w:rPr>
          <w:fldChar w:fldCharType="end"/>
        </w:r>
      </w:hyperlink>
    </w:p>
    <w:p w14:paraId="7DAD0FCF" w14:textId="0E96EBDC"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677" w:history="1">
        <w:r w:rsidR="00B572AE" w:rsidRPr="00EE0A8E">
          <w:rPr>
            <w:rStyle w:val="Hyperlink"/>
            <w:rFonts w:cstheme="minorHAnsi"/>
            <w:noProof/>
          </w:rPr>
          <w:t>Tabela 15 – Despesas do pessoal: 31/12/2021</w:t>
        </w:r>
        <w:r w:rsidR="00B572AE" w:rsidRPr="00EE0A8E">
          <w:rPr>
            <w:rStyle w:val="Hyperlink"/>
            <w:rFonts w:cstheme="minorHAnsi"/>
            <w:b/>
            <w:noProof/>
          </w:rPr>
          <w:t>.</w:t>
        </w:r>
        <w:r w:rsidR="00B572AE">
          <w:rPr>
            <w:noProof/>
            <w:webHidden/>
          </w:rPr>
          <w:tab/>
        </w:r>
        <w:r w:rsidR="00B572AE">
          <w:rPr>
            <w:noProof/>
            <w:webHidden/>
          </w:rPr>
          <w:fldChar w:fldCharType="begin"/>
        </w:r>
        <w:r w:rsidR="00B572AE">
          <w:rPr>
            <w:noProof/>
            <w:webHidden/>
          </w:rPr>
          <w:instrText xml:space="preserve"> PAGEREF _Toc103680677 \h </w:instrText>
        </w:r>
        <w:r w:rsidR="00B572AE">
          <w:rPr>
            <w:noProof/>
            <w:webHidden/>
          </w:rPr>
        </w:r>
        <w:r w:rsidR="00B572AE">
          <w:rPr>
            <w:noProof/>
            <w:webHidden/>
          </w:rPr>
          <w:fldChar w:fldCharType="separate"/>
        </w:r>
        <w:r w:rsidR="00B572AE">
          <w:rPr>
            <w:noProof/>
            <w:webHidden/>
          </w:rPr>
          <w:t>101</w:t>
        </w:r>
        <w:r w:rsidR="00B572AE">
          <w:rPr>
            <w:noProof/>
            <w:webHidden/>
          </w:rPr>
          <w:fldChar w:fldCharType="end"/>
        </w:r>
      </w:hyperlink>
    </w:p>
    <w:p w14:paraId="73447062" w14:textId="370A2783"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678" w:history="1">
        <w:r w:rsidR="00B572AE" w:rsidRPr="00EE0A8E">
          <w:rPr>
            <w:rStyle w:val="Hyperlink"/>
            <w:rFonts w:cstheme="minorHAnsi"/>
            <w:noProof/>
          </w:rPr>
          <w:t>Tabela 16 – Resumo das contratações</w:t>
        </w:r>
        <w:r w:rsidR="00B572AE">
          <w:rPr>
            <w:noProof/>
            <w:webHidden/>
          </w:rPr>
          <w:tab/>
        </w:r>
        <w:r w:rsidR="00B572AE">
          <w:rPr>
            <w:noProof/>
            <w:webHidden/>
          </w:rPr>
          <w:fldChar w:fldCharType="begin"/>
        </w:r>
        <w:r w:rsidR="00B572AE">
          <w:rPr>
            <w:noProof/>
            <w:webHidden/>
          </w:rPr>
          <w:instrText xml:space="preserve"> PAGEREF _Toc103680678 \h </w:instrText>
        </w:r>
        <w:r w:rsidR="00B572AE">
          <w:rPr>
            <w:noProof/>
            <w:webHidden/>
          </w:rPr>
        </w:r>
        <w:r w:rsidR="00B572AE">
          <w:rPr>
            <w:noProof/>
            <w:webHidden/>
          </w:rPr>
          <w:fldChar w:fldCharType="separate"/>
        </w:r>
        <w:r w:rsidR="00B572AE">
          <w:rPr>
            <w:noProof/>
            <w:webHidden/>
          </w:rPr>
          <w:t>105</w:t>
        </w:r>
        <w:r w:rsidR="00B572AE">
          <w:rPr>
            <w:noProof/>
            <w:webHidden/>
          </w:rPr>
          <w:fldChar w:fldCharType="end"/>
        </w:r>
      </w:hyperlink>
    </w:p>
    <w:p w14:paraId="239846EE" w14:textId="05135B54"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679" w:history="1">
        <w:r w:rsidR="00B572AE" w:rsidRPr="00EE0A8E">
          <w:rPr>
            <w:rStyle w:val="Hyperlink"/>
            <w:rFonts w:cstheme="minorHAnsi"/>
            <w:noProof/>
          </w:rPr>
          <w:t>Tabela 17 – Resumo das contratações diretas</w:t>
        </w:r>
        <w:r w:rsidR="00B572AE">
          <w:rPr>
            <w:noProof/>
            <w:webHidden/>
          </w:rPr>
          <w:tab/>
        </w:r>
        <w:r w:rsidR="00B572AE">
          <w:rPr>
            <w:noProof/>
            <w:webHidden/>
          </w:rPr>
          <w:fldChar w:fldCharType="begin"/>
        </w:r>
        <w:r w:rsidR="00B572AE">
          <w:rPr>
            <w:noProof/>
            <w:webHidden/>
          </w:rPr>
          <w:instrText xml:space="preserve"> PAGEREF _Toc103680679 \h </w:instrText>
        </w:r>
        <w:r w:rsidR="00B572AE">
          <w:rPr>
            <w:noProof/>
            <w:webHidden/>
          </w:rPr>
        </w:r>
        <w:r w:rsidR="00B572AE">
          <w:rPr>
            <w:noProof/>
            <w:webHidden/>
          </w:rPr>
          <w:fldChar w:fldCharType="separate"/>
        </w:r>
        <w:r w:rsidR="00B572AE">
          <w:rPr>
            <w:noProof/>
            <w:webHidden/>
          </w:rPr>
          <w:t>107</w:t>
        </w:r>
        <w:r w:rsidR="00B572AE">
          <w:rPr>
            <w:noProof/>
            <w:webHidden/>
          </w:rPr>
          <w:fldChar w:fldCharType="end"/>
        </w:r>
      </w:hyperlink>
    </w:p>
    <w:p w14:paraId="23E5DE85" w14:textId="21C92FCC"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680" w:history="1">
        <w:r w:rsidR="00B572AE" w:rsidRPr="00EE0A8E">
          <w:rPr>
            <w:rStyle w:val="Hyperlink"/>
            <w:rFonts w:cstheme="minorHAnsi"/>
            <w:noProof/>
          </w:rPr>
          <w:t>Tabela 18 – Outros instrumentos</w:t>
        </w:r>
        <w:r w:rsidR="00B572AE">
          <w:rPr>
            <w:noProof/>
            <w:webHidden/>
          </w:rPr>
          <w:tab/>
        </w:r>
        <w:r w:rsidR="00B572AE">
          <w:rPr>
            <w:noProof/>
            <w:webHidden/>
          </w:rPr>
          <w:fldChar w:fldCharType="begin"/>
        </w:r>
        <w:r w:rsidR="00B572AE">
          <w:rPr>
            <w:noProof/>
            <w:webHidden/>
          </w:rPr>
          <w:instrText xml:space="preserve"> PAGEREF _Toc103680680 \h </w:instrText>
        </w:r>
        <w:r w:rsidR="00B572AE">
          <w:rPr>
            <w:noProof/>
            <w:webHidden/>
          </w:rPr>
        </w:r>
        <w:r w:rsidR="00B572AE">
          <w:rPr>
            <w:noProof/>
            <w:webHidden/>
          </w:rPr>
          <w:fldChar w:fldCharType="separate"/>
        </w:r>
        <w:r w:rsidR="00B572AE">
          <w:rPr>
            <w:noProof/>
            <w:webHidden/>
          </w:rPr>
          <w:t>107</w:t>
        </w:r>
        <w:r w:rsidR="00B572AE">
          <w:rPr>
            <w:noProof/>
            <w:webHidden/>
          </w:rPr>
          <w:fldChar w:fldCharType="end"/>
        </w:r>
      </w:hyperlink>
    </w:p>
    <w:p w14:paraId="449667C9" w14:textId="7E69ECAE"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681" w:history="1">
        <w:r w:rsidR="00B572AE" w:rsidRPr="00EE0A8E">
          <w:rPr>
            <w:rStyle w:val="Hyperlink"/>
            <w:rFonts w:cstheme="minorHAnsi"/>
            <w:noProof/>
          </w:rPr>
          <w:t>Tabela 19 – Alienações 2021</w:t>
        </w:r>
        <w:r w:rsidR="00B572AE">
          <w:rPr>
            <w:noProof/>
            <w:webHidden/>
          </w:rPr>
          <w:tab/>
        </w:r>
        <w:r w:rsidR="00B572AE">
          <w:rPr>
            <w:noProof/>
            <w:webHidden/>
          </w:rPr>
          <w:fldChar w:fldCharType="begin"/>
        </w:r>
        <w:r w:rsidR="00B572AE">
          <w:rPr>
            <w:noProof/>
            <w:webHidden/>
          </w:rPr>
          <w:instrText xml:space="preserve"> PAGEREF _Toc103680681 \h </w:instrText>
        </w:r>
        <w:r w:rsidR="00B572AE">
          <w:rPr>
            <w:noProof/>
            <w:webHidden/>
          </w:rPr>
        </w:r>
        <w:r w:rsidR="00B572AE">
          <w:rPr>
            <w:noProof/>
            <w:webHidden/>
          </w:rPr>
          <w:fldChar w:fldCharType="separate"/>
        </w:r>
        <w:r w:rsidR="00B572AE">
          <w:rPr>
            <w:noProof/>
            <w:webHidden/>
          </w:rPr>
          <w:t>111</w:t>
        </w:r>
        <w:r w:rsidR="00B572AE">
          <w:rPr>
            <w:noProof/>
            <w:webHidden/>
          </w:rPr>
          <w:fldChar w:fldCharType="end"/>
        </w:r>
      </w:hyperlink>
    </w:p>
    <w:p w14:paraId="59187132" w14:textId="0A7045C2"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682" w:history="1">
        <w:r w:rsidR="00B572AE" w:rsidRPr="00EE0A8E">
          <w:rPr>
            <w:rStyle w:val="Hyperlink"/>
            <w:rFonts w:cstheme="minorHAnsi"/>
            <w:noProof/>
          </w:rPr>
          <w:t>Tabela 20 – Plano de Investimento do PDTI em 2021</w:t>
        </w:r>
        <w:r w:rsidR="00B572AE">
          <w:rPr>
            <w:noProof/>
            <w:webHidden/>
          </w:rPr>
          <w:tab/>
        </w:r>
        <w:r w:rsidR="00B572AE">
          <w:rPr>
            <w:noProof/>
            <w:webHidden/>
          </w:rPr>
          <w:fldChar w:fldCharType="begin"/>
        </w:r>
        <w:r w:rsidR="00B572AE">
          <w:rPr>
            <w:noProof/>
            <w:webHidden/>
          </w:rPr>
          <w:instrText xml:space="preserve"> PAGEREF _Toc103680682 \h </w:instrText>
        </w:r>
        <w:r w:rsidR="00B572AE">
          <w:rPr>
            <w:noProof/>
            <w:webHidden/>
          </w:rPr>
        </w:r>
        <w:r w:rsidR="00B572AE">
          <w:rPr>
            <w:noProof/>
            <w:webHidden/>
          </w:rPr>
          <w:fldChar w:fldCharType="separate"/>
        </w:r>
        <w:r w:rsidR="00B572AE">
          <w:rPr>
            <w:noProof/>
            <w:webHidden/>
          </w:rPr>
          <w:t>115</w:t>
        </w:r>
        <w:r w:rsidR="00B572AE">
          <w:rPr>
            <w:noProof/>
            <w:webHidden/>
          </w:rPr>
          <w:fldChar w:fldCharType="end"/>
        </w:r>
      </w:hyperlink>
    </w:p>
    <w:p w14:paraId="19BB6994" w14:textId="2A5F1491"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683" w:history="1">
        <w:r w:rsidR="00B572AE" w:rsidRPr="00EE0A8E">
          <w:rPr>
            <w:rStyle w:val="Hyperlink"/>
            <w:rFonts w:cstheme="minorHAnsi"/>
            <w:noProof/>
          </w:rPr>
          <w:t>Tabela 21 – Ações executadas em 2021 por cliente</w:t>
        </w:r>
        <w:r w:rsidR="00B572AE">
          <w:rPr>
            <w:noProof/>
            <w:webHidden/>
          </w:rPr>
          <w:tab/>
        </w:r>
        <w:r w:rsidR="00B572AE">
          <w:rPr>
            <w:noProof/>
            <w:webHidden/>
          </w:rPr>
          <w:fldChar w:fldCharType="begin"/>
        </w:r>
        <w:r w:rsidR="00B572AE">
          <w:rPr>
            <w:noProof/>
            <w:webHidden/>
          </w:rPr>
          <w:instrText xml:space="preserve"> PAGEREF _Toc103680683 \h </w:instrText>
        </w:r>
        <w:r w:rsidR="00B572AE">
          <w:rPr>
            <w:noProof/>
            <w:webHidden/>
          </w:rPr>
        </w:r>
        <w:r w:rsidR="00B572AE">
          <w:rPr>
            <w:noProof/>
            <w:webHidden/>
          </w:rPr>
          <w:fldChar w:fldCharType="separate"/>
        </w:r>
        <w:r w:rsidR="00B572AE">
          <w:rPr>
            <w:noProof/>
            <w:webHidden/>
          </w:rPr>
          <w:t>119</w:t>
        </w:r>
        <w:r w:rsidR="00B572AE">
          <w:rPr>
            <w:noProof/>
            <w:webHidden/>
          </w:rPr>
          <w:fldChar w:fldCharType="end"/>
        </w:r>
      </w:hyperlink>
    </w:p>
    <w:p w14:paraId="45CE0125" w14:textId="3528E471"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684" w:history="1">
        <w:r w:rsidR="00B572AE" w:rsidRPr="00EE0A8E">
          <w:rPr>
            <w:rStyle w:val="Hyperlink"/>
            <w:rFonts w:cstheme="minorHAnsi"/>
            <w:noProof/>
          </w:rPr>
          <w:t>Tabela 22 – Principais atendimentos por Cadeia de Valor</w:t>
        </w:r>
        <w:r w:rsidR="00B572AE">
          <w:rPr>
            <w:noProof/>
            <w:webHidden/>
          </w:rPr>
          <w:tab/>
        </w:r>
        <w:r w:rsidR="00B572AE">
          <w:rPr>
            <w:noProof/>
            <w:webHidden/>
          </w:rPr>
          <w:fldChar w:fldCharType="begin"/>
        </w:r>
        <w:r w:rsidR="00B572AE">
          <w:rPr>
            <w:noProof/>
            <w:webHidden/>
          </w:rPr>
          <w:instrText xml:space="preserve"> PAGEREF _Toc103680684 \h </w:instrText>
        </w:r>
        <w:r w:rsidR="00B572AE">
          <w:rPr>
            <w:noProof/>
            <w:webHidden/>
          </w:rPr>
        </w:r>
        <w:r w:rsidR="00B572AE">
          <w:rPr>
            <w:noProof/>
            <w:webHidden/>
          </w:rPr>
          <w:fldChar w:fldCharType="separate"/>
        </w:r>
        <w:r w:rsidR="00B572AE">
          <w:rPr>
            <w:noProof/>
            <w:webHidden/>
          </w:rPr>
          <w:t>120</w:t>
        </w:r>
        <w:r w:rsidR="00B572AE">
          <w:rPr>
            <w:noProof/>
            <w:webHidden/>
          </w:rPr>
          <w:fldChar w:fldCharType="end"/>
        </w:r>
      </w:hyperlink>
    </w:p>
    <w:p w14:paraId="0B0ED2FE" w14:textId="057638AF"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685" w:history="1">
        <w:r w:rsidR="00B572AE" w:rsidRPr="00EE0A8E">
          <w:rPr>
            <w:rStyle w:val="Hyperlink"/>
            <w:rFonts w:cstheme="minorHAnsi"/>
            <w:noProof/>
          </w:rPr>
          <w:t>Tabela 23 – Metas SUPTI atrasadas</w:t>
        </w:r>
        <w:r w:rsidR="00B572AE">
          <w:rPr>
            <w:noProof/>
            <w:webHidden/>
          </w:rPr>
          <w:tab/>
        </w:r>
        <w:r w:rsidR="00B572AE">
          <w:rPr>
            <w:noProof/>
            <w:webHidden/>
          </w:rPr>
          <w:fldChar w:fldCharType="begin"/>
        </w:r>
        <w:r w:rsidR="00B572AE">
          <w:rPr>
            <w:noProof/>
            <w:webHidden/>
          </w:rPr>
          <w:instrText xml:space="preserve"> PAGEREF _Toc103680685 \h </w:instrText>
        </w:r>
        <w:r w:rsidR="00B572AE">
          <w:rPr>
            <w:noProof/>
            <w:webHidden/>
          </w:rPr>
        </w:r>
        <w:r w:rsidR="00B572AE">
          <w:rPr>
            <w:noProof/>
            <w:webHidden/>
          </w:rPr>
          <w:fldChar w:fldCharType="separate"/>
        </w:r>
        <w:r w:rsidR="00B572AE">
          <w:rPr>
            <w:noProof/>
            <w:webHidden/>
          </w:rPr>
          <w:t>121</w:t>
        </w:r>
        <w:r w:rsidR="00B572AE">
          <w:rPr>
            <w:noProof/>
            <w:webHidden/>
          </w:rPr>
          <w:fldChar w:fldCharType="end"/>
        </w:r>
      </w:hyperlink>
    </w:p>
    <w:p w14:paraId="52C118FD" w14:textId="54D1FE3E"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686" w:history="1">
        <w:r w:rsidR="00B572AE" w:rsidRPr="00EE0A8E">
          <w:rPr>
            <w:rStyle w:val="Hyperlink"/>
            <w:rFonts w:cstheme="minorHAnsi"/>
            <w:noProof/>
          </w:rPr>
          <w:t>Tabela 24 – Metas SUPTI em progresso</w:t>
        </w:r>
        <w:r w:rsidR="00B572AE">
          <w:rPr>
            <w:noProof/>
            <w:webHidden/>
          </w:rPr>
          <w:tab/>
        </w:r>
        <w:r w:rsidR="00B572AE">
          <w:rPr>
            <w:noProof/>
            <w:webHidden/>
          </w:rPr>
          <w:fldChar w:fldCharType="begin"/>
        </w:r>
        <w:r w:rsidR="00B572AE">
          <w:rPr>
            <w:noProof/>
            <w:webHidden/>
          </w:rPr>
          <w:instrText xml:space="preserve"> PAGEREF _Toc103680686 \h </w:instrText>
        </w:r>
        <w:r w:rsidR="00B572AE">
          <w:rPr>
            <w:noProof/>
            <w:webHidden/>
          </w:rPr>
        </w:r>
        <w:r w:rsidR="00B572AE">
          <w:rPr>
            <w:noProof/>
            <w:webHidden/>
          </w:rPr>
          <w:fldChar w:fldCharType="separate"/>
        </w:r>
        <w:r w:rsidR="00B572AE">
          <w:rPr>
            <w:noProof/>
            <w:webHidden/>
          </w:rPr>
          <w:t>121</w:t>
        </w:r>
        <w:r w:rsidR="00B572AE">
          <w:rPr>
            <w:noProof/>
            <w:webHidden/>
          </w:rPr>
          <w:fldChar w:fldCharType="end"/>
        </w:r>
      </w:hyperlink>
    </w:p>
    <w:p w14:paraId="54E87D06" w14:textId="1DA02AAA"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687" w:history="1">
        <w:r w:rsidR="00B572AE" w:rsidRPr="00EE0A8E">
          <w:rPr>
            <w:rStyle w:val="Hyperlink"/>
            <w:rFonts w:cstheme="minorHAnsi"/>
            <w:noProof/>
          </w:rPr>
          <w:t>Tabela 25 – Quantidade de manifestações e Ranking de SIC e de Ouvidoria  da Valec entre os anos de 2018 a 2021.</w:t>
        </w:r>
        <w:r w:rsidR="00B572AE">
          <w:rPr>
            <w:noProof/>
            <w:webHidden/>
          </w:rPr>
          <w:tab/>
        </w:r>
        <w:r w:rsidR="00B572AE">
          <w:rPr>
            <w:noProof/>
            <w:webHidden/>
          </w:rPr>
          <w:fldChar w:fldCharType="begin"/>
        </w:r>
        <w:r w:rsidR="00B572AE">
          <w:rPr>
            <w:noProof/>
            <w:webHidden/>
          </w:rPr>
          <w:instrText xml:space="preserve"> PAGEREF _Toc103680687 \h </w:instrText>
        </w:r>
        <w:r w:rsidR="00B572AE">
          <w:rPr>
            <w:noProof/>
            <w:webHidden/>
          </w:rPr>
        </w:r>
        <w:r w:rsidR="00B572AE">
          <w:rPr>
            <w:noProof/>
            <w:webHidden/>
          </w:rPr>
          <w:fldChar w:fldCharType="separate"/>
        </w:r>
        <w:r w:rsidR="00B572AE">
          <w:rPr>
            <w:noProof/>
            <w:webHidden/>
          </w:rPr>
          <w:t>134</w:t>
        </w:r>
        <w:r w:rsidR="00B572AE">
          <w:rPr>
            <w:noProof/>
            <w:webHidden/>
          </w:rPr>
          <w:fldChar w:fldCharType="end"/>
        </w:r>
      </w:hyperlink>
    </w:p>
    <w:p w14:paraId="76112438" w14:textId="6FDF4826"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688" w:history="1">
        <w:r w:rsidR="00B572AE" w:rsidRPr="00EE0A8E">
          <w:rPr>
            <w:rStyle w:val="Hyperlink"/>
            <w:rFonts w:cstheme="minorHAnsi"/>
            <w:noProof/>
          </w:rPr>
          <w:t>Tabela 26 – Variação do tempo de resposta nas manifestações de Ouvidoria  da Valec entre os anos de 2020 e 2021.</w:t>
        </w:r>
        <w:r w:rsidR="00B572AE">
          <w:rPr>
            <w:noProof/>
            <w:webHidden/>
          </w:rPr>
          <w:tab/>
        </w:r>
        <w:r w:rsidR="00B572AE">
          <w:rPr>
            <w:noProof/>
            <w:webHidden/>
          </w:rPr>
          <w:fldChar w:fldCharType="begin"/>
        </w:r>
        <w:r w:rsidR="00B572AE">
          <w:rPr>
            <w:noProof/>
            <w:webHidden/>
          </w:rPr>
          <w:instrText xml:space="preserve"> PAGEREF _Toc103680688 \h </w:instrText>
        </w:r>
        <w:r w:rsidR="00B572AE">
          <w:rPr>
            <w:noProof/>
            <w:webHidden/>
          </w:rPr>
        </w:r>
        <w:r w:rsidR="00B572AE">
          <w:rPr>
            <w:noProof/>
            <w:webHidden/>
          </w:rPr>
          <w:fldChar w:fldCharType="separate"/>
        </w:r>
        <w:r w:rsidR="00B572AE">
          <w:rPr>
            <w:noProof/>
            <w:webHidden/>
          </w:rPr>
          <w:t>135</w:t>
        </w:r>
        <w:r w:rsidR="00B572AE">
          <w:rPr>
            <w:noProof/>
            <w:webHidden/>
          </w:rPr>
          <w:fldChar w:fldCharType="end"/>
        </w:r>
      </w:hyperlink>
    </w:p>
    <w:p w14:paraId="0AA77EC5" w14:textId="404953D9"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689" w:history="1">
        <w:r w:rsidR="00B572AE" w:rsidRPr="00EE0A8E">
          <w:rPr>
            <w:rStyle w:val="Hyperlink"/>
            <w:rFonts w:cstheme="minorHAnsi"/>
            <w:noProof/>
          </w:rPr>
          <w:t>Tabela 27 – (Ativo) Balanço patrimonial dos exercícios findos em 31 de dezembro de 2021</w:t>
        </w:r>
        <w:r w:rsidR="00B572AE">
          <w:rPr>
            <w:noProof/>
            <w:webHidden/>
          </w:rPr>
          <w:tab/>
        </w:r>
        <w:r w:rsidR="00B572AE">
          <w:rPr>
            <w:noProof/>
            <w:webHidden/>
          </w:rPr>
          <w:fldChar w:fldCharType="begin"/>
        </w:r>
        <w:r w:rsidR="00B572AE">
          <w:rPr>
            <w:noProof/>
            <w:webHidden/>
          </w:rPr>
          <w:instrText xml:space="preserve"> PAGEREF _Toc103680689 \h </w:instrText>
        </w:r>
        <w:r w:rsidR="00B572AE">
          <w:rPr>
            <w:noProof/>
            <w:webHidden/>
          </w:rPr>
        </w:r>
        <w:r w:rsidR="00B572AE">
          <w:rPr>
            <w:noProof/>
            <w:webHidden/>
          </w:rPr>
          <w:fldChar w:fldCharType="separate"/>
        </w:r>
        <w:r w:rsidR="00B572AE">
          <w:rPr>
            <w:noProof/>
            <w:webHidden/>
          </w:rPr>
          <w:t>144</w:t>
        </w:r>
        <w:r w:rsidR="00B572AE">
          <w:rPr>
            <w:noProof/>
            <w:webHidden/>
          </w:rPr>
          <w:fldChar w:fldCharType="end"/>
        </w:r>
      </w:hyperlink>
    </w:p>
    <w:p w14:paraId="56B6F9F2" w14:textId="1B1AC8C4"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690" w:history="1">
        <w:r w:rsidR="00B572AE" w:rsidRPr="00EE0A8E">
          <w:rPr>
            <w:rStyle w:val="Hyperlink"/>
            <w:rFonts w:cstheme="minorHAnsi"/>
            <w:noProof/>
          </w:rPr>
          <w:t>Tabela 28 – (Passivo) Balanço patrimonial dos exercícios findos em 31 de dezembro de 2021</w:t>
        </w:r>
        <w:r w:rsidR="00B572AE">
          <w:rPr>
            <w:noProof/>
            <w:webHidden/>
          </w:rPr>
          <w:tab/>
        </w:r>
        <w:r w:rsidR="00B572AE">
          <w:rPr>
            <w:noProof/>
            <w:webHidden/>
          </w:rPr>
          <w:fldChar w:fldCharType="begin"/>
        </w:r>
        <w:r w:rsidR="00B572AE">
          <w:rPr>
            <w:noProof/>
            <w:webHidden/>
          </w:rPr>
          <w:instrText xml:space="preserve"> PAGEREF _Toc103680690 \h </w:instrText>
        </w:r>
        <w:r w:rsidR="00B572AE">
          <w:rPr>
            <w:noProof/>
            <w:webHidden/>
          </w:rPr>
        </w:r>
        <w:r w:rsidR="00B572AE">
          <w:rPr>
            <w:noProof/>
            <w:webHidden/>
          </w:rPr>
          <w:fldChar w:fldCharType="separate"/>
        </w:r>
        <w:r w:rsidR="00B572AE">
          <w:rPr>
            <w:noProof/>
            <w:webHidden/>
          </w:rPr>
          <w:t>145</w:t>
        </w:r>
        <w:r w:rsidR="00B572AE">
          <w:rPr>
            <w:noProof/>
            <w:webHidden/>
          </w:rPr>
          <w:fldChar w:fldCharType="end"/>
        </w:r>
      </w:hyperlink>
    </w:p>
    <w:p w14:paraId="449FA376" w14:textId="0DD3D176"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691" w:history="1">
        <w:r w:rsidR="00B572AE" w:rsidRPr="00EE0A8E">
          <w:rPr>
            <w:rStyle w:val="Hyperlink"/>
            <w:rFonts w:cstheme="minorHAnsi"/>
            <w:noProof/>
          </w:rPr>
          <w:t>Tabela 29 – Demonstrações do resultado dos exercícios findos em 31 de dezembro de 2021</w:t>
        </w:r>
        <w:r w:rsidR="00B572AE">
          <w:rPr>
            <w:noProof/>
            <w:webHidden/>
          </w:rPr>
          <w:tab/>
        </w:r>
        <w:r w:rsidR="00B572AE">
          <w:rPr>
            <w:noProof/>
            <w:webHidden/>
          </w:rPr>
          <w:fldChar w:fldCharType="begin"/>
        </w:r>
        <w:r w:rsidR="00B572AE">
          <w:rPr>
            <w:noProof/>
            <w:webHidden/>
          </w:rPr>
          <w:instrText xml:space="preserve"> PAGEREF _Toc103680691 \h </w:instrText>
        </w:r>
        <w:r w:rsidR="00B572AE">
          <w:rPr>
            <w:noProof/>
            <w:webHidden/>
          </w:rPr>
        </w:r>
        <w:r w:rsidR="00B572AE">
          <w:rPr>
            <w:noProof/>
            <w:webHidden/>
          </w:rPr>
          <w:fldChar w:fldCharType="separate"/>
        </w:r>
        <w:r w:rsidR="00B572AE">
          <w:rPr>
            <w:noProof/>
            <w:webHidden/>
          </w:rPr>
          <w:t>146</w:t>
        </w:r>
        <w:r w:rsidR="00B572AE">
          <w:rPr>
            <w:noProof/>
            <w:webHidden/>
          </w:rPr>
          <w:fldChar w:fldCharType="end"/>
        </w:r>
      </w:hyperlink>
    </w:p>
    <w:p w14:paraId="3B4ECAF2" w14:textId="3E228B63"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692" w:history="1">
        <w:r w:rsidR="00B572AE" w:rsidRPr="00EE0A8E">
          <w:rPr>
            <w:rStyle w:val="Hyperlink"/>
            <w:rFonts w:cstheme="minorHAnsi"/>
            <w:noProof/>
          </w:rPr>
          <w:t>Tabela 30 – Conta Limite de Saque com Vinculação de Pagamento</w:t>
        </w:r>
        <w:r w:rsidR="00B572AE">
          <w:rPr>
            <w:noProof/>
            <w:webHidden/>
          </w:rPr>
          <w:tab/>
        </w:r>
        <w:r w:rsidR="00B572AE">
          <w:rPr>
            <w:noProof/>
            <w:webHidden/>
          </w:rPr>
          <w:fldChar w:fldCharType="begin"/>
        </w:r>
        <w:r w:rsidR="00B572AE">
          <w:rPr>
            <w:noProof/>
            <w:webHidden/>
          </w:rPr>
          <w:instrText xml:space="preserve"> PAGEREF _Toc103680692 \h </w:instrText>
        </w:r>
        <w:r w:rsidR="00B572AE">
          <w:rPr>
            <w:noProof/>
            <w:webHidden/>
          </w:rPr>
        </w:r>
        <w:r w:rsidR="00B572AE">
          <w:rPr>
            <w:noProof/>
            <w:webHidden/>
          </w:rPr>
          <w:fldChar w:fldCharType="separate"/>
        </w:r>
        <w:r w:rsidR="00B572AE">
          <w:rPr>
            <w:noProof/>
            <w:webHidden/>
          </w:rPr>
          <w:t>149</w:t>
        </w:r>
        <w:r w:rsidR="00B572AE">
          <w:rPr>
            <w:noProof/>
            <w:webHidden/>
          </w:rPr>
          <w:fldChar w:fldCharType="end"/>
        </w:r>
      </w:hyperlink>
    </w:p>
    <w:p w14:paraId="58CC8107" w14:textId="325AD1DF"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693" w:history="1">
        <w:r w:rsidR="00B572AE" w:rsidRPr="00EE0A8E">
          <w:rPr>
            <w:rStyle w:val="Hyperlink"/>
            <w:rFonts w:cstheme="minorHAnsi"/>
            <w:noProof/>
          </w:rPr>
          <w:t>Tabela 31 – Tributos a compensar</w:t>
        </w:r>
        <w:r w:rsidR="00B572AE">
          <w:rPr>
            <w:noProof/>
            <w:webHidden/>
          </w:rPr>
          <w:tab/>
        </w:r>
        <w:r w:rsidR="00B572AE">
          <w:rPr>
            <w:noProof/>
            <w:webHidden/>
          </w:rPr>
          <w:fldChar w:fldCharType="begin"/>
        </w:r>
        <w:r w:rsidR="00B572AE">
          <w:rPr>
            <w:noProof/>
            <w:webHidden/>
          </w:rPr>
          <w:instrText xml:space="preserve"> PAGEREF _Toc103680693 \h </w:instrText>
        </w:r>
        <w:r w:rsidR="00B572AE">
          <w:rPr>
            <w:noProof/>
            <w:webHidden/>
          </w:rPr>
        </w:r>
        <w:r w:rsidR="00B572AE">
          <w:rPr>
            <w:noProof/>
            <w:webHidden/>
          </w:rPr>
          <w:fldChar w:fldCharType="separate"/>
        </w:r>
        <w:r w:rsidR="00B572AE">
          <w:rPr>
            <w:noProof/>
            <w:webHidden/>
          </w:rPr>
          <w:t>149</w:t>
        </w:r>
        <w:r w:rsidR="00B572AE">
          <w:rPr>
            <w:noProof/>
            <w:webHidden/>
          </w:rPr>
          <w:fldChar w:fldCharType="end"/>
        </w:r>
      </w:hyperlink>
    </w:p>
    <w:p w14:paraId="387EBE96" w14:textId="49EC2CD6"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694" w:history="1">
        <w:r w:rsidR="00B572AE" w:rsidRPr="00EE0A8E">
          <w:rPr>
            <w:rStyle w:val="Hyperlink"/>
            <w:rFonts w:cstheme="minorHAnsi"/>
            <w:noProof/>
          </w:rPr>
          <w:t>Tabela 32 – Crédito previdenciário a compensar</w:t>
        </w:r>
        <w:r w:rsidR="00B572AE">
          <w:rPr>
            <w:noProof/>
            <w:webHidden/>
          </w:rPr>
          <w:tab/>
        </w:r>
        <w:r w:rsidR="00B572AE">
          <w:rPr>
            <w:noProof/>
            <w:webHidden/>
          </w:rPr>
          <w:fldChar w:fldCharType="begin"/>
        </w:r>
        <w:r w:rsidR="00B572AE">
          <w:rPr>
            <w:noProof/>
            <w:webHidden/>
          </w:rPr>
          <w:instrText xml:space="preserve"> PAGEREF _Toc103680694 \h </w:instrText>
        </w:r>
        <w:r w:rsidR="00B572AE">
          <w:rPr>
            <w:noProof/>
            <w:webHidden/>
          </w:rPr>
        </w:r>
        <w:r w:rsidR="00B572AE">
          <w:rPr>
            <w:noProof/>
            <w:webHidden/>
          </w:rPr>
          <w:fldChar w:fldCharType="separate"/>
        </w:r>
        <w:r w:rsidR="00B572AE">
          <w:rPr>
            <w:noProof/>
            <w:webHidden/>
          </w:rPr>
          <w:t>150</w:t>
        </w:r>
        <w:r w:rsidR="00B572AE">
          <w:rPr>
            <w:noProof/>
            <w:webHidden/>
          </w:rPr>
          <w:fldChar w:fldCharType="end"/>
        </w:r>
      </w:hyperlink>
    </w:p>
    <w:p w14:paraId="7162608C" w14:textId="478EEE06"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695" w:history="1">
        <w:r w:rsidR="00B572AE" w:rsidRPr="00EE0A8E">
          <w:rPr>
            <w:rStyle w:val="Hyperlink"/>
            <w:rFonts w:cstheme="minorHAnsi"/>
            <w:noProof/>
          </w:rPr>
          <w:t>Tabela 33 – Depósitos judiciais</w:t>
        </w:r>
        <w:r w:rsidR="00B572AE">
          <w:rPr>
            <w:noProof/>
            <w:webHidden/>
          </w:rPr>
          <w:tab/>
        </w:r>
        <w:r w:rsidR="00B572AE">
          <w:rPr>
            <w:noProof/>
            <w:webHidden/>
          </w:rPr>
          <w:fldChar w:fldCharType="begin"/>
        </w:r>
        <w:r w:rsidR="00B572AE">
          <w:rPr>
            <w:noProof/>
            <w:webHidden/>
          </w:rPr>
          <w:instrText xml:space="preserve"> PAGEREF _Toc103680695 \h </w:instrText>
        </w:r>
        <w:r w:rsidR="00B572AE">
          <w:rPr>
            <w:noProof/>
            <w:webHidden/>
          </w:rPr>
        </w:r>
        <w:r w:rsidR="00B572AE">
          <w:rPr>
            <w:noProof/>
            <w:webHidden/>
          </w:rPr>
          <w:fldChar w:fldCharType="separate"/>
        </w:r>
        <w:r w:rsidR="00B572AE">
          <w:rPr>
            <w:noProof/>
            <w:webHidden/>
          </w:rPr>
          <w:t>150</w:t>
        </w:r>
        <w:r w:rsidR="00B572AE">
          <w:rPr>
            <w:noProof/>
            <w:webHidden/>
          </w:rPr>
          <w:fldChar w:fldCharType="end"/>
        </w:r>
      </w:hyperlink>
    </w:p>
    <w:p w14:paraId="661ED5D1" w14:textId="5B11D635"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696" w:history="1">
        <w:r w:rsidR="00B572AE" w:rsidRPr="00EE0A8E">
          <w:rPr>
            <w:rStyle w:val="Hyperlink"/>
            <w:rFonts w:cstheme="minorHAnsi"/>
            <w:noProof/>
          </w:rPr>
          <w:t>Tabela 34 – Realizáveis a curto prazo</w:t>
        </w:r>
        <w:r w:rsidR="00B572AE">
          <w:rPr>
            <w:noProof/>
            <w:webHidden/>
          </w:rPr>
          <w:tab/>
        </w:r>
        <w:r w:rsidR="00B572AE">
          <w:rPr>
            <w:noProof/>
            <w:webHidden/>
          </w:rPr>
          <w:fldChar w:fldCharType="begin"/>
        </w:r>
        <w:r w:rsidR="00B572AE">
          <w:rPr>
            <w:noProof/>
            <w:webHidden/>
          </w:rPr>
          <w:instrText xml:space="preserve"> PAGEREF _Toc103680696 \h </w:instrText>
        </w:r>
        <w:r w:rsidR="00B572AE">
          <w:rPr>
            <w:noProof/>
            <w:webHidden/>
          </w:rPr>
        </w:r>
        <w:r w:rsidR="00B572AE">
          <w:rPr>
            <w:noProof/>
            <w:webHidden/>
          </w:rPr>
          <w:fldChar w:fldCharType="separate"/>
        </w:r>
        <w:r w:rsidR="00B572AE">
          <w:rPr>
            <w:noProof/>
            <w:webHidden/>
          </w:rPr>
          <w:t>151</w:t>
        </w:r>
        <w:r w:rsidR="00B572AE">
          <w:rPr>
            <w:noProof/>
            <w:webHidden/>
          </w:rPr>
          <w:fldChar w:fldCharType="end"/>
        </w:r>
      </w:hyperlink>
    </w:p>
    <w:p w14:paraId="47FD8F9D" w14:textId="24349FBA"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697" w:history="1">
        <w:r w:rsidR="00B572AE" w:rsidRPr="00EE0A8E">
          <w:rPr>
            <w:rStyle w:val="Hyperlink"/>
            <w:rFonts w:cstheme="minorHAnsi"/>
            <w:noProof/>
          </w:rPr>
          <w:t>Tabela 35 – Realizável a longo prazo</w:t>
        </w:r>
        <w:r w:rsidR="00B572AE">
          <w:rPr>
            <w:noProof/>
            <w:webHidden/>
          </w:rPr>
          <w:tab/>
        </w:r>
        <w:r w:rsidR="00B572AE">
          <w:rPr>
            <w:noProof/>
            <w:webHidden/>
          </w:rPr>
          <w:fldChar w:fldCharType="begin"/>
        </w:r>
        <w:r w:rsidR="00B572AE">
          <w:rPr>
            <w:noProof/>
            <w:webHidden/>
          </w:rPr>
          <w:instrText xml:space="preserve"> PAGEREF _Toc103680697 \h </w:instrText>
        </w:r>
        <w:r w:rsidR="00B572AE">
          <w:rPr>
            <w:noProof/>
            <w:webHidden/>
          </w:rPr>
        </w:r>
        <w:r w:rsidR="00B572AE">
          <w:rPr>
            <w:noProof/>
            <w:webHidden/>
          </w:rPr>
          <w:fldChar w:fldCharType="separate"/>
        </w:r>
        <w:r w:rsidR="00B572AE">
          <w:rPr>
            <w:noProof/>
            <w:webHidden/>
          </w:rPr>
          <w:t>151</w:t>
        </w:r>
        <w:r w:rsidR="00B572AE">
          <w:rPr>
            <w:noProof/>
            <w:webHidden/>
          </w:rPr>
          <w:fldChar w:fldCharType="end"/>
        </w:r>
      </w:hyperlink>
    </w:p>
    <w:p w14:paraId="657B47F5" w14:textId="0DC0D4E8"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698" w:history="1">
        <w:r w:rsidR="00B572AE" w:rsidRPr="00EE0A8E">
          <w:rPr>
            <w:rStyle w:val="Hyperlink"/>
            <w:rFonts w:cstheme="minorHAnsi"/>
            <w:noProof/>
          </w:rPr>
          <w:t>Tabela 36 – Investimentos</w:t>
        </w:r>
        <w:r w:rsidR="00B572AE">
          <w:rPr>
            <w:noProof/>
            <w:webHidden/>
          </w:rPr>
          <w:tab/>
        </w:r>
        <w:r w:rsidR="00B572AE">
          <w:rPr>
            <w:noProof/>
            <w:webHidden/>
          </w:rPr>
          <w:fldChar w:fldCharType="begin"/>
        </w:r>
        <w:r w:rsidR="00B572AE">
          <w:rPr>
            <w:noProof/>
            <w:webHidden/>
          </w:rPr>
          <w:instrText xml:space="preserve"> PAGEREF _Toc103680698 \h </w:instrText>
        </w:r>
        <w:r w:rsidR="00B572AE">
          <w:rPr>
            <w:noProof/>
            <w:webHidden/>
          </w:rPr>
        </w:r>
        <w:r w:rsidR="00B572AE">
          <w:rPr>
            <w:noProof/>
            <w:webHidden/>
          </w:rPr>
          <w:fldChar w:fldCharType="separate"/>
        </w:r>
        <w:r w:rsidR="00B572AE">
          <w:rPr>
            <w:noProof/>
            <w:webHidden/>
          </w:rPr>
          <w:t>152</w:t>
        </w:r>
        <w:r w:rsidR="00B572AE">
          <w:rPr>
            <w:noProof/>
            <w:webHidden/>
          </w:rPr>
          <w:fldChar w:fldCharType="end"/>
        </w:r>
      </w:hyperlink>
    </w:p>
    <w:p w14:paraId="45847E9C" w14:textId="05033F54"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699" w:history="1">
        <w:r w:rsidR="00B572AE" w:rsidRPr="00EE0A8E">
          <w:rPr>
            <w:rStyle w:val="Hyperlink"/>
            <w:rFonts w:cstheme="minorHAnsi"/>
            <w:noProof/>
          </w:rPr>
          <w:t>Tabela 37 – Composição e fluxo do ativo imobilizado</w:t>
        </w:r>
        <w:r w:rsidR="00B572AE">
          <w:rPr>
            <w:noProof/>
            <w:webHidden/>
          </w:rPr>
          <w:tab/>
        </w:r>
        <w:r w:rsidR="00B572AE">
          <w:rPr>
            <w:noProof/>
            <w:webHidden/>
          </w:rPr>
          <w:fldChar w:fldCharType="begin"/>
        </w:r>
        <w:r w:rsidR="00B572AE">
          <w:rPr>
            <w:noProof/>
            <w:webHidden/>
          </w:rPr>
          <w:instrText xml:space="preserve"> PAGEREF _Toc103680699 \h </w:instrText>
        </w:r>
        <w:r w:rsidR="00B572AE">
          <w:rPr>
            <w:noProof/>
            <w:webHidden/>
          </w:rPr>
        </w:r>
        <w:r w:rsidR="00B572AE">
          <w:rPr>
            <w:noProof/>
            <w:webHidden/>
          </w:rPr>
          <w:fldChar w:fldCharType="separate"/>
        </w:r>
        <w:r w:rsidR="00B572AE">
          <w:rPr>
            <w:noProof/>
            <w:webHidden/>
          </w:rPr>
          <w:t>153</w:t>
        </w:r>
        <w:r w:rsidR="00B572AE">
          <w:rPr>
            <w:noProof/>
            <w:webHidden/>
          </w:rPr>
          <w:fldChar w:fldCharType="end"/>
        </w:r>
      </w:hyperlink>
    </w:p>
    <w:p w14:paraId="06FA0323" w14:textId="55169E6B"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700" w:history="1">
        <w:r w:rsidR="00B572AE" w:rsidRPr="00EE0A8E">
          <w:rPr>
            <w:rStyle w:val="Hyperlink"/>
            <w:rFonts w:cstheme="minorHAnsi"/>
            <w:noProof/>
          </w:rPr>
          <w:t>Tabela 38 – Investimento cruzado</w:t>
        </w:r>
        <w:r w:rsidR="00B572AE">
          <w:rPr>
            <w:noProof/>
            <w:webHidden/>
          </w:rPr>
          <w:tab/>
        </w:r>
        <w:r w:rsidR="00B572AE">
          <w:rPr>
            <w:noProof/>
            <w:webHidden/>
          </w:rPr>
          <w:fldChar w:fldCharType="begin"/>
        </w:r>
        <w:r w:rsidR="00B572AE">
          <w:rPr>
            <w:noProof/>
            <w:webHidden/>
          </w:rPr>
          <w:instrText xml:space="preserve"> PAGEREF _Toc103680700 \h </w:instrText>
        </w:r>
        <w:r w:rsidR="00B572AE">
          <w:rPr>
            <w:noProof/>
            <w:webHidden/>
          </w:rPr>
        </w:r>
        <w:r w:rsidR="00B572AE">
          <w:rPr>
            <w:noProof/>
            <w:webHidden/>
          </w:rPr>
          <w:fldChar w:fldCharType="separate"/>
        </w:r>
        <w:r w:rsidR="00B572AE">
          <w:rPr>
            <w:noProof/>
            <w:webHidden/>
          </w:rPr>
          <w:t>160</w:t>
        </w:r>
        <w:r w:rsidR="00B572AE">
          <w:rPr>
            <w:noProof/>
            <w:webHidden/>
          </w:rPr>
          <w:fldChar w:fldCharType="end"/>
        </w:r>
      </w:hyperlink>
    </w:p>
    <w:p w14:paraId="40570EBC" w14:textId="23239D3C"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701" w:history="1">
        <w:r w:rsidR="00B572AE" w:rsidRPr="00EE0A8E">
          <w:rPr>
            <w:rStyle w:val="Hyperlink"/>
            <w:rFonts w:cstheme="minorHAnsi"/>
            <w:noProof/>
          </w:rPr>
          <w:t>Tabela 39 – Intangível</w:t>
        </w:r>
        <w:r w:rsidR="00B572AE">
          <w:rPr>
            <w:noProof/>
            <w:webHidden/>
          </w:rPr>
          <w:tab/>
        </w:r>
        <w:r w:rsidR="00B572AE">
          <w:rPr>
            <w:noProof/>
            <w:webHidden/>
          </w:rPr>
          <w:fldChar w:fldCharType="begin"/>
        </w:r>
        <w:r w:rsidR="00B572AE">
          <w:rPr>
            <w:noProof/>
            <w:webHidden/>
          </w:rPr>
          <w:instrText xml:space="preserve"> PAGEREF _Toc103680701 \h </w:instrText>
        </w:r>
        <w:r w:rsidR="00B572AE">
          <w:rPr>
            <w:noProof/>
            <w:webHidden/>
          </w:rPr>
        </w:r>
        <w:r w:rsidR="00B572AE">
          <w:rPr>
            <w:noProof/>
            <w:webHidden/>
          </w:rPr>
          <w:fldChar w:fldCharType="separate"/>
        </w:r>
        <w:r w:rsidR="00B572AE">
          <w:rPr>
            <w:noProof/>
            <w:webHidden/>
          </w:rPr>
          <w:t>161</w:t>
        </w:r>
        <w:r w:rsidR="00B572AE">
          <w:rPr>
            <w:noProof/>
            <w:webHidden/>
          </w:rPr>
          <w:fldChar w:fldCharType="end"/>
        </w:r>
      </w:hyperlink>
    </w:p>
    <w:p w14:paraId="66DD24E7" w14:textId="20F3BE2F"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702" w:history="1">
        <w:r w:rsidR="00B572AE" w:rsidRPr="00EE0A8E">
          <w:rPr>
            <w:rStyle w:val="Hyperlink"/>
            <w:rFonts w:cstheme="minorHAnsi"/>
            <w:noProof/>
          </w:rPr>
          <w:t>Tabela 40 – Depósitos retidos sobre fornecedores</w:t>
        </w:r>
        <w:r w:rsidR="00B572AE">
          <w:rPr>
            <w:noProof/>
            <w:webHidden/>
          </w:rPr>
          <w:tab/>
        </w:r>
        <w:r w:rsidR="00B572AE">
          <w:rPr>
            <w:noProof/>
            <w:webHidden/>
          </w:rPr>
          <w:fldChar w:fldCharType="begin"/>
        </w:r>
        <w:r w:rsidR="00B572AE">
          <w:rPr>
            <w:noProof/>
            <w:webHidden/>
          </w:rPr>
          <w:instrText xml:space="preserve"> PAGEREF _Toc103680702 \h </w:instrText>
        </w:r>
        <w:r w:rsidR="00B572AE">
          <w:rPr>
            <w:noProof/>
            <w:webHidden/>
          </w:rPr>
        </w:r>
        <w:r w:rsidR="00B572AE">
          <w:rPr>
            <w:noProof/>
            <w:webHidden/>
          </w:rPr>
          <w:fldChar w:fldCharType="separate"/>
        </w:r>
        <w:r w:rsidR="00B572AE">
          <w:rPr>
            <w:noProof/>
            <w:webHidden/>
          </w:rPr>
          <w:t>162</w:t>
        </w:r>
        <w:r w:rsidR="00B572AE">
          <w:rPr>
            <w:noProof/>
            <w:webHidden/>
          </w:rPr>
          <w:fldChar w:fldCharType="end"/>
        </w:r>
      </w:hyperlink>
    </w:p>
    <w:p w14:paraId="4CDD8D41" w14:textId="3048AFB7"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703" w:history="1">
        <w:r w:rsidR="00B572AE" w:rsidRPr="00EE0A8E">
          <w:rPr>
            <w:rStyle w:val="Hyperlink"/>
            <w:rFonts w:cstheme="minorHAnsi"/>
            <w:noProof/>
          </w:rPr>
          <w:t>Tabela 41 – Processo: PA 007980-80-2015.4.04.8000</w:t>
        </w:r>
        <w:r w:rsidR="00B572AE">
          <w:rPr>
            <w:noProof/>
            <w:webHidden/>
          </w:rPr>
          <w:tab/>
        </w:r>
        <w:r w:rsidR="00B572AE">
          <w:rPr>
            <w:noProof/>
            <w:webHidden/>
          </w:rPr>
          <w:fldChar w:fldCharType="begin"/>
        </w:r>
        <w:r w:rsidR="00B572AE">
          <w:rPr>
            <w:noProof/>
            <w:webHidden/>
          </w:rPr>
          <w:instrText xml:space="preserve"> PAGEREF _Toc103680703 \h </w:instrText>
        </w:r>
        <w:r w:rsidR="00B572AE">
          <w:rPr>
            <w:noProof/>
            <w:webHidden/>
          </w:rPr>
        </w:r>
        <w:r w:rsidR="00B572AE">
          <w:rPr>
            <w:noProof/>
            <w:webHidden/>
          </w:rPr>
          <w:fldChar w:fldCharType="separate"/>
        </w:r>
        <w:r w:rsidR="00B572AE">
          <w:rPr>
            <w:noProof/>
            <w:webHidden/>
          </w:rPr>
          <w:t>162</w:t>
        </w:r>
        <w:r w:rsidR="00B572AE">
          <w:rPr>
            <w:noProof/>
            <w:webHidden/>
          </w:rPr>
          <w:fldChar w:fldCharType="end"/>
        </w:r>
      </w:hyperlink>
    </w:p>
    <w:p w14:paraId="6A80E08F" w14:textId="5FD1C3C7"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704" w:history="1">
        <w:r w:rsidR="00B572AE" w:rsidRPr="00EE0A8E">
          <w:rPr>
            <w:rStyle w:val="Hyperlink"/>
            <w:rFonts w:cstheme="minorHAnsi"/>
            <w:noProof/>
          </w:rPr>
          <w:t>Tabela 42 – Processo: PA 007980-80-2015.4.04.8000</w:t>
        </w:r>
        <w:r w:rsidR="00B572AE">
          <w:rPr>
            <w:noProof/>
            <w:webHidden/>
          </w:rPr>
          <w:tab/>
        </w:r>
        <w:r w:rsidR="00B572AE">
          <w:rPr>
            <w:noProof/>
            <w:webHidden/>
          </w:rPr>
          <w:fldChar w:fldCharType="begin"/>
        </w:r>
        <w:r w:rsidR="00B572AE">
          <w:rPr>
            <w:noProof/>
            <w:webHidden/>
          </w:rPr>
          <w:instrText xml:space="preserve"> PAGEREF _Toc103680704 \h </w:instrText>
        </w:r>
        <w:r w:rsidR="00B572AE">
          <w:rPr>
            <w:noProof/>
            <w:webHidden/>
          </w:rPr>
        </w:r>
        <w:r w:rsidR="00B572AE">
          <w:rPr>
            <w:noProof/>
            <w:webHidden/>
          </w:rPr>
          <w:fldChar w:fldCharType="separate"/>
        </w:r>
        <w:r w:rsidR="00B572AE">
          <w:rPr>
            <w:noProof/>
            <w:webHidden/>
          </w:rPr>
          <w:t>162</w:t>
        </w:r>
        <w:r w:rsidR="00B572AE">
          <w:rPr>
            <w:noProof/>
            <w:webHidden/>
          </w:rPr>
          <w:fldChar w:fldCharType="end"/>
        </w:r>
      </w:hyperlink>
    </w:p>
    <w:p w14:paraId="6D33C801" w14:textId="410A6146"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705" w:history="1">
        <w:r w:rsidR="00B572AE" w:rsidRPr="00EE0A8E">
          <w:rPr>
            <w:rStyle w:val="Hyperlink"/>
            <w:rFonts w:cstheme="minorHAnsi"/>
            <w:noProof/>
          </w:rPr>
          <w:t>Tabela 43 – Ações com risco de perda provável</w:t>
        </w:r>
        <w:r w:rsidR="00B572AE">
          <w:rPr>
            <w:noProof/>
            <w:webHidden/>
          </w:rPr>
          <w:tab/>
        </w:r>
        <w:r w:rsidR="00B572AE">
          <w:rPr>
            <w:noProof/>
            <w:webHidden/>
          </w:rPr>
          <w:fldChar w:fldCharType="begin"/>
        </w:r>
        <w:r w:rsidR="00B572AE">
          <w:rPr>
            <w:noProof/>
            <w:webHidden/>
          </w:rPr>
          <w:instrText xml:space="preserve"> PAGEREF _Toc103680705 \h </w:instrText>
        </w:r>
        <w:r w:rsidR="00B572AE">
          <w:rPr>
            <w:noProof/>
            <w:webHidden/>
          </w:rPr>
        </w:r>
        <w:r w:rsidR="00B572AE">
          <w:rPr>
            <w:noProof/>
            <w:webHidden/>
          </w:rPr>
          <w:fldChar w:fldCharType="separate"/>
        </w:r>
        <w:r w:rsidR="00B572AE">
          <w:rPr>
            <w:noProof/>
            <w:webHidden/>
          </w:rPr>
          <w:t>164</w:t>
        </w:r>
        <w:r w:rsidR="00B572AE">
          <w:rPr>
            <w:noProof/>
            <w:webHidden/>
          </w:rPr>
          <w:fldChar w:fldCharType="end"/>
        </w:r>
      </w:hyperlink>
    </w:p>
    <w:p w14:paraId="768CCA71" w14:textId="07CDAD1B"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706" w:history="1">
        <w:r w:rsidR="00B572AE" w:rsidRPr="00EE0A8E">
          <w:rPr>
            <w:rStyle w:val="Hyperlink"/>
            <w:rFonts w:cstheme="minorHAnsi"/>
            <w:noProof/>
          </w:rPr>
          <w:t>Tabela 44 – Ações com riscos de perdas possíveis</w:t>
        </w:r>
        <w:r w:rsidR="00B572AE">
          <w:rPr>
            <w:noProof/>
            <w:webHidden/>
          </w:rPr>
          <w:tab/>
        </w:r>
        <w:r w:rsidR="00B572AE">
          <w:rPr>
            <w:noProof/>
            <w:webHidden/>
          </w:rPr>
          <w:fldChar w:fldCharType="begin"/>
        </w:r>
        <w:r w:rsidR="00B572AE">
          <w:rPr>
            <w:noProof/>
            <w:webHidden/>
          </w:rPr>
          <w:instrText xml:space="preserve"> PAGEREF _Toc103680706 \h </w:instrText>
        </w:r>
        <w:r w:rsidR="00B572AE">
          <w:rPr>
            <w:noProof/>
            <w:webHidden/>
          </w:rPr>
        </w:r>
        <w:r w:rsidR="00B572AE">
          <w:rPr>
            <w:noProof/>
            <w:webHidden/>
          </w:rPr>
          <w:fldChar w:fldCharType="separate"/>
        </w:r>
        <w:r w:rsidR="00B572AE">
          <w:rPr>
            <w:noProof/>
            <w:webHidden/>
          </w:rPr>
          <w:t>167</w:t>
        </w:r>
        <w:r w:rsidR="00B572AE">
          <w:rPr>
            <w:noProof/>
            <w:webHidden/>
          </w:rPr>
          <w:fldChar w:fldCharType="end"/>
        </w:r>
      </w:hyperlink>
    </w:p>
    <w:p w14:paraId="123F4977" w14:textId="3640B942"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707" w:history="1">
        <w:r w:rsidR="00B572AE" w:rsidRPr="00EE0A8E">
          <w:rPr>
            <w:rStyle w:val="Hyperlink"/>
            <w:rFonts w:cstheme="minorHAnsi"/>
            <w:noProof/>
          </w:rPr>
          <w:t>Tabela 45 – Receita a diferir – pátios e terminais</w:t>
        </w:r>
        <w:r w:rsidR="00B572AE">
          <w:rPr>
            <w:noProof/>
            <w:webHidden/>
          </w:rPr>
          <w:tab/>
        </w:r>
        <w:r w:rsidR="00B572AE">
          <w:rPr>
            <w:noProof/>
            <w:webHidden/>
          </w:rPr>
          <w:fldChar w:fldCharType="begin"/>
        </w:r>
        <w:r w:rsidR="00B572AE">
          <w:rPr>
            <w:noProof/>
            <w:webHidden/>
          </w:rPr>
          <w:instrText xml:space="preserve"> PAGEREF _Toc103680707 \h </w:instrText>
        </w:r>
        <w:r w:rsidR="00B572AE">
          <w:rPr>
            <w:noProof/>
            <w:webHidden/>
          </w:rPr>
        </w:r>
        <w:r w:rsidR="00B572AE">
          <w:rPr>
            <w:noProof/>
            <w:webHidden/>
          </w:rPr>
          <w:fldChar w:fldCharType="separate"/>
        </w:r>
        <w:r w:rsidR="00B572AE">
          <w:rPr>
            <w:noProof/>
            <w:webHidden/>
          </w:rPr>
          <w:t>168</w:t>
        </w:r>
        <w:r w:rsidR="00B572AE">
          <w:rPr>
            <w:noProof/>
            <w:webHidden/>
          </w:rPr>
          <w:fldChar w:fldCharType="end"/>
        </w:r>
      </w:hyperlink>
    </w:p>
    <w:p w14:paraId="20F209D0" w14:textId="5EFCF409"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708" w:history="1">
        <w:r w:rsidR="00B572AE" w:rsidRPr="00EE0A8E">
          <w:rPr>
            <w:rStyle w:val="Hyperlink"/>
            <w:rFonts w:cstheme="minorHAnsi"/>
            <w:noProof/>
          </w:rPr>
          <w:t>Tabela 46 – Receita a Diferir – Subconcessão FIOL I</w:t>
        </w:r>
        <w:r w:rsidR="00B572AE">
          <w:rPr>
            <w:noProof/>
            <w:webHidden/>
          </w:rPr>
          <w:tab/>
        </w:r>
        <w:r w:rsidR="00B572AE">
          <w:rPr>
            <w:noProof/>
            <w:webHidden/>
          </w:rPr>
          <w:fldChar w:fldCharType="begin"/>
        </w:r>
        <w:r w:rsidR="00B572AE">
          <w:rPr>
            <w:noProof/>
            <w:webHidden/>
          </w:rPr>
          <w:instrText xml:space="preserve"> PAGEREF _Toc103680708 \h </w:instrText>
        </w:r>
        <w:r w:rsidR="00B572AE">
          <w:rPr>
            <w:noProof/>
            <w:webHidden/>
          </w:rPr>
        </w:r>
        <w:r w:rsidR="00B572AE">
          <w:rPr>
            <w:noProof/>
            <w:webHidden/>
          </w:rPr>
          <w:fldChar w:fldCharType="separate"/>
        </w:r>
        <w:r w:rsidR="00B572AE">
          <w:rPr>
            <w:noProof/>
            <w:webHidden/>
          </w:rPr>
          <w:t>169</w:t>
        </w:r>
        <w:r w:rsidR="00B572AE">
          <w:rPr>
            <w:noProof/>
            <w:webHidden/>
          </w:rPr>
          <w:fldChar w:fldCharType="end"/>
        </w:r>
      </w:hyperlink>
    </w:p>
    <w:p w14:paraId="006F3128" w14:textId="754C1D22"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709" w:history="1">
        <w:r w:rsidR="00B572AE" w:rsidRPr="00EE0A8E">
          <w:rPr>
            <w:rStyle w:val="Hyperlink"/>
            <w:rFonts w:cstheme="minorHAnsi"/>
            <w:noProof/>
          </w:rPr>
          <w:t>Tabela 47 – Conta “Direito de Uso de Veículos”</w:t>
        </w:r>
        <w:r w:rsidR="00B572AE">
          <w:rPr>
            <w:noProof/>
            <w:webHidden/>
          </w:rPr>
          <w:tab/>
        </w:r>
        <w:r w:rsidR="00B572AE">
          <w:rPr>
            <w:noProof/>
            <w:webHidden/>
          </w:rPr>
          <w:fldChar w:fldCharType="begin"/>
        </w:r>
        <w:r w:rsidR="00B572AE">
          <w:rPr>
            <w:noProof/>
            <w:webHidden/>
          </w:rPr>
          <w:instrText xml:space="preserve"> PAGEREF _Toc103680709 \h </w:instrText>
        </w:r>
        <w:r w:rsidR="00B572AE">
          <w:rPr>
            <w:noProof/>
            <w:webHidden/>
          </w:rPr>
        </w:r>
        <w:r w:rsidR="00B572AE">
          <w:rPr>
            <w:noProof/>
            <w:webHidden/>
          </w:rPr>
          <w:fldChar w:fldCharType="separate"/>
        </w:r>
        <w:r w:rsidR="00B572AE">
          <w:rPr>
            <w:noProof/>
            <w:webHidden/>
          </w:rPr>
          <w:t>170</w:t>
        </w:r>
        <w:r w:rsidR="00B572AE">
          <w:rPr>
            <w:noProof/>
            <w:webHidden/>
          </w:rPr>
          <w:fldChar w:fldCharType="end"/>
        </w:r>
      </w:hyperlink>
    </w:p>
    <w:p w14:paraId="44BD6EAC" w14:textId="02AC7C77"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710" w:history="1">
        <w:r w:rsidR="00B572AE" w:rsidRPr="00EE0A8E">
          <w:rPr>
            <w:rStyle w:val="Hyperlink"/>
            <w:rFonts w:cstheme="minorHAnsi"/>
            <w:noProof/>
          </w:rPr>
          <w:t>Tabela 48 – Contratos de arrendamento</w:t>
        </w:r>
        <w:r w:rsidR="00B572AE">
          <w:rPr>
            <w:noProof/>
            <w:webHidden/>
          </w:rPr>
          <w:tab/>
        </w:r>
        <w:r w:rsidR="00B572AE">
          <w:rPr>
            <w:noProof/>
            <w:webHidden/>
          </w:rPr>
          <w:fldChar w:fldCharType="begin"/>
        </w:r>
        <w:r w:rsidR="00B572AE">
          <w:rPr>
            <w:noProof/>
            <w:webHidden/>
          </w:rPr>
          <w:instrText xml:space="preserve"> PAGEREF _Toc103680710 \h </w:instrText>
        </w:r>
        <w:r w:rsidR="00B572AE">
          <w:rPr>
            <w:noProof/>
            <w:webHidden/>
          </w:rPr>
        </w:r>
        <w:r w:rsidR="00B572AE">
          <w:rPr>
            <w:noProof/>
            <w:webHidden/>
          </w:rPr>
          <w:fldChar w:fldCharType="separate"/>
        </w:r>
        <w:r w:rsidR="00B572AE">
          <w:rPr>
            <w:noProof/>
            <w:webHidden/>
          </w:rPr>
          <w:t>170</w:t>
        </w:r>
        <w:r w:rsidR="00B572AE">
          <w:rPr>
            <w:noProof/>
            <w:webHidden/>
          </w:rPr>
          <w:fldChar w:fldCharType="end"/>
        </w:r>
      </w:hyperlink>
    </w:p>
    <w:p w14:paraId="324B9D98" w14:textId="50453FDE"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711" w:history="1">
        <w:r w:rsidR="00B572AE" w:rsidRPr="00EE0A8E">
          <w:rPr>
            <w:rStyle w:val="Hyperlink"/>
            <w:rFonts w:cstheme="minorHAnsi"/>
            <w:noProof/>
          </w:rPr>
          <w:t>Tabela 49 – Adiantamento para Futuro Aumento de Capital</w:t>
        </w:r>
        <w:r w:rsidR="00B572AE">
          <w:rPr>
            <w:noProof/>
            <w:webHidden/>
          </w:rPr>
          <w:tab/>
        </w:r>
        <w:r w:rsidR="00B572AE">
          <w:rPr>
            <w:noProof/>
            <w:webHidden/>
          </w:rPr>
          <w:fldChar w:fldCharType="begin"/>
        </w:r>
        <w:r w:rsidR="00B572AE">
          <w:rPr>
            <w:noProof/>
            <w:webHidden/>
          </w:rPr>
          <w:instrText xml:space="preserve"> PAGEREF _Toc103680711 \h </w:instrText>
        </w:r>
        <w:r w:rsidR="00B572AE">
          <w:rPr>
            <w:noProof/>
            <w:webHidden/>
          </w:rPr>
        </w:r>
        <w:r w:rsidR="00B572AE">
          <w:rPr>
            <w:noProof/>
            <w:webHidden/>
          </w:rPr>
          <w:fldChar w:fldCharType="separate"/>
        </w:r>
        <w:r w:rsidR="00B572AE">
          <w:rPr>
            <w:noProof/>
            <w:webHidden/>
          </w:rPr>
          <w:t>171</w:t>
        </w:r>
        <w:r w:rsidR="00B572AE">
          <w:rPr>
            <w:noProof/>
            <w:webHidden/>
          </w:rPr>
          <w:fldChar w:fldCharType="end"/>
        </w:r>
      </w:hyperlink>
    </w:p>
    <w:p w14:paraId="19E99EBF" w14:textId="0A7CC465"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712" w:history="1">
        <w:r w:rsidR="00B572AE" w:rsidRPr="00EE0A8E">
          <w:rPr>
            <w:rStyle w:val="Hyperlink"/>
            <w:rFonts w:cstheme="minorHAnsi"/>
            <w:noProof/>
          </w:rPr>
          <w:t>Tabela 50 – Receitas líquidas</w:t>
        </w:r>
        <w:r w:rsidR="00B572AE">
          <w:rPr>
            <w:noProof/>
            <w:webHidden/>
          </w:rPr>
          <w:tab/>
        </w:r>
        <w:r w:rsidR="00B572AE">
          <w:rPr>
            <w:noProof/>
            <w:webHidden/>
          </w:rPr>
          <w:fldChar w:fldCharType="begin"/>
        </w:r>
        <w:r w:rsidR="00B572AE">
          <w:rPr>
            <w:noProof/>
            <w:webHidden/>
          </w:rPr>
          <w:instrText xml:space="preserve"> PAGEREF _Toc103680712 \h </w:instrText>
        </w:r>
        <w:r w:rsidR="00B572AE">
          <w:rPr>
            <w:noProof/>
            <w:webHidden/>
          </w:rPr>
        </w:r>
        <w:r w:rsidR="00B572AE">
          <w:rPr>
            <w:noProof/>
            <w:webHidden/>
          </w:rPr>
          <w:fldChar w:fldCharType="separate"/>
        </w:r>
        <w:r w:rsidR="00B572AE">
          <w:rPr>
            <w:noProof/>
            <w:webHidden/>
          </w:rPr>
          <w:t>171</w:t>
        </w:r>
        <w:r w:rsidR="00B572AE">
          <w:rPr>
            <w:noProof/>
            <w:webHidden/>
          </w:rPr>
          <w:fldChar w:fldCharType="end"/>
        </w:r>
      </w:hyperlink>
    </w:p>
    <w:p w14:paraId="327BC6A7" w14:textId="7729808B"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713" w:history="1">
        <w:r w:rsidR="00B572AE" w:rsidRPr="00EE0A8E">
          <w:rPr>
            <w:rStyle w:val="Hyperlink"/>
            <w:rFonts w:cstheme="minorHAnsi"/>
            <w:noProof/>
          </w:rPr>
          <w:t>Tabela 51 – Despesa com pessoal</w:t>
        </w:r>
        <w:r w:rsidR="00B572AE">
          <w:rPr>
            <w:noProof/>
            <w:webHidden/>
          </w:rPr>
          <w:tab/>
        </w:r>
        <w:r w:rsidR="00B572AE">
          <w:rPr>
            <w:noProof/>
            <w:webHidden/>
          </w:rPr>
          <w:fldChar w:fldCharType="begin"/>
        </w:r>
        <w:r w:rsidR="00B572AE">
          <w:rPr>
            <w:noProof/>
            <w:webHidden/>
          </w:rPr>
          <w:instrText xml:space="preserve"> PAGEREF _Toc103680713 \h </w:instrText>
        </w:r>
        <w:r w:rsidR="00B572AE">
          <w:rPr>
            <w:noProof/>
            <w:webHidden/>
          </w:rPr>
        </w:r>
        <w:r w:rsidR="00B572AE">
          <w:rPr>
            <w:noProof/>
            <w:webHidden/>
          </w:rPr>
          <w:fldChar w:fldCharType="separate"/>
        </w:r>
        <w:r w:rsidR="00B572AE">
          <w:rPr>
            <w:noProof/>
            <w:webHidden/>
          </w:rPr>
          <w:t>172</w:t>
        </w:r>
        <w:r w:rsidR="00B572AE">
          <w:rPr>
            <w:noProof/>
            <w:webHidden/>
          </w:rPr>
          <w:fldChar w:fldCharType="end"/>
        </w:r>
      </w:hyperlink>
    </w:p>
    <w:p w14:paraId="5180B029" w14:textId="1821C153"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714" w:history="1">
        <w:r w:rsidR="00B572AE" w:rsidRPr="00EE0A8E">
          <w:rPr>
            <w:rStyle w:val="Hyperlink"/>
            <w:rFonts w:cstheme="minorHAnsi"/>
            <w:noProof/>
          </w:rPr>
          <w:t>Tabela 52 – Despesas gerais e administrativas</w:t>
        </w:r>
        <w:r w:rsidR="00B572AE">
          <w:rPr>
            <w:noProof/>
            <w:webHidden/>
          </w:rPr>
          <w:tab/>
        </w:r>
        <w:r w:rsidR="00B572AE">
          <w:rPr>
            <w:noProof/>
            <w:webHidden/>
          </w:rPr>
          <w:fldChar w:fldCharType="begin"/>
        </w:r>
        <w:r w:rsidR="00B572AE">
          <w:rPr>
            <w:noProof/>
            <w:webHidden/>
          </w:rPr>
          <w:instrText xml:space="preserve"> PAGEREF _Toc103680714 \h </w:instrText>
        </w:r>
        <w:r w:rsidR="00B572AE">
          <w:rPr>
            <w:noProof/>
            <w:webHidden/>
          </w:rPr>
        </w:r>
        <w:r w:rsidR="00B572AE">
          <w:rPr>
            <w:noProof/>
            <w:webHidden/>
          </w:rPr>
          <w:fldChar w:fldCharType="separate"/>
        </w:r>
        <w:r w:rsidR="00B572AE">
          <w:rPr>
            <w:noProof/>
            <w:webHidden/>
          </w:rPr>
          <w:t>172</w:t>
        </w:r>
        <w:r w:rsidR="00B572AE">
          <w:rPr>
            <w:noProof/>
            <w:webHidden/>
          </w:rPr>
          <w:fldChar w:fldCharType="end"/>
        </w:r>
      </w:hyperlink>
    </w:p>
    <w:p w14:paraId="50F2F746" w14:textId="33F34B8C"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715" w:history="1">
        <w:r w:rsidR="00B572AE" w:rsidRPr="00EE0A8E">
          <w:rPr>
            <w:rStyle w:val="Hyperlink"/>
            <w:rFonts w:cstheme="minorHAnsi"/>
            <w:noProof/>
          </w:rPr>
          <w:t>Tabela 53 – Outras receitas / despesas operacionais</w:t>
        </w:r>
        <w:r w:rsidR="00B572AE">
          <w:rPr>
            <w:noProof/>
            <w:webHidden/>
          </w:rPr>
          <w:tab/>
        </w:r>
        <w:r w:rsidR="00B572AE">
          <w:rPr>
            <w:noProof/>
            <w:webHidden/>
          </w:rPr>
          <w:fldChar w:fldCharType="begin"/>
        </w:r>
        <w:r w:rsidR="00B572AE">
          <w:rPr>
            <w:noProof/>
            <w:webHidden/>
          </w:rPr>
          <w:instrText xml:space="preserve"> PAGEREF _Toc103680715 \h </w:instrText>
        </w:r>
        <w:r w:rsidR="00B572AE">
          <w:rPr>
            <w:noProof/>
            <w:webHidden/>
          </w:rPr>
        </w:r>
        <w:r w:rsidR="00B572AE">
          <w:rPr>
            <w:noProof/>
            <w:webHidden/>
          </w:rPr>
          <w:fldChar w:fldCharType="separate"/>
        </w:r>
        <w:r w:rsidR="00B572AE">
          <w:rPr>
            <w:noProof/>
            <w:webHidden/>
          </w:rPr>
          <w:t>173</w:t>
        </w:r>
        <w:r w:rsidR="00B572AE">
          <w:rPr>
            <w:noProof/>
            <w:webHidden/>
          </w:rPr>
          <w:fldChar w:fldCharType="end"/>
        </w:r>
      </w:hyperlink>
    </w:p>
    <w:p w14:paraId="1405253B" w14:textId="057E13D6"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716" w:history="1">
        <w:r w:rsidR="00B572AE" w:rsidRPr="00EE0A8E">
          <w:rPr>
            <w:rStyle w:val="Hyperlink"/>
            <w:rFonts w:cstheme="minorHAnsi"/>
            <w:noProof/>
          </w:rPr>
          <w:t>Tabela 54 – Resultado da equivalência patrimonial</w:t>
        </w:r>
        <w:r w:rsidR="00B572AE">
          <w:rPr>
            <w:noProof/>
            <w:webHidden/>
          </w:rPr>
          <w:tab/>
        </w:r>
        <w:r w:rsidR="00B572AE">
          <w:rPr>
            <w:noProof/>
            <w:webHidden/>
          </w:rPr>
          <w:fldChar w:fldCharType="begin"/>
        </w:r>
        <w:r w:rsidR="00B572AE">
          <w:rPr>
            <w:noProof/>
            <w:webHidden/>
          </w:rPr>
          <w:instrText xml:space="preserve"> PAGEREF _Toc103680716 \h </w:instrText>
        </w:r>
        <w:r w:rsidR="00B572AE">
          <w:rPr>
            <w:noProof/>
            <w:webHidden/>
          </w:rPr>
        </w:r>
        <w:r w:rsidR="00B572AE">
          <w:rPr>
            <w:noProof/>
            <w:webHidden/>
          </w:rPr>
          <w:fldChar w:fldCharType="separate"/>
        </w:r>
        <w:r w:rsidR="00B572AE">
          <w:rPr>
            <w:noProof/>
            <w:webHidden/>
          </w:rPr>
          <w:t>173</w:t>
        </w:r>
        <w:r w:rsidR="00B572AE">
          <w:rPr>
            <w:noProof/>
            <w:webHidden/>
          </w:rPr>
          <w:fldChar w:fldCharType="end"/>
        </w:r>
      </w:hyperlink>
    </w:p>
    <w:p w14:paraId="2471F205" w14:textId="13F85304"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717" w:history="1">
        <w:r w:rsidR="00B572AE" w:rsidRPr="00EE0A8E">
          <w:rPr>
            <w:rStyle w:val="Hyperlink"/>
            <w:rFonts w:cstheme="minorHAnsi"/>
            <w:noProof/>
          </w:rPr>
          <w:t>Tabela 55 – Receitas financeiras</w:t>
        </w:r>
        <w:r w:rsidR="00B572AE">
          <w:rPr>
            <w:noProof/>
            <w:webHidden/>
          </w:rPr>
          <w:tab/>
        </w:r>
        <w:r w:rsidR="00B572AE">
          <w:rPr>
            <w:noProof/>
            <w:webHidden/>
          </w:rPr>
          <w:fldChar w:fldCharType="begin"/>
        </w:r>
        <w:r w:rsidR="00B572AE">
          <w:rPr>
            <w:noProof/>
            <w:webHidden/>
          </w:rPr>
          <w:instrText xml:space="preserve"> PAGEREF _Toc103680717 \h </w:instrText>
        </w:r>
        <w:r w:rsidR="00B572AE">
          <w:rPr>
            <w:noProof/>
            <w:webHidden/>
          </w:rPr>
        </w:r>
        <w:r w:rsidR="00B572AE">
          <w:rPr>
            <w:noProof/>
            <w:webHidden/>
          </w:rPr>
          <w:fldChar w:fldCharType="separate"/>
        </w:r>
        <w:r w:rsidR="00B572AE">
          <w:rPr>
            <w:noProof/>
            <w:webHidden/>
          </w:rPr>
          <w:t>173</w:t>
        </w:r>
        <w:r w:rsidR="00B572AE">
          <w:rPr>
            <w:noProof/>
            <w:webHidden/>
          </w:rPr>
          <w:fldChar w:fldCharType="end"/>
        </w:r>
      </w:hyperlink>
    </w:p>
    <w:p w14:paraId="425E7C63" w14:textId="5421AA48"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718" w:history="1">
        <w:r w:rsidR="00B572AE" w:rsidRPr="00EE0A8E">
          <w:rPr>
            <w:rStyle w:val="Hyperlink"/>
            <w:rFonts w:cstheme="minorHAnsi"/>
            <w:noProof/>
          </w:rPr>
          <w:t>Tabela 56 – Subvenção do Tesouro Nacional</w:t>
        </w:r>
        <w:r w:rsidR="00B572AE">
          <w:rPr>
            <w:noProof/>
            <w:webHidden/>
          </w:rPr>
          <w:tab/>
        </w:r>
        <w:r w:rsidR="00B572AE">
          <w:rPr>
            <w:noProof/>
            <w:webHidden/>
          </w:rPr>
          <w:fldChar w:fldCharType="begin"/>
        </w:r>
        <w:r w:rsidR="00B572AE">
          <w:rPr>
            <w:noProof/>
            <w:webHidden/>
          </w:rPr>
          <w:instrText xml:space="preserve"> PAGEREF _Toc103680718 \h </w:instrText>
        </w:r>
        <w:r w:rsidR="00B572AE">
          <w:rPr>
            <w:noProof/>
            <w:webHidden/>
          </w:rPr>
        </w:r>
        <w:r w:rsidR="00B572AE">
          <w:rPr>
            <w:noProof/>
            <w:webHidden/>
          </w:rPr>
          <w:fldChar w:fldCharType="separate"/>
        </w:r>
        <w:r w:rsidR="00B572AE">
          <w:rPr>
            <w:noProof/>
            <w:webHidden/>
          </w:rPr>
          <w:t>174</w:t>
        </w:r>
        <w:r w:rsidR="00B572AE">
          <w:rPr>
            <w:noProof/>
            <w:webHidden/>
          </w:rPr>
          <w:fldChar w:fldCharType="end"/>
        </w:r>
      </w:hyperlink>
    </w:p>
    <w:p w14:paraId="3DD6C240" w14:textId="4D4FF04E" w:rsidR="00B572AE" w:rsidRDefault="008A3D44">
      <w:pPr>
        <w:pStyle w:val="ndicedeilustraes"/>
        <w:tabs>
          <w:tab w:val="right" w:leader="dot" w:pos="9736"/>
        </w:tabs>
        <w:rPr>
          <w:rFonts w:asciiTheme="minorHAnsi" w:eastAsiaTheme="minorEastAsia" w:hAnsiTheme="minorHAnsi" w:cstheme="minorBidi"/>
          <w:noProof/>
          <w:lang w:eastAsia="pt-BR" w:bidi="ar-SA"/>
        </w:rPr>
      </w:pPr>
      <w:hyperlink w:anchor="_Toc103680719" w:history="1">
        <w:r w:rsidR="00B572AE" w:rsidRPr="00EE0A8E">
          <w:rPr>
            <w:rStyle w:val="Hyperlink"/>
            <w:rFonts w:cstheme="minorHAnsi"/>
            <w:noProof/>
          </w:rPr>
          <w:t>Tabela 57 – Termos de execução descentralizada</w:t>
        </w:r>
        <w:r w:rsidR="00B572AE">
          <w:rPr>
            <w:noProof/>
            <w:webHidden/>
          </w:rPr>
          <w:tab/>
        </w:r>
        <w:r w:rsidR="00B572AE">
          <w:rPr>
            <w:noProof/>
            <w:webHidden/>
          </w:rPr>
          <w:fldChar w:fldCharType="begin"/>
        </w:r>
        <w:r w:rsidR="00B572AE">
          <w:rPr>
            <w:noProof/>
            <w:webHidden/>
          </w:rPr>
          <w:instrText xml:space="preserve"> PAGEREF _Toc103680719 \h </w:instrText>
        </w:r>
        <w:r w:rsidR="00B572AE">
          <w:rPr>
            <w:noProof/>
            <w:webHidden/>
          </w:rPr>
        </w:r>
        <w:r w:rsidR="00B572AE">
          <w:rPr>
            <w:noProof/>
            <w:webHidden/>
          </w:rPr>
          <w:fldChar w:fldCharType="separate"/>
        </w:r>
        <w:r w:rsidR="00B572AE">
          <w:rPr>
            <w:noProof/>
            <w:webHidden/>
          </w:rPr>
          <w:t>174</w:t>
        </w:r>
        <w:r w:rsidR="00B572AE">
          <w:rPr>
            <w:noProof/>
            <w:webHidden/>
          </w:rPr>
          <w:fldChar w:fldCharType="end"/>
        </w:r>
      </w:hyperlink>
    </w:p>
    <w:p w14:paraId="3FCBA8F6" w14:textId="72E6D462" w:rsidR="00F21891" w:rsidRPr="00252D7B" w:rsidRDefault="00502D5A" w:rsidP="00502D5A">
      <w:pPr>
        <w:rPr>
          <w:rFonts w:asciiTheme="minorHAnsi" w:hAnsiTheme="minorHAnsi" w:cstheme="minorHAnsi"/>
        </w:rPr>
      </w:pPr>
      <w:r w:rsidRPr="00252D7B">
        <w:rPr>
          <w:rFonts w:asciiTheme="minorHAnsi" w:hAnsiTheme="minorHAnsi" w:cstheme="minorHAnsi"/>
        </w:rPr>
        <w:fldChar w:fldCharType="end"/>
      </w:r>
    </w:p>
    <w:p w14:paraId="62E26EF9" w14:textId="466C165E" w:rsidR="00502D5A" w:rsidRPr="00252D7B" w:rsidRDefault="00F21891" w:rsidP="008D188E">
      <w:pPr>
        <w:widowControl/>
        <w:autoSpaceDE/>
        <w:autoSpaceDN/>
        <w:spacing w:after="160" w:line="259" w:lineRule="auto"/>
        <w:rPr>
          <w:rFonts w:asciiTheme="minorHAnsi" w:hAnsiTheme="minorHAnsi" w:cstheme="minorHAnsi"/>
        </w:rPr>
        <w:sectPr w:rsidR="00502D5A" w:rsidRPr="00252D7B" w:rsidSect="00983F5F">
          <w:footerReference w:type="default" r:id="rId15"/>
          <w:type w:val="continuous"/>
          <w:pgSz w:w="11906" w:h="16838" w:code="9"/>
          <w:pgMar w:top="1440" w:right="1080" w:bottom="1135" w:left="1080" w:header="0" w:footer="531" w:gutter="0"/>
          <w:pgNumType w:start="2"/>
          <w:cols w:space="720"/>
          <w:titlePg/>
          <w:docGrid w:linePitch="299"/>
        </w:sectPr>
      </w:pPr>
      <w:r w:rsidRPr="00252D7B">
        <w:rPr>
          <w:rFonts w:asciiTheme="minorHAnsi" w:hAnsiTheme="minorHAnsi" w:cstheme="minorHAnsi"/>
        </w:rPr>
        <w:br w:type="page"/>
      </w:r>
    </w:p>
    <w:p w14:paraId="27CF0C41" w14:textId="4FC3BBB6" w:rsidR="00D63A76" w:rsidRPr="00252D7B" w:rsidRDefault="00D63A76" w:rsidP="00D63A76">
      <w:pPr>
        <w:pStyle w:val="Ttulo1"/>
        <w:numPr>
          <w:ilvl w:val="0"/>
          <w:numId w:val="0"/>
        </w:numPr>
        <w:spacing w:after="240"/>
        <w:rPr>
          <w:rFonts w:asciiTheme="minorHAnsi" w:hAnsiTheme="minorHAnsi" w:cstheme="minorHAnsi"/>
        </w:rPr>
      </w:pPr>
      <w:bookmarkStart w:id="3" w:name="_Toc103680498"/>
      <w:r w:rsidRPr="00252D7B">
        <w:rPr>
          <w:rFonts w:asciiTheme="minorHAnsi" w:hAnsiTheme="minorHAnsi" w:cstheme="minorHAnsi"/>
        </w:rPr>
        <w:lastRenderedPageBreak/>
        <w:t>Índice de Qua</w:t>
      </w:r>
      <w:r w:rsidR="005D1A8F" w:rsidRPr="00252D7B">
        <w:rPr>
          <w:rFonts w:asciiTheme="minorHAnsi" w:hAnsiTheme="minorHAnsi" w:cstheme="minorHAnsi"/>
        </w:rPr>
        <w:t>dros</w:t>
      </w:r>
      <w:bookmarkEnd w:id="3"/>
    </w:p>
    <w:p w14:paraId="32C0C194" w14:textId="77777777" w:rsidR="00D63A76" w:rsidRPr="00252D7B" w:rsidRDefault="00D63A76">
      <w:pPr>
        <w:pStyle w:val="ndicedeilustraes"/>
        <w:tabs>
          <w:tab w:val="right" w:leader="dot" w:pos="8494"/>
        </w:tabs>
        <w:rPr>
          <w:rFonts w:asciiTheme="minorHAnsi" w:hAnsiTheme="minorHAnsi" w:cstheme="minorHAnsi"/>
        </w:rPr>
      </w:pPr>
    </w:p>
    <w:p w14:paraId="34655B39" w14:textId="30E0EC76" w:rsidR="00B572AE" w:rsidRDefault="00512006">
      <w:pPr>
        <w:pStyle w:val="ndicedeilustraes"/>
        <w:tabs>
          <w:tab w:val="right" w:leader="dot" w:pos="8494"/>
        </w:tabs>
        <w:rPr>
          <w:rFonts w:asciiTheme="minorHAnsi" w:eastAsiaTheme="minorEastAsia" w:hAnsiTheme="minorHAnsi" w:cstheme="minorBidi"/>
          <w:noProof/>
          <w:lang w:eastAsia="pt-BR" w:bidi="ar-SA"/>
        </w:rPr>
      </w:pPr>
      <w:r w:rsidRPr="00252D7B">
        <w:rPr>
          <w:rFonts w:asciiTheme="minorHAnsi" w:hAnsiTheme="minorHAnsi" w:cstheme="minorHAnsi"/>
        </w:rPr>
        <w:fldChar w:fldCharType="begin"/>
      </w:r>
      <w:r w:rsidRPr="00252D7B">
        <w:rPr>
          <w:rFonts w:asciiTheme="minorHAnsi" w:hAnsiTheme="minorHAnsi" w:cstheme="minorHAnsi"/>
        </w:rPr>
        <w:instrText xml:space="preserve"> TOC \h \z \c "Quadro" </w:instrText>
      </w:r>
      <w:r w:rsidRPr="00252D7B">
        <w:rPr>
          <w:rFonts w:asciiTheme="minorHAnsi" w:hAnsiTheme="minorHAnsi" w:cstheme="minorHAnsi"/>
        </w:rPr>
        <w:fldChar w:fldCharType="separate"/>
      </w:r>
      <w:hyperlink w:anchor="_Toc103680720" w:history="1">
        <w:r w:rsidR="00B572AE" w:rsidRPr="00C4667F">
          <w:rPr>
            <w:rStyle w:val="Hyperlink"/>
            <w:rFonts w:cstheme="minorHAnsi"/>
            <w:noProof/>
          </w:rPr>
          <w:t>Quadro 1 – Estrutura do documento</w:t>
        </w:r>
        <w:r w:rsidR="00B572AE">
          <w:rPr>
            <w:noProof/>
            <w:webHidden/>
          </w:rPr>
          <w:tab/>
        </w:r>
        <w:r w:rsidR="00B572AE">
          <w:rPr>
            <w:noProof/>
            <w:webHidden/>
          </w:rPr>
          <w:fldChar w:fldCharType="begin"/>
        </w:r>
        <w:r w:rsidR="00B572AE">
          <w:rPr>
            <w:noProof/>
            <w:webHidden/>
          </w:rPr>
          <w:instrText xml:space="preserve"> PAGEREF _Toc103680720 \h </w:instrText>
        </w:r>
        <w:r w:rsidR="00B572AE">
          <w:rPr>
            <w:noProof/>
            <w:webHidden/>
          </w:rPr>
        </w:r>
        <w:r w:rsidR="00B572AE">
          <w:rPr>
            <w:noProof/>
            <w:webHidden/>
          </w:rPr>
          <w:fldChar w:fldCharType="separate"/>
        </w:r>
        <w:r w:rsidR="00B572AE">
          <w:rPr>
            <w:noProof/>
            <w:webHidden/>
          </w:rPr>
          <w:t>22</w:t>
        </w:r>
        <w:r w:rsidR="00B572AE">
          <w:rPr>
            <w:noProof/>
            <w:webHidden/>
          </w:rPr>
          <w:fldChar w:fldCharType="end"/>
        </w:r>
      </w:hyperlink>
    </w:p>
    <w:p w14:paraId="2F696D54" w14:textId="09100F6F"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21" w:history="1">
        <w:r w:rsidR="00B572AE" w:rsidRPr="00C4667F">
          <w:rPr>
            <w:rStyle w:val="Hyperlink"/>
            <w:rFonts w:cstheme="minorHAnsi"/>
            <w:noProof/>
          </w:rPr>
          <w:t>Quadro 2 – Lista de processos de 1º e 2º nível da Cadeia de Valor Agregado da Valec</w:t>
        </w:r>
        <w:r w:rsidR="00B572AE">
          <w:rPr>
            <w:noProof/>
            <w:webHidden/>
          </w:rPr>
          <w:tab/>
        </w:r>
        <w:r w:rsidR="00B572AE">
          <w:rPr>
            <w:noProof/>
            <w:webHidden/>
          </w:rPr>
          <w:fldChar w:fldCharType="begin"/>
        </w:r>
        <w:r w:rsidR="00B572AE">
          <w:rPr>
            <w:noProof/>
            <w:webHidden/>
          </w:rPr>
          <w:instrText xml:space="preserve"> PAGEREF _Toc103680721 \h </w:instrText>
        </w:r>
        <w:r w:rsidR="00B572AE">
          <w:rPr>
            <w:noProof/>
            <w:webHidden/>
          </w:rPr>
        </w:r>
        <w:r w:rsidR="00B572AE">
          <w:rPr>
            <w:noProof/>
            <w:webHidden/>
          </w:rPr>
          <w:fldChar w:fldCharType="separate"/>
        </w:r>
        <w:r w:rsidR="00B572AE">
          <w:rPr>
            <w:noProof/>
            <w:webHidden/>
          </w:rPr>
          <w:t>31</w:t>
        </w:r>
        <w:r w:rsidR="00B572AE">
          <w:rPr>
            <w:noProof/>
            <w:webHidden/>
          </w:rPr>
          <w:fldChar w:fldCharType="end"/>
        </w:r>
      </w:hyperlink>
    </w:p>
    <w:p w14:paraId="7A93FE43" w14:textId="6E5833F8"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22" w:history="1">
        <w:r w:rsidR="00B572AE" w:rsidRPr="00C4667F">
          <w:rPr>
            <w:rStyle w:val="Hyperlink"/>
            <w:rFonts w:cstheme="minorHAnsi"/>
            <w:noProof/>
          </w:rPr>
          <w:t>Quadro 3 – Planos de Tratamento dos eventos de riscos estratégicos</w:t>
        </w:r>
        <w:r w:rsidR="00B572AE">
          <w:rPr>
            <w:noProof/>
            <w:webHidden/>
          </w:rPr>
          <w:tab/>
        </w:r>
        <w:r w:rsidR="00B572AE">
          <w:rPr>
            <w:noProof/>
            <w:webHidden/>
          </w:rPr>
          <w:fldChar w:fldCharType="begin"/>
        </w:r>
        <w:r w:rsidR="00B572AE">
          <w:rPr>
            <w:noProof/>
            <w:webHidden/>
          </w:rPr>
          <w:instrText xml:space="preserve"> PAGEREF _Toc103680722 \h </w:instrText>
        </w:r>
        <w:r w:rsidR="00B572AE">
          <w:rPr>
            <w:noProof/>
            <w:webHidden/>
          </w:rPr>
        </w:r>
        <w:r w:rsidR="00B572AE">
          <w:rPr>
            <w:noProof/>
            <w:webHidden/>
          </w:rPr>
          <w:fldChar w:fldCharType="separate"/>
        </w:r>
        <w:r w:rsidR="00B572AE">
          <w:rPr>
            <w:noProof/>
            <w:webHidden/>
          </w:rPr>
          <w:t>54</w:t>
        </w:r>
        <w:r w:rsidR="00B572AE">
          <w:rPr>
            <w:noProof/>
            <w:webHidden/>
          </w:rPr>
          <w:fldChar w:fldCharType="end"/>
        </w:r>
      </w:hyperlink>
    </w:p>
    <w:p w14:paraId="1A8E4CE0" w14:textId="4A85F532"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23" w:history="1">
        <w:r w:rsidR="00B572AE" w:rsidRPr="00C4667F">
          <w:rPr>
            <w:rStyle w:val="Hyperlink"/>
            <w:rFonts w:cstheme="minorHAnsi"/>
            <w:noProof/>
          </w:rPr>
          <w:t>Quadro 4 – Quadro-resumo do PEI 2020-2024</w:t>
        </w:r>
        <w:r w:rsidR="00B572AE">
          <w:rPr>
            <w:noProof/>
            <w:webHidden/>
          </w:rPr>
          <w:tab/>
        </w:r>
        <w:r w:rsidR="00B572AE">
          <w:rPr>
            <w:noProof/>
            <w:webHidden/>
          </w:rPr>
          <w:fldChar w:fldCharType="begin"/>
        </w:r>
        <w:r w:rsidR="00B572AE">
          <w:rPr>
            <w:noProof/>
            <w:webHidden/>
          </w:rPr>
          <w:instrText xml:space="preserve"> PAGEREF _Toc103680723 \h </w:instrText>
        </w:r>
        <w:r w:rsidR="00B572AE">
          <w:rPr>
            <w:noProof/>
            <w:webHidden/>
          </w:rPr>
        </w:r>
        <w:r w:rsidR="00B572AE">
          <w:rPr>
            <w:noProof/>
            <w:webHidden/>
          </w:rPr>
          <w:fldChar w:fldCharType="separate"/>
        </w:r>
        <w:r w:rsidR="00B572AE">
          <w:rPr>
            <w:noProof/>
            <w:webHidden/>
          </w:rPr>
          <w:t>60</w:t>
        </w:r>
        <w:r w:rsidR="00B572AE">
          <w:rPr>
            <w:noProof/>
            <w:webHidden/>
          </w:rPr>
          <w:fldChar w:fldCharType="end"/>
        </w:r>
      </w:hyperlink>
    </w:p>
    <w:p w14:paraId="6027DCA7" w14:textId="6D5AC9B2"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24" w:history="1">
        <w:r w:rsidR="00B572AE" w:rsidRPr="00C4667F">
          <w:rPr>
            <w:rStyle w:val="Hyperlink"/>
            <w:rFonts w:cstheme="minorHAnsi"/>
            <w:noProof/>
          </w:rPr>
          <w:t>Quadro 5 – Quadro-resumo das metas e iniciativas do Plano de Negócios de 2021</w:t>
        </w:r>
        <w:r w:rsidR="00B572AE">
          <w:rPr>
            <w:noProof/>
            <w:webHidden/>
          </w:rPr>
          <w:tab/>
        </w:r>
        <w:r w:rsidR="00B572AE">
          <w:rPr>
            <w:noProof/>
            <w:webHidden/>
          </w:rPr>
          <w:fldChar w:fldCharType="begin"/>
        </w:r>
        <w:r w:rsidR="00B572AE">
          <w:rPr>
            <w:noProof/>
            <w:webHidden/>
          </w:rPr>
          <w:instrText xml:space="preserve"> PAGEREF _Toc103680724 \h </w:instrText>
        </w:r>
        <w:r w:rsidR="00B572AE">
          <w:rPr>
            <w:noProof/>
            <w:webHidden/>
          </w:rPr>
        </w:r>
        <w:r w:rsidR="00B572AE">
          <w:rPr>
            <w:noProof/>
            <w:webHidden/>
          </w:rPr>
          <w:fldChar w:fldCharType="separate"/>
        </w:r>
        <w:r w:rsidR="00B572AE">
          <w:rPr>
            <w:noProof/>
            <w:webHidden/>
          </w:rPr>
          <w:t>65</w:t>
        </w:r>
        <w:r w:rsidR="00B572AE">
          <w:rPr>
            <w:noProof/>
            <w:webHidden/>
          </w:rPr>
          <w:fldChar w:fldCharType="end"/>
        </w:r>
      </w:hyperlink>
    </w:p>
    <w:p w14:paraId="7448E41B" w14:textId="444B2A64"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25" w:history="1">
        <w:r w:rsidR="00B572AE" w:rsidRPr="00C4667F">
          <w:rPr>
            <w:rStyle w:val="Hyperlink"/>
            <w:rFonts w:cstheme="minorHAnsi"/>
            <w:noProof/>
          </w:rPr>
          <w:t>Quadro 6 – Contratações mais relevantes</w:t>
        </w:r>
        <w:r w:rsidR="00B572AE">
          <w:rPr>
            <w:noProof/>
            <w:webHidden/>
          </w:rPr>
          <w:tab/>
        </w:r>
        <w:r w:rsidR="00B572AE">
          <w:rPr>
            <w:noProof/>
            <w:webHidden/>
          </w:rPr>
          <w:fldChar w:fldCharType="begin"/>
        </w:r>
        <w:r w:rsidR="00B572AE">
          <w:rPr>
            <w:noProof/>
            <w:webHidden/>
          </w:rPr>
          <w:instrText xml:space="preserve"> PAGEREF _Toc103680725 \h </w:instrText>
        </w:r>
        <w:r w:rsidR="00B572AE">
          <w:rPr>
            <w:noProof/>
            <w:webHidden/>
          </w:rPr>
        </w:r>
        <w:r w:rsidR="00B572AE">
          <w:rPr>
            <w:noProof/>
            <w:webHidden/>
          </w:rPr>
          <w:fldChar w:fldCharType="separate"/>
        </w:r>
        <w:r w:rsidR="00B572AE">
          <w:rPr>
            <w:noProof/>
            <w:webHidden/>
          </w:rPr>
          <w:t>106</w:t>
        </w:r>
        <w:r w:rsidR="00B572AE">
          <w:rPr>
            <w:noProof/>
            <w:webHidden/>
          </w:rPr>
          <w:fldChar w:fldCharType="end"/>
        </w:r>
      </w:hyperlink>
    </w:p>
    <w:p w14:paraId="2B63E02A" w14:textId="55F9C0FC"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26" w:history="1">
        <w:r w:rsidR="00B572AE" w:rsidRPr="00C4667F">
          <w:rPr>
            <w:rStyle w:val="Hyperlink"/>
            <w:rFonts w:cstheme="minorHAnsi"/>
            <w:noProof/>
          </w:rPr>
          <w:t>Quadro 7 – Objetivos estratégicos de TIC e respectivas inciativas para o período 2022 – 2024</w:t>
        </w:r>
        <w:r w:rsidR="00B572AE">
          <w:rPr>
            <w:noProof/>
            <w:webHidden/>
          </w:rPr>
          <w:tab/>
        </w:r>
        <w:r w:rsidR="00B572AE">
          <w:rPr>
            <w:noProof/>
            <w:webHidden/>
          </w:rPr>
          <w:fldChar w:fldCharType="begin"/>
        </w:r>
        <w:r w:rsidR="00B572AE">
          <w:rPr>
            <w:noProof/>
            <w:webHidden/>
          </w:rPr>
          <w:instrText xml:space="preserve"> PAGEREF _Toc103680726 \h </w:instrText>
        </w:r>
        <w:r w:rsidR="00B572AE">
          <w:rPr>
            <w:noProof/>
            <w:webHidden/>
          </w:rPr>
        </w:r>
        <w:r w:rsidR="00B572AE">
          <w:rPr>
            <w:noProof/>
            <w:webHidden/>
          </w:rPr>
          <w:fldChar w:fldCharType="separate"/>
        </w:r>
        <w:r w:rsidR="00B572AE">
          <w:rPr>
            <w:noProof/>
            <w:webHidden/>
          </w:rPr>
          <w:t>122</w:t>
        </w:r>
        <w:r w:rsidR="00B572AE">
          <w:rPr>
            <w:noProof/>
            <w:webHidden/>
          </w:rPr>
          <w:fldChar w:fldCharType="end"/>
        </w:r>
      </w:hyperlink>
    </w:p>
    <w:p w14:paraId="319B6494" w14:textId="316F4A67"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27" w:history="1">
        <w:r w:rsidR="00B572AE" w:rsidRPr="00C4667F">
          <w:rPr>
            <w:rStyle w:val="Hyperlink"/>
            <w:rFonts w:cstheme="minorHAnsi"/>
            <w:noProof/>
          </w:rPr>
          <w:t>Quadro 8</w:t>
        </w:r>
        <w:r w:rsidR="00B572AE" w:rsidRPr="00C4667F">
          <w:rPr>
            <w:rStyle w:val="Hyperlink"/>
            <w:rFonts w:cstheme="minorHAnsi"/>
            <w:noProof/>
            <w:lang w:eastAsia="pt-BR"/>
          </w:rPr>
          <w:t xml:space="preserve"> – Metas e Indicador OETIC01</w:t>
        </w:r>
        <w:r w:rsidR="00B572AE">
          <w:rPr>
            <w:noProof/>
            <w:webHidden/>
          </w:rPr>
          <w:tab/>
        </w:r>
        <w:r w:rsidR="00B572AE">
          <w:rPr>
            <w:noProof/>
            <w:webHidden/>
          </w:rPr>
          <w:fldChar w:fldCharType="begin"/>
        </w:r>
        <w:r w:rsidR="00B572AE">
          <w:rPr>
            <w:noProof/>
            <w:webHidden/>
          </w:rPr>
          <w:instrText xml:space="preserve"> PAGEREF _Toc103680727 \h </w:instrText>
        </w:r>
        <w:r w:rsidR="00B572AE">
          <w:rPr>
            <w:noProof/>
            <w:webHidden/>
          </w:rPr>
        </w:r>
        <w:r w:rsidR="00B572AE">
          <w:rPr>
            <w:noProof/>
            <w:webHidden/>
          </w:rPr>
          <w:fldChar w:fldCharType="separate"/>
        </w:r>
        <w:r w:rsidR="00B572AE">
          <w:rPr>
            <w:noProof/>
            <w:webHidden/>
          </w:rPr>
          <w:t>124</w:t>
        </w:r>
        <w:r w:rsidR="00B572AE">
          <w:rPr>
            <w:noProof/>
            <w:webHidden/>
          </w:rPr>
          <w:fldChar w:fldCharType="end"/>
        </w:r>
      </w:hyperlink>
    </w:p>
    <w:p w14:paraId="316E59E2" w14:textId="6A05FCF8"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28" w:history="1">
        <w:r w:rsidR="00B572AE" w:rsidRPr="00C4667F">
          <w:rPr>
            <w:rStyle w:val="Hyperlink"/>
            <w:rFonts w:cstheme="minorHAnsi"/>
            <w:noProof/>
          </w:rPr>
          <w:t>Quadro 9</w:t>
        </w:r>
        <w:r w:rsidR="00B572AE" w:rsidRPr="00C4667F">
          <w:rPr>
            <w:rStyle w:val="Hyperlink"/>
            <w:rFonts w:cstheme="minorHAnsi"/>
            <w:noProof/>
            <w:lang w:eastAsia="pt-BR"/>
          </w:rPr>
          <w:t xml:space="preserve"> – Metas e Indicador OETIC02</w:t>
        </w:r>
        <w:r w:rsidR="00B572AE">
          <w:rPr>
            <w:noProof/>
            <w:webHidden/>
          </w:rPr>
          <w:tab/>
        </w:r>
        <w:r w:rsidR="00B572AE">
          <w:rPr>
            <w:noProof/>
            <w:webHidden/>
          </w:rPr>
          <w:fldChar w:fldCharType="begin"/>
        </w:r>
        <w:r w:rsidR="00B572AE">
          <w:rPr>
            <w:noProof/>
            <w:webHidden/>
          </w:rPr>
          <w:instrText xml:space="preserve"> PAGEREF _Toc103680728 \h </w:instrText>
        </w:r>
        <w:r w:rsidR="00B572AE">
          <w:rPr>
            <w:noProof/>
            <w:webHidden/>
          </w:rPr>
        </w:r>
        <w:r w:rsidR="00B572AE">
          <w:rPr>
            <w:noProof/>
            <w:webHidden/>
          </w:rPr>
          <w:fldChar w:fldCharType="separate"/>
        </w:r>
        <w:r w:rsidR="00B572AE">
          <w:rPr>
            <w:noProof/>
            <w:webHidden/>
          </w:rPr>
          <w:t>125</w:t>
        </w:r>
        <w:r w:rsidR="00B572AE">
          <w:rPr>
            <w:noProof/>
            <w:webHidden/>
          </w:rPr>
          <w:fldChar w:fldCharType="end"/>
        </w:r>
      </w:hyperlink>
    </w:p>
    <w:p w14:paraId="717AFDF4" w14:textId="539542BD"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29" w:history="1">
        <w:r w:rsidR="00B572AE" w:rsidRPr="00C4667F">
          <w:rPr>
            <w:rStyle w:val="Hyperlink"/>
            <w:rFonts w:cstheme="minorHAnsi"/>
            <w:noProof/>
          </w:rPr>
          <w:t>Quadro 10</w:t>
        </w:r>
        <w:r w:rsidR="00B572AE" w:rsidRPr="00C4667F">
          <w:rPr>
            <w:rStyle w:val="Hyperlink"/>
            <w:rFonts w:cstheme="minorHAnsi"/>
            <w:noProof/>
            <w:lang w:eastAsia="pt-BR"/>
          </w:rPr>
          <w:t xml:space="preserve"> – Metas e Indicador OETIC03</w:t>
        </w:r>
        <w:r w:rsidR="00B572AE">
          <w:rPr>
            <w:noProof/>
            <w:webHidden/>
          </w:rPr>
          <w:tab/>
        </w:r>
        <w:r w:rsidR="00B572AE">
          <w:rPr>
            <w:noProof/>
            <w:webHidden/>
          </w:rPr>
          <w:fldChar w:fldCharType="begin"/>
        </w:r>
        <w:r w:rsidR="00B572AE">
          <w:rPr>
            <w:noProof/>
            <w:webHidden/>
          </w:rPr>
          <w:instrText xml:space="preserve"> PAGEREF _Toc103680729 \h </w:instrText>
        </w:r>
        <w:r w:rsidR="00B572AE">
          <w:rPr>
            <w:noProof/>
            <w:webHidden/>
          </w:rPr>
        </w:r>
        <w:r w:rsidR="00B572AE">
          <w:rPr>
            <w:noProof/>
            <w:webHidden/>
          </w:rPr>
          <w:fldChar w:fldCharType="separate"/>
        </w:r>
        <w:r w:rsidR="00B572AE">
          <w:rPr>
            <w:noProof/>
            <w:webHidden/>
          </w:rPr>
          <w:t>125</w:t>
        </w:r>
        <w:r w:rsidR="00B572AE">
          <w:rPr>
            <w:noProof/>
            <w:webHidden/>
          </w:rPr>
          <w:fldChar w:fldCharType="end"/>
        </w:r>
      </w:hyperlink>
    </w:p>
    <w:p w14:paraId="166D6517" w14:textId="77E0B416"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30" w:history="1">
        <w:r w:rsidR="00B572AE" w:rsidRPr="00C4667F">
          <w:rPr>
            <w:rStyle w:val="Hyperlink"/>
            <w:rFonts w:cstheme="minorHAnsi"/>
            <w:noProof/>
          </w:rPr>
          <w:t>Quadro 11</w:t>
        </w:r>
        <w:r w:rsidR="00B572AE" w:rsidRPr="00C4667F">
          <w:rPr>
            <w:rStyle w:val="Hyperlink"/>
            <w:rFonts w:cstheme="minorHAnsi"/>
            <w:noProof/>
            <w:lang w:eastAsia="pt-BR"/>
          </w:rPr>
          <w:t xml:space="preserve"> – Metas e Indicador OETIC04</w:t>
        </w:r>
        <w:r w:rsidR="00B572AE">
          <w:rPr>
            <w:noProof/>
            <w:webHidden/>
          </w:rPr>
          <w:tab/>
        </w:r>
        <w:r w:rsidR="00B572AE">
          <w:rPr>
            <w:noProof/>
            <w:webHidden/>
          </w:rPr>
          <w:fldChar w:fldCharType="begin"/>
        </w:r>
        <w:r w:rsidR="00B572AE">
          <w:rPr>
            <w:noProof/>
            <w:webHidden/>
          </w:rPr>
          <w:instrText xml:space="preserve"> PAGEREF _Toc103680730 \h </w:instrText>
        </w:r>
        <w:r w:rsidR="00B572AE">
          <w:rPr>
            <w:noProof/>
            <w:webHidden/>
          </w:rPr>
        </w:r>
        <w:r w:rsidR="00B572AE">
          <w:rPr>
            <w:noProof/>
            <w:webHidden/>
          </w:rPr>
          <w:fldChar w:fldCharType="separate"/>
        </w:r>
        <w:r w:rsidR="00B572AE">
          <w:rPr>
            <w:noProof/>
            <w:webHidden/>
          </w:rPr>
          <w:t>125</w:t>
        </w:r>
        <w:r w:rsidR="00B572AE">
          <w:rPr>
            <w:noProof/>
            <w:webHidden/>
          </w:rPr>
          <w:fldChar w:fldCharType="end"/>
        </w:r>
      </w:hyperlink>
    </w:p>
    <w:p w14:paraId="7DCBE91C" w14:textId="67284949"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31" w:history="1">
        <w:r w:rsidR="00B572AE" w:rsidRPr="00C4667F">
          <w:rPr>
            <w:rStyle w:val="Hyperlink"/>
            <w:rFonts w:cstheme="minorHAnsi"/>
            <w:noProof/>
          </w:rPr>
          <w:t>Quadro 12</w:t>
        </w:r>
        <w:r w:rsidR="00B572AE" w:rsidRPr="00C4667F">
          <w:rPr>
            <w:rStyle w:val="Hyperlink"/>
            <w:rFonts w:cstheme="minorHAnsi"/>
            <w:noProof/>
            <w:lang w:eastAsia="pt-BR"/>
          </w:rPr>
          <w:t xml:space="preserve"> – Metas e Indicador OETIC05</w:t>
        </w:r>
        <w:r w:rsidR="00B572AE">
          <w:rPr>
            <w:noProof/>
            <w:webHidden/>
          </w:rPr>
          <w:tab/>
        </w:r>
        <w:r w:rsidR="00B572AE">
          <w:rPr>
            <w:noProof/>
            <w:webHidden/>
          </w:rPr>
          <w:fldChar w:fldCharType="begin"/>
        </w:r>
        <w:r w:rsidR="00B572AE">
          <w:rPr>
            <w:noProof/>
            <w:webHidden/>
          </w:rPr>
          <w:instrText xml:space="preserve"> PAGEREF _Toc103680731 \h </w:instrText>
        </w:r>
        <w:r w:rsidR="00B572AE">
          <w:rPr>
            <w:noProof/>
            <w:webHidden/>
          </w:rPr>
        </w:r>
        <w:r w:rsidR="00B572AE">
          <w:rPr>
            <w:noProof/>
            <w:webHidden/>
          </w:rPr>
          <w:fldChar w:fldCharType="separate"/>
        </w:r>
        <w:r w:rsidR="00B572AE">
          <w:rPr>
            <w:noProof/>
            <w:webHidden/>
          </w:rPr>
          <w:t>126</w:t>
        </w:r>
        <w:r w:rsidR="00B572AE">
          <w:rPr>
            <w:noProof/>
            <w:webHidden/>
          </w:rPr>
          <w:fldChar w:fldCharType="end"/>
        </w:r>
      </w:hyperlink>
    </w:p>
    <w:p w14:paraId="12BADB80" w14:textId="42CCE177"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32" w:history="1">
        <w:r w:rsidR="00B572AE" w:rsidRPr="00C4667F">
          <w:rPr>
            <w:rStyle w:val="Hyperlink"/>
            <w:rFonts w:cstheme="minorHAnsi"/>
            <w:noProof/>
          </w:rPr>
          <w:t>Quadro 13</w:t>
        </w:r>
        <w:r w:rsidR="00B572AE" w:rsidRPr="00C4667F">
          <w:rPr>
            <w:rStyle w:val="Hyperlink"/>
            <w:rFonts w:cstheme="minorHAnsi"/>
            <w:noProof/>
            <w:lang w:eastAsia="pt-BR"/>
          </w:rPr>
          <w:t xml:space="preserve"> – Metas e Indicador OETIC06</w:t>
        </w:r>
        <w:r w:rsidR="00B572AE">
          <w:rPr>
            <w:noProof/>
            <w:webHidden/>
          </w:rPr>
          <w:tab/>
        </w:r>
        <w:r w:rsidR="00B572AE">
          <w:rPr>
            <w:noProof/>
            <w:webHidden/>
          </w:rPr>
          <w:fldChar w:fldCharType="begin"/>
        </w:r>
        <w:r w:rsidR="00B572AE">
          <w:rPr>
            <w:noProof/>
            <w:webHidden/>
          </w:rPr>
          <w:instrText xml:space="preserve"> PAGEREF _Toc103680732 \h </w:instrText>
        </w:r>
        <w:r w:rsidR="00B572AE">
          <w:rPr>
            <w:noProof/>
            <w:webHidden/>
          </w:rPr>
        </w:r>
        <w:r w:rsidR="00B572AE">
          <w:rPr>
            <w:noProof/>
            <w:webHidden/>
          </w:rPr>
          <w:fldChar w:fldCharType="separate"/>
        </w:r>
        <w:r w:rsidR="00B572AE">
          <w:rPr>
            <w:noProof/>
            <w:webHidden/>
          </w:rPr>
          <w:t>127</w:t>
        </w:r>
        <w:r w:rsidR="00B572AE">
          <w:rPr>
            <w:noProof/>
            <w:webHidden/>
          </w:rPr>
          <w:fldChar w:fldCharType="end"/>
        </w:r>
      </w:hyperlink>
    </w:p>
    <w:p w14:paraId="25836896" w14:textId="7288FBFD"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33" w:history="1">
        <w:r w:rsidR="00B572AE" w:rsidRPr="00C4667F">
          <w:rPr>
            <w:rStyle w:val="Hyperlink"/>
            <w:rFonts w:cstheme="minorHAnsi"/>
            <w:noProof/>
          </w:rPr>
          <w:t>Quadro 14</w:t>
        </w:r>
        <w:r w:rsidR="00B572AE" w:rsidRPr="00C4667F">
          <w:rPr>
            <w:rStyle w:val="Hyperlink"/>
            <w:rFonts w:cstheme="minorHAnsi"/>
            <w:noProof/>
            <w:lang w:eastAsia="pt-BR"/>
          </w:rPr>
          <w:t xml:space="preserve"> – Metas e Indicador OETIC07</w:t>
        </w:r>
        <w:r w:rsidR="00B572AE">
          <w:rPr>
            <w:noProof/>
            <w:webHidden/>
          </w:rPr>
          <w:tab/>
        </w:r>
        <w:r w:rsidR="00B572AE">
          <w:rPr>
            <w:noProof/>
            <w:webHidden/>
          </w:rPr>
          <w:fldChar w:fldCharType="begin"/>
        </w:r>
        <w:r w:rsidR="00B572AE">
          <w:rPr>
            <w:noProof/>
            <w:webHidden/>
          </w:rPr>
          <w:instrText xml:space="preserve"> PAGEREF _Toc103680733 \h </w:instrText>
        </w:r>
        <w:r w:rsidR="00B572AE">
          <w:rPr>
            <w:noProof/>
            <w:webHidden/>
          </w:rPr>
        </w:r>
        <w:r w:rsidR="00B572AE">
          <w:rPr>
            <w:noProof/>
            <w:webHidden/>
          </w:rPr>
          <w:fldChar w:fldCharType="separate"/>
        </w:r>
        <w:r w:rsidR="00B572AE">
          <w:rPr>
            <w:noProof/>
            <w:webHidden/>
          </w:rPr>
          <w:t>127</w:t>
        </w:r>
        <w:r w:rsidR="00B572AE">
          <w:rPr>
            <w:noProof/>
            <w:webHidden/>
          </w:rPr>
          <w:fldChar w:fldCharType="end"/>
        </w:r>
      </w:hyperlink>
    </w:p>
    <w:p w14:paraId="3D5006FA" w14:textId="512175E4"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34" w:history="1">
        <w:r w:rsidR="00B572AE" w:rsidRPr="00C4667F">
          <w:rPr>
            <w:rStyle w:val="Hyperlink"/>
            <w:rFonts w:cstheme="minorHAnsi"/>
            <w:noProof/>
          </w:rPr>
          <w:t>Quadro 15</w:t>
        </w:r>
        <w:r w:rsidR="00B572AE" w:rsidRPr="00C4667F">
          <w:rPr>
            <w:rStyle w:val="Hyperlink"/>
            <w:rFonts w:cstheme="minorHAnsi"/>
            <w:noProof/>
            <w:lang w:eastAsia="pt-BR"/>
          </w:rPr>
          <w:t xml:space="preserve"> – Metas e Indicador OETIC08</w:t>
        </w:r>
        <w:r w:rsidR="00B572AE">
          <w:rPr>
            <w:noProof/>
            <w:webHidden/>
          </w:rPr>
          <w:tab/>
        </w:r>
        <w:r w:rsidR="00B572AE">
          <w:rPr>
            <w:noProof/>
            <w:webHidden/>
          </w:rPr>
          <w:fldChar w:fldCharType="begin"/>
        </w:r>
        <w:r w:rsidR="00B572AE">
          <w:rPr>
            <w:noProof/>
            <w:webHidden/>
          </w:rPr>
          <w:instrText xml:space="preserve"> PAGEREF _Toc103680734 \h </w:instrText>
        </w:r>
        <w:r w:rsidR="00B572AE">
          <w:rPr>
            <w:noProof/>
            <w:webHidden/>
          </w:rPr>
        </w:r>
        <w:r w:rsidR="00B572AE">
          <w:rPr>
            <w:noProof/>
            <w:webHidden/>
          </w:rPr>
          <w:fldChar w:fldCharType="separate"/>
        </w:r>
        <w:r w:rsidR="00B572AE">
          <w:rPr>
            <w:noProof/>
            <w:webHidden/>
          </w:rPr>
          <w:t>127</w:t>
        </w:r>
        <w:r w:rsidR="00B572AE">
          <w:rPr>
            <w:noProof/>
            <w:webHidden/>
          </w:rPr>
          <w:fldChar w:fldCharType="end"/>
        </w:r>
      </w:hyperlink>
    </w:p>
    <w:p w14:paraId="42287F69" w14:textId="568C58F7"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35" w:history="1">
        <w:r w:rsidR="00B572AE" w:rsidRPr="00C4667F">
          <w:rPr>
            <w:rStyle w:val="Hyperlink"/>
            <w:rFonts w:cstheme="minorHAnsi"/>
            <w:noProof/>
          </w:rPr>
          <w:t>Quadro 16</w:t>
        </w:r>
        <w:r w:rsidR="00B572AE" w:rsidRPr="00C4667F">
          <w:rPr>
            <w:rStyle w:val="Hyperlink"/>
            <w:rFonts w:cstheme="minorHAnsi"/>
            <w:noProof/>
            <w:lang w:eastAsia="pt-BR"/>
          </w:rPr>
          <w:t xml:space="preserve"> – Metas e Indicador OETIC09</w:t>
        </w:r>
        <w:r w:rsidR="00B572AE">
          <w:rPr>
            <w:noProof/>
            <w:webHidden/>
          </w:rPr>
          <w:tab/>
        </w:r>
        <w:r w:rsidR="00B572AE">
          <w:rPr>
            <w:noProof/>
            <w:webHidden/>
          </w:rPr>
          <w:fldChar w:fldCharType="begin"/>
        </w:r>
        <w:r w:rsidR="00B572AE">
          <w:rPr>
            <w:noProof/>
            <w:webHidden/>
          </w:rPr>
          <w:instrText xml:space="preserve"> PAGEREF _Toc103680735 \h </w:instrText>
        </w:r>
        <w:r w:rsidR="00B572AE">
          <w:rPr>
            <w:noProof/>
            <w:webHidden/>
          </w:rPr>
        </w:r>
        <w:r w:rsidR="00B572AE">
          <w:rPr>
            <w:noProof/>
            <w:webHidden/>
          </w:rPr>
          <w:fldChar w:fldCharType="separate"/>
        </w:r>
        <w:r w:rsidR="00B572AE">
          <w:rPr>
            <w:noProof/>
            <w:webHidden/>
          </w:rPr>
          <w:t>128</w:t>
        </w:r>
        <w:r w:rsidR="00B572AE">
          <w:rPr>
            <w:noProof/>
            <w:webHidden/>
          </w:rPr>
          <w:fldChar w:fldCharType="end"/>
        </w:r>
      </w:hyperlink>
    </w:p>
    <w:p w14:paraId="26ACA9C6" w14:textId="72D30A0B"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36" w:history="1">
        <w:r w:rsidR="00B572AE" w:rsidRPr="00C4667F">
          <w:rPr>
            <w:rStyle w:val="Hyperlink"/>
            <w:rFonts w:cstheme="minorHAnsi"/>
            <w:noProof/>
          </w:rPr>
          <w:t>Quadro 17 – Indicadores de Consumo de Energia Elétrica</w:t>
        </w:r>
        <w:r w:rsidR="00B572AE">
          <w:rPr>
            <w:noProof/>
            <w:webHidden/>
          </w:rPr>
          <w:tab/>
        </w:r>
        <w:r w:rsidR="00B572AE">
          <w:rPr>
            <w:noProof/>
            <w:webHidden/>
          </w:rPr>
          <w:fldChar w:fldCharType="begin"/>
        </w:r>
        <w:r w:rsidR="00B572AE">
          <w:rPr>
            <w:noProof/>
            <w:webHidden/>
          </w:rPr>
          <w:instrText xml:space="preserve"> PAGEREF _Toc103680736 \h </w:instrText>
        </w:r>
        <w:r w:rsidR="00B572AE">
          <w:rPr>
            <w:noProof/>
            <w:webHidden/>
          </w:rPr>
        </w:r>
        <w:r w:rsidR="00B572AE">
          <w:rPr>
            <w:noProof/>
            <w:webHidden/>
          </w:rPr>
          <w:fldChar w:fldCharType="separate"/>
        </w:r>
        <w:r w:rsidR="00B572AE">
          <w:rPr>
            <w:noProof/>
            <w:webHidden/>
          </w:rPr>
          <w:t>129</w:t>
        </w:r>
        <w:r w:rsidR="00B572AE">
          <w:rPr>
            <w:noProof/>
            <w:webHidden/>
          </w:rPr>
          <w:fldChar w:fldCharType="end"/>
        </w:r>
      </w:hyperlink>
    </w:p>
    <w:p w14:paraId="2223D368" w14:textId="48F9E779" w:rsidR="005D1A8F" w:rsidRPr="00252D7B" w:rsidRDefault="00512006" w:rsidP="00D432D0">
      <w:pPr>
        <w:pStyle w:val="Legenda"/>
        <w:rPr>
          <w:rFonts w:asciiTheme="minorHAnsi" w:hAnsiTheme="minorHAnsi" w:cstheme="minorHAnsi"/>
        </w:rPr>
      </w:pPr>
      <w:r w:rsidRPr="00252D7B">
        <w:rPr>
          <w:rFonts w:asciiTheme="minorHAnsi" w:hAnsiTheme="minorHAnsi" w:cstheme="minorHAnsi"/>
        </w:rPr>
        <w:fldChar w:fldCharType="end"/>
      </w:r>
    </w:p>
    <w:p w14:paraId="516AC1DC" w14:textId="77777777" w:rsidR="005D1A8F" w:rsidRPr="00252D7B" w:rsidRDefault="005D1A8F">
      <w:pPr>
        <w:widowControl/>
        <w:autoSpaceDE/>
        <w:autoSpaceDN/>
        <w:spacing w:after="160" w:line="259" w:lineRule="auto"/>
        <w:rPr>
          <w:rFonts w:asciiTheme="minorHAnsi" w:hAnsiTheme="minorHAnsi" w:cstheme="minorHAnsi"/>
          <w:i/>
          <w:iCs/>
          <w:color w:val="1F497D"/>
          <w:sz w:val="18"/>
          <w:szCs w:val="18"/>
        </w:rPr>
      </w:pPr>
      <w:r w:rsidRPr="00252D7B">
        <w:rPr>
          <w:rFonts w:asciiTheme="minorHAnsi" w:hAnsiTheme="minorHAnsi" w:cstheme="minorHAnsi"/>
        </w:rPr>
        <w:br w:type="page"/>
      </w:r>
    </w:p>
    <w:p w14:paraId="7ED9BA59" w14:textId="18D0AC01" w:rsidR="00283CD4" w:rsidRPr="00252D7B" w:rsidRDefault="00283CD4" w:rsidP="00283CD4">
      <w:pPr>
        <w:pStyle w:val="Ttulo1"/>
        <w:numPr>
          <w:ilvl w:val="0"/>
          <w:numId w:val="0"/>
        </w:numPr>
        <w:spacing w:after="240"/>
        <w:rPr>
          <w:rFonts w:asciiTheme="minorHAnsi" w:hAnsiTheme="minorHAnsi" w:cstheme="minorHAnsi"/>
        </w:rPr>
      </w:pPr>
      <w:bookmarkStart w:id="4" w:name="_Toc103680499"/>
      <w:r w:rsidRPr="00252D7B">
        <w:rPr>
          <w:rFonts w:asciiTheme="minorHAnsi" w:hAnsiTheme="minorHAnsi" w:cstheme="minorHAnsi"/>
        </w:rPr>
        <w:lastRenderedPageBreak/>
        <w:t>Índice de Figuras</w:t>
      </w:r>
      <w:bookmarkEnd w:id="4"/>
    </w:p>
    <w:p w14:paraId="0EC5E820" w14:textId="77777777" w:rsidR="00036B25" w:rsidRPr="00252D7B" w:rsidRDefault="00036B25">
      <w:pPr>
        <w:pStyle w:val="ndicedeilustraes"/>
        <w:tabs>
          <w:tab w:val="right" w:leader="dot" w:pos="8494"/>
        </w:tabs>
        <w:rPr>
          <w:rFonts w:asciiTheme="minorHAnsi" w:hAnsiTheme="minorHAnsi" w:cstheme="minorHAnsi"/>
        </w:rPr>
      </w:pPr>
    </w:p>
    <w:p w14:paraId="3DE44F2C" w14:textId="5A11D18D" w:rsidR="00B572AE" w:rsidRDefault="00502D5A">
      <w:pPr>
        <w:pStyle w:val="ndicedeilustraes"/>
        <w:tabs>
          <w:tab w:val="right" w:leader="dot" w:pos="8494"/>
        </w:tabs>
        <w:rPr>
          <w:rFonts w:asciiTheme="minorHAnsi" w:eastAsiaTheme="minorEastAsia" w:hAnsiTheme="minorHAnsi" w:cstheme="minorBidi"/>
          <w:noProof/>
          <w:lang w:eastAsia="pt-BR" w:bidi="ar-SA"/>
        </w:rPr>
      </w:pPr>
      <w:r w:rsidRPr="00252D7B">
        <w:rPr>
          <w:rFonts w:asciiTheme="minorHAnsi" w:hAnsiTheme="minorHAnsi" w:cstheme="minorHAnsi"/>
        </w:rPr>
        <w:fldChar w:fldCharType="begin"/>
      </w:r>
      <w:r w:rsidRPr="00252D7B">
        <w:rPr>
          <w:rFonts w:asciiTheme="minorHAnsi" w:hAnsiTheme="minorHAnsi" w:cstheme="minorHAnsi"/>
        </w:rPr>
        <w:instrText xml:space="preserve"> TOC \h \z \c "Figura" </w:instrText>
      </w:r>
      <w:r w:rsidRPr="00252D7B">
        <w:rPr>
          <w:rFonts w:asciiTheme="minorHAnsi" w:hAnsiTheme="minorHAnsi" w:cstheme="minorHAnsi"/>
        </w:rPr>
        <w:fldChar w:fldCharType="separate"/>
      </w:r>
      <w:hyperlink w:anchor="_Toc103680737" w:history="1">
        <w:r w:rsidR="00B572AE" w:rsidRPr="00D275A2">
          <w:rPr>
            <w:rStyle w:val="Hyperlink"/>
            <w:rFonts w:cstheme="minorHAnsi"/>
            <w:noProof/>
          </w:rPr>
          <w:t>Figura 1 – Estrutura do projeto de elaboração do RGI – exercício 2021</w:t>
        </w:r>
        <w:r w:rsidR="00B572AE">
          <w:rPr>
            <w:noProof/>
            <w:webHidden/>
          </w:rPr>
          <w:tab/>
        </w:r>
        <w:r w:rsidR="00B572AE">
          <w:rPr>
            <w:noProof/>
            <w:webHidden/>
          </w:rPr>
          <w:fldChar w:fldCharType="begin"/>
        </w:r>
        <w:r w:rsidR="00B572AE">
          <w:rPr>
            <w:noProof/>
            <w:webHidden/>
          </w:rPr>
          <w:instrText xml:space="preserve"> PAGEREF _Toc103680737 \h </w:instrText>
        </w:r>
        <w:r w:rsidR="00B572AE">
          <w:rPr>
            <w:noProof/>
            <w:webHidden/>
          </w:rPr>
        </w:r>
        <w:r w:rsidR="00B572AE">
          <w:rPr>
            <w:noProof/>
            <w:webHidden/>
          </w:rPr>
          <w:fldChar w:fldCharType="separate"/>
        </w:r>
        <w:r w:rsidR="00B572AE">
          <w:rPr>
            <w:noProof/>
            <w:webHidden/>
          </w:rPr>
          <w:t>21</w:t>
        </w:r>
        <w:r w:rsidR="00B572AE">
          <w:rPr>
            <w:noProof/>
            <w:webHidden/>
          </w:rPr>
          <w:fldChar w:fldCharType="end"/>
        </w:r>
      </w:hyperlink>
    </w:p>
    <w:p w14:paraId="7ABE201A" w14:textId="144F6327"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38" w:history="1">
        <w:r w:rsidR="00B572AE" w:rsidRPr="00D275A2">
          <w:rPr>
            <w:rStyle w:val="Hyperlink"/>
            <w:rFonts w:cstheme="minorHAnsi"/>
            <w:noProof/>
          </w:rPr>
          <w:t>Figura 2 – Estrutura Organizacional da Valec</w:t>
        </w:r>
        <w:r w:rsidR="00B572AE">
          <w:rPr>
            <w:noProof/>
            <w:webHidden/>
          </w:rPr>
          <w:tab/>
        </w:r>
        <w:r w:rsidR="00B572AE">
          <w:rPr>
            <w:noProof/>
            <w:webHidden/>
          </w:rPr>
          <w:fldChar w:fldCharType="begin"/>
        </w:r>
        <w:r w:rsidR="00B572AE">
          <w:rPr>
            <w:noProof/>
            <w:webHidden/>
          </w:rPr>
          <w:instrText xml:space="preserve"> PAGEREF _Toc103680738 \h </w:instrText>
        </w:r>
        <w:r w:rsidR="00B572AE">
          <w:rPr>
            <w:noProof/>
            <w:webHidden/>
          </w:rPr>
        </w:r>
        <w:r w:rsidR="00B572AE">
          <w:rPr>
            <w:noProof/>
            <w:webHidden/>
          </w:rPr>
          <w:fldChar w:fldCharType="separate"/>
        </w:r>
        <w:r w:rsidR="00B572AE">
          <w:rPr>
            <w:noProof/>
            <w:webHidden/>
          </w:rPr>
          <w:t>26</w:t>
        </w:r>
        <w:r w:rsidR="00B572AE">
          <w:rPr>
            <w:noProof/>
            <w:webHidden/>
          </w:rPr>
          <w:fldChar w:fldCharType="end"/>
        </w:r>
      </w:hyperlink>
    </w:p>
    <w:p w14:paraId="6AE26C78" w14:textId="2CCA0E9D"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39" w:history="1">
        <w:r w:rsidR="00B572AE" w:rsidRPr="00D275A2">
          <w:rPr>
            <w:rStyle w:val="Hyperlink"/>
            <w:rFonts w:cstheme="minorHAnsi"/>
            <w:noProof/>
          </w:rPr>
          <w:t>Figura 3 – Modelo de Negócios</w:t>
        </w:r>
        <w:r w:rsidR="00B572AE">
          <w:rPr>
            <w:noProof/>
            <w:webHidden/>
          </w:rPr>
          <w:tab/>
        </w:r>
        <w:r w:rsidR="00B572AE">
          <w:rPr>
            <w:noProof/>
            <w:webHidden/>
          </w:rPr>
          <w:fldChar w:fldCharType="begin"/>
        </w:r>
        <w:r w:rsidR="00B572AE">
          <w:rPr>
            <w:noProof/>
            <w:webHidden/>
          </w:rPr>
          <w:instrText xml:space="preserve"> PAGEREF _Toc103680739 \h </w:instrText>
        </w:r>
        <w:r w:rsidR="00B572AE">
          <w:rPr>
            <w:noProof/>
            <w:webHidden/>
          </w:rPr>
        </w:r>
        <w:r w:rsidR="00B572AE">
          <w:rPr>
            <w:noProof/>
            <w:webHidden/>
          </w:rPr>
          <w:fldChar w:fldCharType="separate"/>
        </w:r>
        <w:r w:rsidR="00B572AE">
          <w:rPr>
            <w:noProof/>
            <w:webHidden/>
          </w:rPr>
          <w:t>27</w:t>
        </w:r>
        <w:r w:rsidR="00B572AE">
          <w:rPr>
            <w:noProof/>
            <w:webHidden/>
          </w:rPr>
          <w:fldChar w:fldCharType="end"/>
        </w:r>
      </w:hyperlink>
    </w:p>
    <w:p w14:paraId="0B682E82" w14:textId="6A696EDD"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40" w:history="1">
        <w:r w:rsidR="00B572AE" w:rsidRPr="00D275A2">
          <w:rPr>
            <w:rStyle w:val="Hyperlink"/>
            <w:rFonts w:cstheme="minorHAnsi"/>
            <w:noProof/>
          </w:rPr>
          <w:t>Figura 4 – Cadeia de Valor da Valec</w:t>
        </w:r>
        <w:r w:rsidR="00B572AE">
          <w:rPr>
            <w:noProof/>
            <w:webHidden/>
          </w:rPr>
          <w:tab/>
        </w:r>
        <w:r w:rsidR="00B572AE">
          <w:rPr>
            <w:noProof/>
            <w:webHidden/>
          </w:rPr>
          <w:fldChar w:fldCharType="begin"/>
        </w:r>
        <w:r w:rsidR="00B572AE">
          <w:rPr>
            <w:noProof/>
            <w:webHidden/>
          </w:rPr>
          <w:instrText xml:space="preserve"> PAGEREF _Toc103680740 \h </w:instrText>
        </w:r>
        <w:r w:rsidR="00B572AE">
          <w:rPr>
            <w:noProof/>
            <w:webHidden/>
          </w:rPr>
        </w:r>
        <w:r w:rsidR="00B572AE">
          <w:rPr>
            <w:noProof/>
            <w:webHidden/>
          </w:rPr>
          <w:fldChar w:fldCharType="separate"/>
        </w:r>
        <w:r w:rsidR="00B572AE">
          <w:rPr>
            <w:noProof/>
            <w:webHidden/>
          </w:rPr>
          <w:t>30</w:t>
        </w:r>
        <w:r w:rsidR="00B572AE">
          <w:rPr>
            <w:noProof/>
            <w:webHidden/>
          </w:rPr>
          <w:fldChar w:fldCharType="end"/>
        </w:r>
      </w:hyperlink>
    </w:p>
    <w:p w14:paraId="36CCEEE5" w14:textId="36DAF15F"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41" w:history="1">
        <w:r w:rsidR="00B572AE" w:rsidRPr="00D275A2">
          <w:rPr>
            <w:rStyle w:val="Hyperlink"/>
            <w:rFonts w:cstheme="minorHAnsi"/>
            <w:noProof/>
          </w:rPr>
          <w:t>Figura 5 – Ferrovia de Integração Oeste-Leste – FIOL</w:t>
        </w:r>
        <w:r w:rsidR="00B572AE">
          <w:rPr>
            <w:noProof/>
            <w:webHidden/>
          </w:rPr>
          <w:tab/>
        </w:r>
        <w:r w:rsidR="00B572AE">
          <w:rPr>
            <w:noProof/>
            <w:webHidden/>
          </w:rPr>
          <w:fldChar w:fldCharType="begin"/>
        </w:r>
        <w:r w:rsidR="00B572AE">
          <w:rPr>
            <w:noProof/>
            <w:webHidden/>
          </w:rPr>
          <w:instrText xml:space="preserve"> PAGEREF _Toc103680741 \h </w:instrText>
        </w:r>
        <w:r w:rsidR="00B572AE">
          <w:rPr>
            <w:noProof/>
            <w:webHidden/>
          </w:rPr>
        </w:r>
        <w:r w:rsidR="00B572AE">
          <w:rPr>
            <w:noProof/>
            <w:webHidden/>
          </w:rPr>
          <w:fldChar w:fldCharType="separate"/>
        </w:r>
        <w:r w:rsidR="00B572AE">
          <w:rPr>
            <w:noProof/>
            <w:webHidden/>
          </w:rPr>
          <w:t>36</w:t>
        </w:r>
        <w:r w:rsidR="00B572AE">
          <w:rPr>
            <w:noProof/>
            <w:webHidden/>
          </w:rPr>
          <w:fldChar w:fldCharType="end"/>
        </w:r>
      </w:hyperlink>
    </w:p>
    <w:p w14:paraId="6EF58D79" w14:textId="766E83F1"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42" w:history="1">
        <w:r w:rsidR="00B572AE" w:rsidRPr="00D275A2">
          <w:rPr>
            <w:rStyle w:val="Hyperlink"/>
            <w:rFonts w:cstheme="minorHAnsi"/>
            <w:noProof/>
          </w:rPr>
          <w:t>Figura 6 – Empresas – tipo de cargas – localização.</w:t>
        </w:r>
        <w:r w:rsidR="00B572AE">
          <w:rPr>
            <w:noProof/>
            <w:webHidden/>
          </w:rPr>
          <w:tab/>
        </w:r>
        <w:r w:rsidR="00B572AE">
          <w:rPr>
            <w:noProof/>
            <w:webHidden/>
          </w:rPr>
          <w:fldChar w:fldCharType="begin"/>
        </w:r>
        <w:r w:rsidR="00B572AE">
          <w:rPr>
            <w:noProof/>
            <w:webHidden/>
          </w:rPr>
          <w:instrText xml:space="preserve"> PAGEREF _Toc103680742 \h </w:instrText>
        </w:r>
        <w:r w:rsidR="00B572AE">
          <w:rPr>
            <w:noProof/>
            <w:webHidden/>
          </w:rPr>
        </w:r>
        <w:r w:rsidR="00B572AE">
          <w:rPr>
            <w:noProof/>
            <w:webHidden/>
          </w:rPr>
          <w:fldChar w:fldCharType="separate"/>
        </w:r>
        <w:r w:rsidR="00B572AE">
          <w:rPr>
            <w:noProof/>
            <w:webHidden/>
          </w:rPr>
          <w:t>40</w:t>
        </w:r>
        <w:r w:rsidR="00B572AE">
          <w:rPr>
            <w:noProof/>
            <w:webHidden/>
          </w:rPr>
          <w:fldChar w:fldCharType="end"/>
        </w:r>
      </w:hyperlink>
    </w:p>
    <w:p w14:paraId="5D414355" w14:textId="01C1A69D"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43" w:history="1">
        <w:r w:rsidR="00B572AE" w:rsidRPr="00D275A2">
          <w:rPr>
            <w:rStyle w:val="Hyperlink"/>
            <w:rFonts w:cstheme="minorHAnsi"/>
            <w:noProof/>
          </w:rPr>
          <w:t>Figura 7 – Comparativo de densidade das malhas ferroviárias</w:t>
        </w:r>
        <w:r w:rsidR="00B572AE">
          <w:rPr>
            <w:noProof/>
            <w:webHidden/>
          </w:rPr>
          <w:tab/>
        </w:r>
        <w:r w:rsidR="00B572AE">
          <w:rPr>
            <w:noProof/>
            <w:webHidden/>
          </w:rPr>
          <w:fldChar w:fldCharType="begin"/>
        </w:r>
        <w:r w:rsidR="00B572AE">
          <w:rPr>
            <w:noProof/>
            <w:webHidden/>
          </w:rPr>
          <w:instrText xml:space="preserve"> PAGEREF _Toc103680743 \h </w:instrText>
        </w:r>
        <w:r w:rsidR="00B572AE">
          <w:rPr>
            <w:noProof/>
            <w:webHidden/>
          </w:rPr>
        </w:r>
        <w:r w:rsidR="00B572AE">
          <w:rPr>
            <w:noProof/>
            <w:webHidden/>
          </w:rPr>
          <w:fldChar w:fldCharType="separate"/>
        </w:r>
        <w:r w:rsidR="00B572AE">
          <w:rPr>
            <w:noProof/>
            <w:webHidden/>
          </w:rPr>
          <w:t>43</w:t>
        </w:r>
        <w:r w:rsidR="00B572AE">
          <w:rPr>
            <w:noProof/>
            <w:webHidden/>
          </w:rPr>
          <w:fldChar w:fldCharType="end"/>
        </w:r>
      </w:hyperlink>
    </w:p>
    <w:p w14:paraId="2BC0EEC5" w14:textId="59F54FA0"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44" w:history="1">
        <w:r w:rsidR="00B572AE" w:rsidRPr="00D275A2">
          <w:rPr>
            <w:rStyle w:val="Hyperlink"/>
            <w:rFonts w:cstheme="minorHAnsi"/>
            <w:noProof/>
          </w:rPr>
          <w:t>Figura 8 – Comparativo da participação do modo ferroviário na matriz de transporte</w:t>
        </w:r>
        <w:r w:rsidR="00B572AE">
          <w:rPr>
            <w:noProof/>
            <w:webHidden/>
          </w:rPr>
          <w:tab/>
        </w:r>
        <w:r w:rsidR="00B572AE">
          <w:rPr>
            <w:noProof/>
            <w:webHidden/>
          </w:rPr>
          <w:fldChar w:fldCharType="begin"/>
        </w:r>
        <w:r w:rsidR="00B572AE">
          <w:rPr>
            <w:noProof/>
            <w:webHidden/>
          </w:rPr>
          <w:instrText xml:space="preserve"> PAGEREF _Toc103680744 \h </w:instrText>
        </w:r>
        <w:r w:rsidR="00B572AE">
          <w:rPr>
            <w:noProof/>
            <w:webHidden/>
          </w:rPr>
        </w:r>
        <w:r w:rsidR="00B572AE">
          <w:rPr>
            <w:noProof/>
            <w:webHidden/>
          </w:rPr>
          <w:fldChar w:fldCharType="separate"/>
        </w:r>
        <w:r w:rsidR="00B572AE">
          <w:rPr>
            <w:noProof/>
            <w:webHidden/>
          </w:rPr>
          <w:t>43</w:t>
        </w:r>
        <w:r w:rsidR="00B572AE">
          <w:rPr>
            <w:noProof/>
            <w:webHidden/>
          </w:rPr>
          <w:fldChar w:fldCharType="end"/>
        </w:r>
      </w:hyperlink>
    </w:p>
    <w:p w14:paraId="2394BBB5" w14:textId="4A9BBB86"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45" w:history="1">
        <w:r w:rsidR="00B572AE" w:rsidRPr="00D275A2">
          <w:rPr>
            <w:rStyle w:val="Hyperlink"/>
            <w:rFonts w:cstheme="minorHAnsi"/>
            <w:noProof/>
          </w:rPr>
          <w:t>Figura 9 – Visão geral do status do empreendimento</w:t>
        </w:r>
        <w:r w:rsidR="00B572AE">
          <w:rPr>
            <w:noProof/>
            <w:webHidden/>
          </w:rPr>
          <w:tab/>
        </w:r>
        <w:r w:rsidR="00B572AE">
          <w:rPr>
            <w:noProof/>
            <w:webHidden/>
          </w:rPr>
          <w:fldChar w:fldCharType="begin"/>
        </w:r>
        <w:r w:rsidR="00B572AE">
          <w:rPr>
            <w:noProof/>
            <w:webHidden/>
          </w:rPr>
          <w:instrText xml:space="preserve"> PAGEREF _Toc103680745 \h </w:instrText>
        </w:r>
        <w:r w:rsidR="00B572AE">
          <w:rPr>
            <w:noProof/>
            <w:webHidden/>
          </w:rPr>
        </w:r>
        <w:r w:rsidR="00B572AE">
          <w:rPr>
            <w:noProof/>
            <w:webHidden/>
          </w:rPr>
          <w:fldChar w:fldCharType="separate"/>
        </w:r>
        <w:r w:rsidR="00B572AE">
          <w:rPr>
            <w:noProof/>
            <w:webHidden/>
          </w:rPr>
          <w:t>46</w:t>
        </w:r>
        <w:r w:rsidR="00B572AE">
          <w:rPr>
            <w:noProof/>
            <w:webHidden/>
          </w:rPr>
          <w:fldChar w:fldCharType="end"/>
        </w:r>
      </w:hyperlink>
    </w:p>
    <w:p w14:paraId="1BF1D4D0" w14:textId="44A3BB7C"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46" w:history="1">
        <w:r w:rsidR="00B572AE" w:rsidRPr="00D275A2">
          <w:rPr>
            <w:rStyle w:val="Hyperlink"/>
            <w:rFonts w:cstheme="minorHAnsi"/>
            <w:noProof/>
          </w:rPr>
          <w:t>Figura 10 – Etapas do processo de Gestão de Riscos</w:t>
        </w:r>
        <w:r w:rsidR="00B572AE">
          <w:rPr>
            <w:noProof/>
            <w:webHidden/>
          </w:rPr>
          <w:tab/>
        </w:r>
        <w:r w:rsidR="00B572AE">
          <w:rPr>
            <w:noProof/>
            <w:webHidden/>
          </w:rPr>
          <w:fldChar w:fldCharType="begin"/>
        </w:r>
        <w:r w:rsidR="00B572AE">
          <w:rPr>
            <w:noProof/>
            <w:webHidden/>
          </w:rPr>
          <w:instrText xml:space="preserve"> PAGEREF _Toc103680746 \h </w:instrText>
        </w:r>
        <w:r w:rsidR="00B572AE">
          <w:rPr>
            <w:noProof/>
            <w:webHidden/>
          </w:rPr>
        </w:r>
        <w:r w:rsidR="00B572AE">
          <w:rPr>
            <w:noProof/>
            <w:webHidden/>
          </w:rPr>
          <w:fldChar w:fldCharType="separate"/>
        </w:r>
        <w:r w:rsidR="00B572AE">
          <w:rPr>
            <w:noProof/>
            <w:webHidden/>
          </w:rPr>
          <w:t>51</w:t>
        </w:r>
        <w:r w:rsidR="00B572AE">
          <w:rPr>
            <w:noProof/>
            <w:webHidden/>
          </w:rPr>
          <w:fldChar w:fldCharType="end"/>
        </w:r>
      </w:hyperlink>
    </w:p>
    <w:p w14:paraId="277E0309" w14:textId="5D80146F"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47" w:history="1">
        <w:r w:rsidR="00B572AE" w:rsidRPr="00D275A2">
          <w:rPr>
            <w:rStyle w:val="Hyperlink"/>
            <w:rFonts w:cstheme="minorHAnsi"/>
            <w:noProof/>
          </w:rPr>
          <w:t>Figura 11 – Matriz de Riscos da Valec</w:t>
        </w:r>
        <w:r w:rsidR="00B572AE">
          <w:rPr>
            <w:noProof/>
            <w:webHidden/>
          </w:rPr>
          <w:tab/>
        </w:r>
        <w:r w:rsidR="00B572AE">
          <w:rPr>
            <w:noProof/>
            <w:webHidden/>
          </w:rPr>
          <w:fldChar w:fldCharType="begin"/>
        </w:r>
        <w:r w:rsidR="00B572AE">
          <w:rPr>
            <w:noProof/>
            <w:webHidden/>
          </w:rPr>
          <w:instrText xml:space="preserve"> PAGEREF _Toc103680747 \h </w:instrText>
        </w:r>
        <w:r w:rsidR="00B572AE">
          <w:rPr>
            <w:noProof/>
            <w:webHidden/>
          </w:rPr>
        </w:r>
        <w:r w:rsidR="00B572AE">
          <w:rPr>
            <w:noProof/>
            <w:webHidden/>
          </w:rPr>
          <w:fldChar w:fldCharType="separate"/>
        </w:r>
        <w:r w:rsidR="00B572AE">
          <w:rPr>
            <w:noProof/>
            <w:webHidden/>
          </w:rPr>
          <w:t>53</w:t>
        </w:r>
        <w:r w:rsidR="00B572AE">
          <w:rPr>
            <w:noProof/>
            <w:webHidden/>
          </w:rPr>
          <w:fldChar w:fldCharType="end"/>
        </w:r>
      </w:hyperlink>
    </w:p>
    <w:p w14:paraId="28473116" w14:textId="7C670048"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48" w:history="1">
        <w:r w:rsidR="00B572AE" w:rsidRPr="00D275A2">
          <w:rPr>
            <w:rStyle w:val="Hyperlink"/>
            <w:rFonts w:cstheme="minorHAnsi"/>
            <w:noProof/>
          </w:rPr>
          <w:t>Figura 12 – Estrutura de Governança da Valec</w:t>
        </w:r>
        <w:r w:rsidR="00B572AE">
          <w:rPr>
            <w:noProof/>
            <w:webHidden/>
          </w:rPr>
          <w:tab/>
        </w:r>
        <w:r w:rsidR="00B572AE">
          <w:rPr>
            <w:noProof/>
            <w:webHidden/>
          </w:rPr>
          <w:fldChar w:fldCharType="begin"/>
        </w:r>
        <w:r w:rsidR="00B572AE">
          <w:rPr>
            <w:noProof/>
            <w:webHidden/>
          </w:rPr>
          <w:instrText xml:space="preserve"> PAGEREF _Toc103680748 \h </w:instrText>
        </w:r>
        <w:r w:rsidR="00B572AE">
          <w:rPr>
            <w:noProof/>
            <w:webHidden/>
          </w:rPr>
        </w:r>
        <w:r w:rsidR="00B572AE">
          <w:rPr>
            <w:noProof/>
            <w:webHidden/>
          </w:rPr>
          <w:fldChar w:fldCharType="separate"/>
        </w:r>
        <w:r w:rsidR="00B572AE">
          <w:rPr>
            <w:noProof/>
            <w:webHidden/>
          </w:rPr>
          <w:t>57</w:t>
        </w:r>
        <w:r w:rsidR="00B572AE">
          <w:rPr>
            <w:noProof/>
            <w:webHidden/>
          </w:rPr>
          <w:fldChar w:fldCharType="end"/>
        </w:r>
      </w:hyperlink>
    </w:p>
    <w:p w14:paraId="4E32D10A" w14:textId="23B11157"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49" w:history="1">
        <w:r w:rsidR="00B572AE" w:rsidRPr="00D275A2">
          <w:rPr>
            <w:rStyle w:val="Hyperlink"/>
            <w:rFonts w:cstheme="minorHAnsi"/>
            <w:noProof/>
          </w:rPr>
          <w:t>Figura 13 – Mapa estratégico da Valec 2020-2024</w:t>
        </w:r>
        <w:r w:rsidR="00B572AE">
          <w:rPr>
            <w:noProof/>
            <w:webHidden/>
          </w:rPr>
          <w:tab/>
        </w:r>
        <w:r w:rsidR="00B572AE">
          <w:rPr>
            <w:noProof/>
            <w:webHidden/>
          </w:rPr>
          <w:fldChar w:fldCharType="begin"/>
        </w:r>
        <w:r w:rsidR="00B572AE">
          <w:rPr>
            <w:noProof/>
            <w:webHidden/>
          </w:rPr>
          <w:instrText xml:space="preserve"> PAGEREF _Toc103680749 \h </w:instrText>
        </w:r>
        <w:r w:rsidR="00B572AE">
          <w:rPr>
            <w:noProof/>
            <w:webHidden/>
          </w:rPr>
        </w:r>
        <w:r w:rsidR="00B572AE">
          <w:rPr>
            <w:noProof/>
            <w:webHidden/>
          </w:rPr>
          <w:fldChar w:fldCharType="separate"/>
        </w:r>
        <w:r w:rsidR="00B572AE">
          <w:rPr>
            <w:noProof/>
            <w:webHidden/>
          </w:rPr>
          <w:t>58</w:t>
        </w:r>
        <w:r w:rsidR="00B572AE">
          <w:rPr>
            <w:noProof/>
            <w:webHidden/>
          </w:rPr>
          <w:fldChar w:fldCharType="end"/>
        </w:r>
      </w:hyperlink>
    </w:p>
    <w:p w14:paraId="0E8A4161" w14:textId="0F9C1EA5"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50" w:history="1">
        <w:r w:rsidR="00B572AE" w:rsidRPr="00D275A2">
          <w:rPr>
            <w:rStyle w:val="Hyperlink"/>
            <w:rFonts w:cstheme="minorHAnsi"/>
            <w:noProof/>
          </w:rPr>
          <w:t>Figura 14 – Análise de SWOT</w:t>
        </w:r>
        <w:r w:rsidR="00B572AE">
          <w:rPr>
            <w:noProof/>
            <w:webHidden/>
          </w:rPr>
          <w:tab/>
        </w:r>
        <w:r w:rsidR="00B572AE">
          <w:rPr>
            <w:noProof/>
            <w:webHidden/>
          </w:rPr>
          <w:fldChar w:fldCharType="begin"/>
        </w:r>
        <w:r w:rsidR="00B572AE">
          <w:rPr>
            <w:noProof/>
            <w:webHidden/>
          </w:rPr>
          <w:instrText xml:space="preserve"> PAGEREF _Toc103680750 \h </w:instrText>
        </w:r>
        <w:r w:rsidR="00B572AE">
          <w:rPr>
            <w:noProof/>
            <w:webHidden/>
          </w:rPr>
        </w:r>
        <w:r w:rsidR="00B572AE">
          <w:rPr>
            <w:noProof/>
            <w:webHidden/>
          </w:rPr>
          <w:fldChar w:fldCharType="separate"/>
        </w:r>
        <w:r w:rsidR="00B572AE">
          <w:rPr>
            <w:noProof/>
            <w:webHidden/>
          </w:rPr>
          <w:t>59</w:t>
        </w:r>
        <w:r w:rsidR="00B572AE">
          <w:rPr>
            <w:noProof/>
            <w:webHidden/>
          </w:rPr>
          <w:fldChar w:fldCharType="end"/>
        </w:r>
      </w:hyperlink>
    </w:p>
    <w:p w14:paraId="68FAEA6C" w14:textId="0F5F21C7"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51" w:history="1">
        <w:r w:rsidR="00B572AE" w:rsidRPr="00D275A2">
          <w:rPr>
            <w:rStyle w:val="Hyperlink"/>
            <w:rFonts w:cstheme="minorHAnsi"/>
            <w:noProof/>
          </w:rPr>
          <w:t>Figura 15 – Reuniões Comerciais para a Prospecção de Novos Clientes</w:t>
        </w:r>
        <w:r w:rsidR="00B572AE">
          <w:rPr>
            <w:noProof/>
            <w:webHidden/>
          </w:rPr>
          <w:tab/>
        </w:r>
        <w:r w:rsidR="00B572AE">
          <w:rPr>
            <w:noProof/>
            <w:webHidden/>
          </w:rPr>
          <w:fldChar w:fldCharType="begin"/>
        </w:r>
        <w:r w:rsidR="00B572AE">
          <w:rPr>
            <w:noProof/>
            <w:webHidden/>
          </w:rPr>
          <w:instrText xml:space="preserve"> PAGEREF _Toc103680751 \h </w:instrText>
        </w:r>
        <w:r w:rsidR="00B572AE">
          <w:rPr>
            <w:noProof/>
            <w:webHidden/>
          </w:rPr>
        </w:r>
        <w:r w:rsidR="00B572AE">
          <w:rPr>
            <w:noProof/>
            <w:webHidden/>
          </w:rPr>
          <w:fldChar w:fldCharType="separate"/>
        </w:r>
        <w:r w:rsidR="00B572AE">
          <w:rPr>
            <w:noProof/>
            <w:webHidden/>
          </w:rPr>
          <w:t>74</w:t>
        </w:r>
        <w:r w:rsidR="00B572AE">
          <w:rPr>
            <w:noProof/>
            <w:webHidden/>
          </w:rPr>
          <w:fldChar w:fldCharType="end"/>
        </w:r>
      </w:hyperlink>
    </w:p>
    <w:p w14:paraId="7D00164F" w14:textId="7929ADC4"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52" w:history="1">
        <w:r w:rsidR="00B572AE" w:rsidRPr="00D275A2">
          <w:rPr>
            <w:rStyle w:val="Hyperlink"/>
            <w:rFonts w:cstheme="minorHAnsi"/>
            <w:noProof/>
          </w:rPr>
          <w:t>Figura 16 – Esquema de cores do desempenho dos objetivos estratégicos</w:t>
        </w:r>
        <w:r w:rsidR="00B572AE">
          <w:rPr>
            <w:noProof/>
            <w:webHidden/>
          </w:rPr>
          <w:tab/>
        </w:r>
        <w:r w:rsidR="00B572AE">
          <w:rPr>
            <w:noProof/>
            <w:webHidden/>
          </w:rPr>
          <w:fldChar w:fldCharType="begin"/>
        </w:r>
        <w:r w:rsidR="00B572AE">
          <w:rPr>
            <w:noProof/>
            <w:webHidden/>
          </w:rPr>
          <w:instrText xml:space="preserve"> PAGEREF _Toc103680752 \h </w:instrText>
        </w:r>
        <w:r w:rsidR="00B572AE">
          <w:rPr>
            <w:noProof/>
            <w:webHidden/>
          </w:rPr>
        </w:r>
        <w:r w:rsidR="00B572AE">
          <w:rPr>
            <w:noProof/>
            <w:webHidden/>
          </w:rPr>
          <w:fldChar w:fldCharType="separate"/>
        </w:r>
        <w:r w:rsidR="00B572AE">
          <w:rPr>
            <w:noProof/>
            <w:webHidden/>
          </w:rPr>
          <w:t>76</w:t>
        </w:r>
        <w:r w:rsidR="00B572AE">
          <w:rPr>
            <w:noProof/>
            <w:webHidden/>
          </w:rPr>
          <w:fldChar w:fldCharType="end"/>
        </w:r>
      </w:hyperlink>
    </w:p>
    <w:p w14:paraId="0764D62E" w14:textId="3155B24E"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53" w:history="1">
        <w:r w:rsidR="00B572AE" w:rsidRPr="00D275A2">
          <w:rPr>
            <w:rStyle w:val="Hyperlink"/>
            <w:rFonts w:cstheme="minorHAnsi"/>
            <w:noProof/>
          </w:rPr>
          <w:t>Figura 17 – Cadeia de Valor da Valec e objetivos estratégicos correlatos</w:t>
        </w:r>
        <w:r w:rsidR="00B572AE">
          <w:rPr>
            <w:noProof/>
            <w:webHidden/>
          </w:rPr>
          <w:tab/>
        </w:r>
        <w:r w:rsidR="00B572AE">
          <w:rPr>
            <w:noProof/>
            <w:webHidden/>
          </w:rPr>
          <w:fldChar w:fldCharType="begin"/>
        </w:r>
        <w:r w:rsidR="00B572AE">
          <w:rPr>
            <w:noProof/>
            <w:webHidden/>
          </w:rPr>
          <w:instrText xml:space="preserve"> PAGEREF _Toc103680753 \h </w:instrText>
        </w:r>
        <w:r w:rsidR="00B572AE">
          <w:rPr>
            <w:noProof/>
            <w:webHidden/>
          </w:rPr>
        </w:r>
        <w:r w:rsidR="00B572AE">
          <w:rPr>
            <w:noProof/>
            <w:webHidden/>
          </w:rPr>
          <w:fldChar w:fldCharType="separate"/>
        </w:r>
        <w:r w:rsidR="00B572AE">
          <w:rPr>
            <w:noProof/>
            <w:webHidden/>
          </w:rPr>
          <w:t>84</w:t>
        </w:r>
        <w:r w:rsidR="00B572AE">
          <w:rPr>
            <w:noProof/>
            <w:webHidden/>
          </w:rPr>
          <w:fldChar w:fldCharType="end"/>
        </w:r>
      </w:hyperlink>
    </w:p>
    <w:p w14:paraId="42795164" w14:textId="06176B25"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54" w:history="1">
        <w:r w:rsidR="00B572AE" w:rsidRPr="00D275A2">
          <w:rPr>
            <w:rStyle w:val="Hyperlink"/>
            <w:rFonts w:cstheme="minorHAnsi"/>
            <w:noProof/>
          </w:rPr>
          <w:t>Figura 18 – Trecho da Ferrovia Norte Sul – FNS</w:t>
        </w:r>
        <w:r w:rsidR="00B572AE">
          <w:rPr>
            <w:noProof/>
            <w:webHidden/>
          </w:rPr>
          <w:tab/>
        </w:r>
        <w:r w:rsidR="00B572AE">
          <w:rPr>
            <w:noProof/>
            <w:webHidden/>
          </w:rPr>
          <w:fldChar w:fldCharType="begin"/>
        </w:r>
        <w:r w:rsidR="00B572AE">
          <w:rPr>
            <w:noProof/>
            <w:webHidden/>
          </w:rPr>
          <w:instrText xml:space="preserve"> PAGEREF _Toc103680754 \h </w:instrText>
        </w:r>
        <w:r w:rsidR="00B572AE">
          <w:rPr>
            <w:noProof/>
            <w:webHidden/>
          </w:rPr>
        </w:r>
        <w:r w:rsidR="00B572AE">
          <w:rPr>
            <w:noProof/>
            <w:webHidden/>
          </w:rPr>
          <w:fldChar w:fldCharType="separate"/>
        </w:r>
        <w:r w:rsidR="00B572AE">
          <w:rPr>
            <w:noProof/>
            <w:webHidden/>
          </w:rPr>
          <w:t>87</w:t>
        </w:r>
        <w:r w:rsidR="00B572AE">
          <w:rPr>
            <w:noProof/>
            <w:webHidden/>
          </w:rPr>
          <w:fldChar w:fldCharType="end"/>
        </w:r>
      </w:hyperlink>
    </w:p>
    <w:p w14:paraId="43344963" w14:textId="76C912F7"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55" w:history="1">
        <w:r w:rsidR="00B572AE" w:rsidRPr="00D275A2">
          <w:rPr>
            <w:rStyle w:val="Hyperlink"/>
            <w:rFonts w:cstheme="minorHAnsi"/>
            <w:noProof/>
          </w:rPr>
          <w:t>Figura 19 – Cálculo da Necessidade de Recursos do Tesouro Nacional</w:t>
        </w:r>
        <w:r w:rsidR="00B572AE">
          <w:rPr>
            <w:noProof/>
            <w:webHidden/>
          </w:rPr>
          <w:tab/>
        </w:r>
        <w:r w:rsidR="00B572AE">
          <w:rPr>
            <w:noProof/>
            <w:webHidden/>
          </w:rPr>
          <w:fldChar w:fldCharType="begin"/>
        </w:r>
        <w:r w:rsidR="00B572AE">
          <w:rPr>
            <w:noProof/>
            <w:webHidden/>
          </w:rPr>
          <w:instrText xml:space="preserve"> PAGEREF _Toc103680755 \h </w:instrText>
        </w:r>
        <w:r w:rsidR="00B572AE">
          <w:rPr>
            <w:noProof/>
            <w:webHidden/>
          </w:rPr>
        </w:r>
        <w:r w:rsidR="00B572AE">
          <w:rPr>
            <w:noProof/>
            <w:webHidden/>
          </w:rPr>
          <w:fldChar w:fldCharType="separate"/>
        </w:r>
        <w:r w:rsidR="00B572AE">
          <w:rPr>
            <w:noProof/>
            <w:webHidden/>
          </w:rPr>
          <w:t>89</w:t>
        </w:r>
        <w:r w:rsidR="00B572AE">
          <w:rPr>
            <w:noProof/>
            <w:webHidden/>
          </w:rPr>
          <w:fldChar w:fldCharType="end"/>
        </w:r>
      </w:hyperlink>
    </w:p>
    <w:p w14:paraId="47F02F8F" w14:textId="08568432"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56" w:history="1">
        <w:r w:rsidR="00B572AE" w:rsidRPr="00D275A2">
          <w:rPr>
            <w:rStyle w:val="Hyperlink"/>
            <w:rFonts w:cstheme="minorHAnsi"/>
            <w:noProof/>
          </w:rPr>
          <w:t>Figura 20 – Resultados da Gestão Patrimonial</w:t>
        </w:r>
        <w:r w:rsidR="00B572AE">
          <w:rPr>
            <w:noProof/>
            <w:webHidden/>
          </w:rPr>
          <w:tab/>
        </w:r>
        <w:r w:rsidR="00B572AE">
          <w:rPr>
            <w:noProof/>
            <w:webHidden/>
          </w:rPr>
          <w:fldChar w:fldCharType="begin"/>
        </w:r>
        <w:r w:rsidR="00B572AE">
          <w:rPr>
            <w:noProof/>
            <w:webHidden/>
          </w:rPr>
          <w:instrText xml:space="preserve"> PAGEREF _Toc103680756 \h </w:instrText>
        </w:r>
        <w:r w:rsidR="00B572AE">
          <w:rPr>
            <w:noProof/>
            <w:webHidden/>
          </w:rPr>
        </w:r>
        <w:r w:rsidR="00B572AE">
          <w:rPr>
            <w:noProof/>
            <w:webHidden/>
          </w:rPr>
          <w:fldChar w:fldCharType="separate"/>
        </w:r>
        <w:r w:rsidR="00B572AE">
          <w:rPr>
            <w:noProof/>
            <w:webHidden/>
          </w:rPr>
          <w:t>109</w:t>
        </w:r>
        <w:r w:rsidR="00B572AE">
          <w:rPr>
            <w:noProof/>
            <w:webHidden/>
          </w:rPr>
          <w:fldChar w:fldCharType="end"/>
        </w:r>
      </w:hyperlink>
    </w:p>
    <w:p w14:paraId="645D5D8F" w14:textId="7E3D12B2"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57" w:history="1">
        <w:r w:rsidR="00B572AE" w:rsidRPr="00D275A2">
          <w:rPr>
            <w:rStyle w:val="Hyperlink"/>
            <w:rFonts w:cstheme="minorHAnsi"/>
            <w:noProof/>
          </w:rPr>
          <w:t>Figura 21 – Distribuição Patrimonial por Valor Contábil</w:t>
        </w:r>
        <w:r w:rsidR="00B572AE">
          <w:rPr>
            <w:noProof/>
            <w:webHidden/>
          </w:rPr>
          <w:tab/>
        </w:r>
        <w:r w:rsidR="00B572AE">
          <w:rPr>
            <w:noProof/>
            <w:webHidden/>
          </w:rPr>
          <w:fldChar w:fldCharType="begin"/>
        </w:r>
        <w:r w:rsidR="00B572AE">
          <w:rPr>
            <w:noProof/>
            <w:webHidden/>
          </w:rPr>
          <w:instrText xml:space="preserve"> PAGEREF _Toc103680757 \h </w:instrText>
        </w:r>
        <w:r w:rsidR="00B572AE">
          <w:rPr>
            <w:noProof/>
            <w:webHidden/>
          </w:rPr>
        </w:r>
        <w:r w:rsidR="00B572AE">
          <w:rPr>
            <w:noProof/>
            <w:webHidden/>
          </w:rPr>
          <w:fldChar w:fldCharType="separate"/>
        </w:r>
        <w:r w:rsidR="00B572AE">
          <w:rPr>
            <w:noProof/>
            <w:webHidden/>
          </w:rPr>
          <w:t>109</w:t>
        </w:r>
        <w:r w:rsidR="00B572AE">
          <w:rPr>
            <w:noProof/>
            <w:webHidden/>
          </w:rPr>
          <w:fldChar w:fldCharType="end"/>
        </w:r>
      </w:hyperlink>
    </w:p>
    <w:p w14:paraId="6CDB2444" w14:textId="7696A4A9"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58" w:history="1">
        <w:r w:rsidR="00B572AE" w:rsidRPr="00D275A2">
          <w:rPr>
            <w:rStyle w:val="Hyperlink"/>
            <w:rFonts w:cstheme="minorHAnsi"/>
            <w:noProof/>
          </w:rPr>
          <w:t>Figura 22 – Custos dos serviços administrativos 2021</w:t>
        </w:r>
        <w:r w:rsidR="00B572AE">
          <w:rPr>
            <w:noProof/>
            <w:webHidden/>
          </w:rPr>
          <w:tab/>
        </w:r>
        <w:r w:rsidR="00B572AE">
          <w:rPr>
            <w:noProof/>
            <w:webHidden/>
          </w:rPr>
          <w:fldChar w:fldCharType="begin"/>
        </w:r>
        <w:r w:rsidR="00B572AE">
          <w:rPr>
            <w:noProof/>
            <w:webHidden/>
          </w:rPr>
          <w:instrText xml:space="preserve"> PAGEREF _Toc103680758 \h </w:instrText>
        </w:r>
        <w:r w:rsidR="00B572AE">
          <w:rPr>
            <w:noProof/>
            <w:webHidden/>
          </w:rPr>
        </w:r>
        <w:r w:rsidR="00B572AE">
          <w:rPr>
            <w:noProof/>
            <w:webHidden/>
          </w:rPr>
          <w:fldChar w:fldCharType="separate"/>
        </w:r>
        <w:r w:rsidR="00B572AE">
          <w:rPr>
            <w:noProof/>
            <w:webHidden/>
          </w:rPr>
          <w:t>110</w:t>
        </w:r>
        <w:r w:rsidR="00B572AE">
          <w:rPr>
            <w:noProof/>
            <w:webHidden/>
          </w:rPr>
          <w:fldChar w:fldCharType="end"/>
        </w:r>
      </w:hyperlink>
    </w:p>
    <w:p w14:paraId="2E0B456E" w14:textId="7D85A576"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59" w:history="1">
        <w:r w:rsidR="00B572AE" w:rsidRPr="00D275A2">
          <w:rPr>
            <w:rStyle w:val="Hyperlink"/>
            <w:rFonts w:cstheme="minorHAnsi"/>
            <w:noProof/>
          </w:rPr>
          <w:t>Figura 23 – Dados sobre a locação predial</w:t>
        </w:r>
        <w:r w:rsidR="00B572AE">
          <w:rPr>
            <w:noProof/>
            <w:webHidden/>
          </w:rPr>
          <w:tab/>
        </w:r>
        <w:r w:rsidR="00B572AE">
          <w:rPr>
            <w:noProof/>
            <w:webHidden/>
          </w:rPr>
          <w:fldChar w:fldCharType="begin"/>
        </w:r>
        <w:r w:rsidR="00B572AE">
          <w:rPr>
            <w:noProof/>
            <w:webHidden/>
          </w:rPr>
          <w:instrText xml:space="preserve"> PAGEREF _Toc103680759 \h </w:instrText>
        </w:r>
        <w:r w:rsidR="00B572AE">
          <w:rPr>
            <w:noProof/>
            <w:webHidden/>
          </w:rPr>
        </w:r>
        <w:r w:rsidR="00B572AE">
          <w:rPr>
            <w:noProof/>
            <w:webHidden/>
          </w:rPr>
          <w:fldChar w:fldCharType="separate"/>
        </w:r>
        <w:r w:rsidR="00B572AE">
          <w:rPr>
            <w:noProof/>
            <w:webHidden/>
          </w:rPr>
          <w:t>111</w:t>
        </w:r>
        <w:r w:rsidR="00B572AE">
          <w:rPr>
            <w:noProof/>
            <w:webHidden/>
          </w:rPr>
          <w:fldChar w:fldCharType="end"/>
        </w:r>
      </w:hyperlink>
    </w:p>
    <w:p w14:paraId="01736934" w14:textId="4D86D91D"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60" w:history="1">
        <w:r w:rsidR="00B572AE" w:rsidRPr="00D275A2">
          <w:rPr>
            <w:rStyle w:val="Hyperlink"/>
            <w:rFonts w:cstheme="minorHAnsi"/>
            <w:noProof/>
          </w:rPr>
          <w:t>Figura 24 – Principais desafios e ações futuras</w:t>
        </w:r>
        <w:r w:rsidR="00B572AE">
          <w:rPr>
            <w:noProof/>
            <w:webHidden/>
          </w:rPr>
          <w:tab/>
        </w:r>
        <w:r w:rsidR="00B572AE">
          <w:rPr>
            <w:noProof/>
            <w:webHidden/>
          </w:rPr>
          <w:fldChar w:fldCharType="begin"/>
        </w:r>
        <w:r w:rsidR="00B572AE">
          <w:rPr>
            <w:noProof/>
            <w:webHidden/>
          </w:rPr>
          <w:instrText xml:space="preserve"> PAGEREF _Toc103680760 \h </w:instrText>
        </w:r>
        <w:r w:rsidR="00B572AE">
          <w:rPr>
            <w:noProof/>
            <w:webHidden/>
          </w:rPr>
        </w:r>
        <w:r w:rsidR="00B572AE">
          <w:rPr>
            <w:noProof/>
            <w:webHidden/>
          </w:rPr>
          <w:fldChar w:fldCharType="separate"/>
        </w:r>
        <w:r w:rsidR="00B572AE">
          <w:rPr>
            <w:noProof/>
            <w:webHidden/>
          </w:rPr>
          <w:t>112</w:t>
        </w:r>
        <w:r w:rsidR="00B572AE">
          <w:rPr>
            <w:noProof/>
            <w:webHidden/>
          </w:rPr>
          <w:fldChar w:fldCharType="end"/>
        </w:r>
      </w:hyperlink>
    </w:p>
    <w:p w14:paraId="43979402" w14:textId="15CEF94C"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61" w:history="1">
        <w:r w:rsidR="00B572AE" w:rsidRPr="00D275A2">
          <w:rPr>
            <w:rStyle w:val="Hyperlink"/>
            <w:rFonts w:cstheme="minorHAnsi"/>
            <w:noProof/>
          </w:rPr>
          <w:t>Figura 25 – Cadeia de valor SUPTI.</w:t>
        </w:r>
        <w:r w:rsidR="00B572AE">
          <w:rPr>
            <w:noProof/>
            <w:webHidden/>
          </w:rPr>
          <w:tab/>
        </w:r>
        <w:r w:rsidR="00B572AE">
          <w:rPr>
            <w:noProof/>
            <w:webHidden/>
          </w:rPr>
          <w:fldChar w:fldCharType="begin"/>
        </w:r>
        <w:r w:rsidR="00B572AE">
          <w:rPr>
            <w:noProof/>
            <w:webHidden/>
          </w:rPr>
          <w:instrText xml:space="preserve"> PAGEREF _Toc103680761 \h </w:instrText>
        </w:r>
        <w:r w:rsidR="00B572AE">
          <w:rPr>
            <w:noProof/>
            <w:webHidden/>
          </w:rPr>
        </w:r>
        <w:r w:rsidR="00B572AE">
          <w:rPr>
            <w:noProof/>
            <w:webHidden/>
          </w:rPr>
          <w:fldChar w:fldCharType="separate"/>
        </w:r>
        <w:r w:rsidR="00B572AE">
          <w:rPr>
            <w:noProof/>
            <w:webHidden/>
          </w:rPr>
          <w:t>118</w:t>
        </w:r>
        <w:r w:rsidR="00B572AE">
          <w:rPr>
            <w:noProof/>
            <w:webHidden/>
          </w:rPr>
          <w:fldChar w:fldCharType="end"/>
        </w:r>
      </w:hyperlink>
    </w:p>
    <w:p w14:paraId="2915D956" w14:textId="07FB5B47"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62" w:history="1">
        <w:r w:rsidR="00B572AE" w:rsidRPr="00D275A2">
          <w:rPr>
            <w:rStyle w:val="Hyperlink"/>
            <w:rFonts w:cstheme="minorHAnsi"/>
            <w:noProof/>
          </w:rPr>
          <w:t>Figura 26 – SIC – Pesquisa de Satisfação do Usuário solicitações da LAI na Valec, entre 01/12/2021 e 31/12/2021.</w:t>
        </w:r>
        <w:r w:rsidR="00B572AE">
          <w:rPr>
            <w:noProof/>
            <w:webHidden/>
          </w:rPr>
          <w:tab/>
        </w:r>
        <w:r w:rsidR="00B572AE">
          <w:rPr>
            <w:noProof/>
            <w:webHidden/>
          </w:rPr>
          <w:fldChar w:fldCharType="begin"/>
        </w:r>
        <w:r w:rsidR="00B572AE">
          <w:rPr>
            <w:noProof/>
            <w:webHidden/>
          </w:rPr>
          <w:instrText xml:space="preserve"> PAGEREF _Toc103680762 \h </w:instrText>
        </w:r>
        <w:r w:rsidR="00B572AE">
          <w:rPr>
            <w:noProof/>
            <w:webHidden/>
          </w:rPr>
        </w:r>
        <w:r w:rsidR="00B572AE">
          <w:rPr>
            <w:noProof/>
            <w:webHidden/>
          </w:rPr>
          <w:fldChar w:fldCharType="separate"/>
        </w:r>
        <w:r w:rsidR="00B572AE">
          <w:rPr>
            <w:noProof/>
            <w:webHidden/>
          </w:rPr>
          <w:t>140</w:t>
        </w:r>
        <w:r w:rsidR="00B572AE">
          <w:rPr>
            <w:noProof/>
            <w:webHidden/>
          </w:rPr>
          <w:fldChar w:fldCharType="end"/>
        </w:r>
      </w:hyperlink>
    </w:p>
    <w:p w14:paraId="463F778E" w14:textId="17E85EAF"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63" w:history="1">
        <w:r w:rsidR="00B572AE" w:rsidRPr="00D275A2">
          <w:rPr>
            <w:rStyle w:val="Hyperlink"/>
            <w:rFonts w:cstheme="minorHAnsi"/>
            <w:noProof/>
          </w:rPr>
          <w:t>Figura 27 – SIC – Pesquisa de Satisfação do Usuário para solicitações da LAI do Governo Federal, entre 01/12/2021 e 31/12/2021.</w:t>
        </w:r>
        <w:r w:rsidR="00B572AE">
          <w:rPr>
            <w:noProof/>
            <w:webHidden/>
          </w:rPr>
          <w:tab/>
        </w:r>
        <w:r w:rsidR="00B572AE">
          <w:rPr>
            <w:noProof/>
            <w:webHidden/>
          </w:rPr>
          <w:fldChar w:fldCharType="begin"/>
        </w:r>
        <w:r w:rsidR="00B572AE">
          <w:rPr>
            <w:noProof/>
            <w:webHidden/>
          </w:rPr>
          <w:instrText xml:space="preserve"> PAGEREF _Toc103680763 \h </w:instrText>
        </w:r>
        <w:r w:rsidR="00B572AE">
          <w:rPr>
            <w:noProof/>
            <w:webHidden/>
          </w:rPr>
        </w:r>
        <w:r w:rsidR="00B572AE">
          <w:rPr>
            <w:noProof/>
            <w:webHidden/>
          </w:rPr>
          <w:fldChar w:fldCharType="separate"/>
        </w:r>
        <w:r w:rsidR="00B572AE">
          <w:rPr>
            <w:noProof/>
            <w:webHidden/>
          </w:rPr>
          <w:t>141</w:t>
        </w:r>
        <w:r w:rsidR="00B572AE">
          <w:rPr>
            <w:noProof/>
            <w:webHidden/>
          </w:rPr>
          <w:fldChar w:fldCharType="end"/>
        </w:r>
      </w:hyperlink>
    </w:p>
    <w:p w14:paraId="0BDA6F16" w14:textId="37BB6D0E"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64" w:history="1">
        <w:r w:rsidR="00B572AE" w:rsidRPr="00D275A2">
          <w:rPr>
            <w:rStyle w:val="Hyperlink"/>
            <w:rFonts w:cstheme="minorHAnsi"/>
            <w:noProof/>
          </w:rPr>
          <w:t>Figura 28 – Pesquisa de Satisfação do Usuário solicitações da Ouvidoria na Valec, entre 01/12/2021 e 31/12/2021.</w:t>
        </w:r>
        <w:r w:rsidR="00B572AE">
          <w:rPr>
            <w:noProof/>
            <w:webHidden/>
          </w:rPr>
          <w:tab/>
        </w:r>
        <w:r w:rsidR="00B572AE">
          <w:rPr>
            <w:noProof/>
            <w:webHidden/>
          </w:rPr>
          <w:fldChar w:fldCharType="begin"/>
        </w:r>
        <w:r w:rsidR="00B572AE">
          <w:rPr>
            <w:noProof/>
            <w:webHidden/>
          </w:rPr>
          <w:instrText xml:space="preserve"> PAGEREF _Toc103680764 \h </w:instrText>
        </w:r>
        <w:r w:rsidR="00B572AE">
          <w:rPr>
            <w:noProof/>
            <w:webHidden/>
          </w:rPr>
        </w:r>
        <w:r w:rsidR="00B572AE">
          <w:rPr>
            <w:noProof/>
            <w:webHidden/>
          </w:rPr>
          <w:fldChar w:fldCharType="separate"/>
        </w:r>
        <w:r w:rsidR="00B572AE">
          <w:rPr>
            <w:noProof/>
            <w:webHidden/>
          </w:rPr>
          <w:t>141</w:t>
        </w:r>
        <w:r w:rsidR="00B572AE">
          <w:rPr>
            <w:noProof/>
            <w:webHidden/>
          </w:rPr>
          <w:fldChar w:fldCharType="end"/>
        </w:r>
      </w:hyperlink>
    </w:p>
    <w:p w14:paraId="55E45311" w14:textId="4FDE37F1"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65" w:history="1">
        <w:r w:rsidR="00B572AE" w:rsidRPr="00D275A2">
          <w:rPr>
            <w:rStyle w:val="Hyperlink"/>
            <w:rFonts w:cstheme="minorHAnsi"/>
            <w:noProof/>
          </w:rPr>
          <w:t>Figura 29 – Pesquisa de Satisfação do Usuário solicitações da Ouvidoria do Governo Federal, entre 01/12/2021 e 31/12/2021</w:t>
        </w:r>
        <w:r w:rsidR="00B572AE">
          <w:rPr>
            <w:noProof/>
            <w:webHidden/>
          </w:rPr>
          <w:tab/>
        </w:r>
        <w:r w:rsidR="00B572AE">
          <w:rPr>
            <w:noProof/>
            <w:webHidden/>
          </w:rPr>
          <w:fldChar w:fldCharType="begin"/>
        </w:r>
        <w:r w:rsidR="00B572AE">
          <w:rPr>
            <w:noProof/>
            <w:webHidden/>
          </w:rPr>
          <w:instrText xml:space="preserve"> PAGEREF _Toc103680765 \h </w:instrText>
        </w:r>
        <w:r w:rsidR="00B572AE">
          <w:rPr>
            <w:noProof/>
            <w:webHidden/>
          </w:rPr>
        </w:r>
        <w:r w:rsidR="00B572AE">
          <w:rPr>
            <w:noProof/>
            <w:webHidden/>
          </w:rPr>
          <w:fldChar w:fldCharType="separate"/>
        </w:r>
        <w:r w:rsidR="00B572AE">
          <w:rPr>
            <w:noProof/>
            <w:webHidden/>
          </w:rPr>
          <w:t>142</w:t>
        </w:r>
        <w:r w:rsidR="00B572AE">
          <w:rPr>
            <w:noProof/>
            <w:webHidden/>
          </w:rPr>
          <w:fldChar w:fldCharType="end"/>
        </w:r>
      </w:hyperlink>
    </w:p>
    <w:p w14:paraId="08BBC499" w14:textId="3353963B" w:rsidR="00502D5A" w:rsidRPr="00252D7B" w:rsidRDefault="00502D5A" w:rsidP="00502D5A">
      <w:pPr>
        <w:rPr>
          <w:rFonts w:asciiTheme="minorHAnsi" w:hAnsiTheme="minorHAnsi" w:cstheme="minorHAnsi"/>
        </w:rPr>
      </w:pPr>
      <w:r w:rsidRPr="00252D7B">
        <w:rPr>
          <w:rFonts w:asciiTheme="minorHAnsi" w:hAnsiTheme="minorHAnsi" w:cstheme="minorHAnsi"/>
        </w:rPr>
        <w:fldChar w:fldCharType="end"/>
      </w:r>
    </w:p>
    <w:p w14:paraId="2671E2EC" w14:textId="77777777" w:rsidR="00502D5A" w:rsidRPr="00252D7B" w:rsidRDefault="00502D5A" w:rsidP="00502D5A">
      <w:pPr>
        <w:rPr>
          <w:rFonts w:asciiTheme="minorHAnsi" w:hAnsiTheme="minorHAnsi" w:cstheme="minorHAnsi"/>
        </w:rPr>
      </w:pPr>
    </w:p>
    <w:p w14:paraId="7E6C22A0" w14:textId="77777777" w:rsidR="00283CD4" w:rsidRPr="00252D7B" w:rsidRDefault="00283CD4">
      <w:pPr>
        <w:widowControl/>
        <w:autoSpaceDE/>
        <w:autoSpaceDN/>
        <w:spacing w:after="160" w:line="259" w:lineRule="auto"/>
        <w:rPr>
          <w:rFonts w:asciiTheme="minorHAnsi" w:hAnsiTheme="minorHAnsi" w:cstheme="minorHAnsi"/>
        </w:rPr>
      </w:pPr>
      <w:r w:rsidRPr="00252D7B">
        <w:rPr>
          <w:rFonts w:asciiTheme="minorHAnsi" w:hAnsiTheme="minorHAnsi" w:cstheme="minorHAnsi"/>
        </w:rPr>
        <w:br w:type="page"/>
      </w:r>
    </w:p>
    <w:p w14:paraId="1579517C" w14:textId="2AAF13AE" w:rsidR="00283CD4" w:rsidRPr="00252D7B" w:rsidRDefault="00283CD4" w:rsidP="00283CD4">
      <w:pPr>
        <w:pStyle w:val="Ttulo1"/>
        <w:numPr>
          <w:ilvl w:val="0"/>
          <w:numId w:val="0"/>
        </w:numPr>
        <w:spacing w:after="240"/>
        <w:rPr>
          <w:rFonts w:asciiTheme="minorHAnsi" w:hAnsiTheme="minorHAnsi" w:cstheme="minorHAnsi"/>
        </w:rPr>
      </w:pPr>
      <w:bookmarkStart w:id="5" w:name="_Toc103680500"/>
      <w:r w:rsidRPr="00252D7B">
        <w:rPr>
          <w:rFonts w:asciiTheme="minorHAnsi" w:hAnsiTheme="minorHAnsi" w:cstheme="minorHAnsi"/>
        </w:rPr>
        <w:lastRenderedPageBreak/>
        <w:t>Índice de Gráficos</w:t>
      </w:r>
      <w:bookmarkEnd w:id="5"/>
    </w:p>
    <w:p w14:paraId="6A37B12D" w14:textId="77777777" w:rsidR="00283CD4" w:rsidRPr="00252D7B" w:rsidRDefault="00283CD4" w:rsidP="00283CD4">
      <w:pPr>
        <w:pStyle w:val="ndicedeilustraes"/>
        <w:tabs>
          <w:tab w:val="right" w:leader="dot" w:pos="8494"/>
        </w:tabs>
        <w:rPr>
          <w:rFonts w:asciiTheme="minorHAnsi" w:hAnsiTheme="minorHAnsi" w:cstheme="minorHAnsi"/>
        </w:rPr>
      </w:pPr>
    </w:p>
    <w:p w14:paraId="35EAA5B8" w14:textId="2F1EF145" w:rsidR="00B572AE" w:rsidRDefault="003D3929">
      <w:pPr>
        <w:pStyle w:val="ndicedeilustraes"/>
        <w:tabs>
          <w:tab w:val="right" w:leader="dot" w:pos="8494"/>
        </w:tabs>
        <w:rPr>
          <w:rFonts w:asciiTheme="minorHAnsi" w:eastAsiaTheme="minorEastAsia" w:hAnsiTheme="minorHAnsi" w:cstheme="minorBidi"/>
          <w:noProof/>
          <w:lang w:eastAsia="pt-BR" w:bidi="ar-SA"/>
        </w:rPr>
      </w:pPr>
      <w:r w:rsidRPr="00252D7B">
        <w:rPr>
          <w:rFonts w:asciiTheme="minorHAnsi" w:hAnsiTheme="minorHAnsi" w:cstheme="minorHAnsi"/>
        </w:rPr>
        <w:fldChar w:fldCharType="begin"/>
      </w:r>
      <w:r w:rsidRPr="00252D7B">
        <w:rPr>
          <w:rFonts w:asciiTheme="minorHAnsi" w:hAnsiTheme="minorHAnsi" w:cstheme="minorHAnsi"/>
        </w:rPr>
        <w:instrText xml:space="preserve"> TOC \h \z \c "Gráfico" </w:instrText>
      </w:r>
      <w:r w:rsidRPr="00252D7B">
        <w:rPr>
          <w:rFonts w:asciiTheme="minorHAnsi" w:hAnsiTheme="minorHAnsi" w:cstheme="minorHAnsi"/>
        </w:rPr>
        <w:fldChar w:fldCharType="separate"/>
      </w:r>
      <w:hyperlink w:anchor="_Toc103680766" w:history="1">
        <w:r w:rsidR="00B572AE" w:rsidRPr="003618EB">
          <w:rPr>
            <w:rStyle w:val="Hyperlink"/>
            <w:rFonts w:cstheme="minorHAnsi"/>
            <w:noProof/>
          </w:rPr>
          <w:t>Gráfico 1 – Avanços físico e financeiro da FIOL II</w:t>
        </w:r>
        <w:r w:rsidR="00B572AE">
          <w:rPr>
            <w:noProof/>
            <w:webHidden/>
          </w:rPr>
          <w:tab/>
        </w:r>
        <w:r w:rsidR="00B572AE">
          <w:rPr>
            <w:noProof/>
            <w:webHidden/>
          </w:rPr>
          <w:fldChar w:fldCharType="begin"/>
        </w:r>
        <w:r w:rsidR="00B572AE">
          <w:rPr>
            <w:noProof/>
            <w:webHidden/>
          </w:rPr>
          <w:instrText xml:space="preserve"> PAGEREF _Toc103680766 \h </w:instrText>
        </w:r>
        <w:r w:rsidR="00B572AE">
          <w:rPr>
            <w:noProof/>
            <w:webHidden/>
          </w:rPr>
        </w:r>
        <w:r w:rsidR="00B572AE">
          <w:rPr>
            <w:noProof/>
            <w:webHidden/>
          </w:rPr>
          <w:fldChar w:fldCharType="separate"/>
        </w:r>
        <w:r w:rsidR="00B572AE">
          <w:rPr>
            <w:noProof/>
            <w:webHidden/>
          </w:rPr>
          <w:t>37</w:t>
        </w:r>
        <w:r w:rsidR="00B572AE">
          <w:rPr>
            <w:noProof/>
            <w:webHidden/>
          </w:rPr>
          <w:fldChar w:fldCharType="end"/>
        </w:r>
      </w:hyperlink>
    </w:p>
    <w:p w14:paraId="05E44D47" w14:textId="68D8BBD6"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67" w:history="1">
        <w:r w:rsidR="00B572AE" w:rsidRPr="003618EB">
          <w:rPr>
            <w:rStyle w:val="Hyperlink"/>
            <w:rFonts w:cstheme="minorHAnsi"/>
            <w:noProof/>
          </w:rPr>
          <w:t>Gráfico 2 – Distribuição do Custo Total FIOL II</w:t>
        </w:r>
        <w:r w:rsidR="00B572AE">
          <w:rPr>
            <w:noProof/>
            <w:webHidden/>
          </w:rPr>
          <w:tab/>
        </w:r>
        <w:r w:rsidR="00B572AE">
          <w:rPr>
            <w:noProof/>
            <w:webHidden/>
          </w:rPr>
          <w:fldChar w:fldCharType="begin"/>
        </w:r>
        <w:r w:rsidR="00B572AE">
          <w:rPr>
            <w:noProof/>
            <w:webHidden/>
          </w:rPr>
          <w:instrText xml:space="preserve"> PAGEREF _Toc103680767 \h </w:instrText>
        </w:r>
        <w:r w:rsidR="00B572AE">
          <w:rPr>
            <w:noProof/>
            <w:webHidden/>
          </w:rPr>
        </w:r>
        <w:r w:rsidR="00B572AE">
          <w:rPr>
            <w:noProof/>
            <w:webHidden/>
          </w:rPr>
          <w:fldChar w:fldCharType="separate"/>
        </w:r>
        <w:r w:rsidR="00B572AE">
          <w:rPr>
            <w:noProof/>
            <w:webHidden/>
          </w:rPr>
          <w:t>38</w:t>
        </w:r>
        <w:r w:rsidR="00B572AE">
          <w:rPr>
            <w:noProof/>
            <w:webHidden/>
          </w:rPr>
          <w:fldChar w:fldCharType="end"/>
        </w:r>
      </w:hyperlink>
    </w:p>
    <w:p w14:paraId="22755092" w14:textId="532290F0"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68" w:history="1">
        <w:r w:rsidR="00B572AE" w:rsidRPr="003618EB">
          <w:rPr>
            <w:rStyle w:val="Hyperlink"/>
            <w:rFonts w:cstheme="minorHAnsi"/>
            <w:noProof/>
          </w:rPr>
          <w:t>Gráfico 3 – Custo Total da FIOL II por lote</w:t>
        </w:r>
        <w:r w:rsidR="00B572AE">
          <w:rPr>
            <w:noProof/>
            <w:webHidden/>
          </w:rPr>
          <w:tab/>
        </w:r>
        <w:r w:rsidR="00B572AE">
          <w:rPr>
            <w:noProof/>
            <w:webHidden/>
          </w:rPr>
          <w:fldChar w:fldCharType="begin"/>
        </w:r>
        <w:r w:rsidR="00B572AE">
          <w:rPr>
            <w:noProof/>
            <w:webHidden/>
          </w:rPr>
          <w:instrText xml:space="preserve"> PAGEREF _Toc103680768 \h </w:instrText>
        </w:r>
        <w:r w:rsidR="00B572AE">
          <w:rPr>
            <w:noProof/>
            <w:webHidden/>
          </w:rPr>
        </w:r>
        <w:r w:rsidR="00B572AE">
          <w:rPr>
            <w:noProof/>
            <w:webHidden/>
          </w:rPr>
          <w:fldChar w:fldCharType="separate"/>
        </w:r>
        <w:r w:rsidR="00B572AE">
          <w:rPr>
            <w:noProof/>
            <w:webHidden/>
          </w:rPr>
          <w:t>38</w:t>
        </w:r>
        <w:r w:rsidR="00B572AE">
          <w:rPr>
            <w:noProof/>
            <w:webHidden/>
          </w:rPr>
          <w:fldChar w:fldCharType="end"/>
        </w:r>
      </w:hyperlink>
    </w:p>
    <w:p w14:paraId="09A0B839" w14:textId="6EEA5428"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69" w:history="1">
        <w:r w:rsidR="00B572AE" w:rsidRPr="003618EB">
          <w:rPr>
            <w:rStyle w:val="Hyperlink"/>
            <w:rFonts w:cstheme="minorHAnsi"/>
            <w:noProof/>
          </w:rPr>
          <w:t>Gráfico 4 – % de serviços concluídos por lote</w:t>
        </w:r>
        <w:r w:rsidR="00B572AE">
          <w:rPr>
            <w:noProof/>
            <w:webHidden/>
          </w:rPr>
          <w:tab/>
        </w:r>
        <w:r w:rsidR="00B572AE">
          <w:rPr>
            <w:noProof/>
            <w:webHidden/>
          </w:rPr>
          <w:fldChar w:fldCharType="begin"/>
        </w:r>
        <w:r w:rsidR="00B572AE">
          <w:rPr>
            <w:noProof/>
            <w:webHidden/>
          </w:rPr>
          <w:instrText xml:space="preserve"> PAGEREF _Toc103680769 \h </w:instrText>
        </w:r>
        <w:r w:rsidR="00B572AE">
          <w:rPr>
            <w:noProof/>
            <w:webHidden/>
          </w:rPr>
        </w:r>
        <w:r w:rsidR="00B572AE">
          <w:rPr>
            <w:noProof/>
            <w:webHidden/>
          </w:rPr>
          <w:fldChar w:fldCharType="separate"/>
        </w:r>
        <w:r w:rsidR="00B572AE">
          <w:rPr>
            <w:noProof/>
            <w:webHidden/>
          </w:rPr>
          <w:t>47</w:t>
        </w:r>
        <w:r w:rsidR="00B572AE">
          <w:rPr>
            <w:noProof/>
            <w:webHidden/>
          </w:rPr>
          <w:fldChar w:fldCharType="end"/>
        </w:r>
      </w:hyperlink>
    </w:p>
    <w:p w14:paraId="75C82B9C" w14:textId="7F3E3FB0"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70" w:history="1">
        <w:r w:rsidR="00B572AE" w:rsidRPr="003618EB">
          <w:rPr>
            <w:rStyle w:val="Hyperlink"/>
            <w:rFonts w:cstheme="minorHAnsi"/>
            <w:noProof/>
          </w:rPr>
          <w:t>Gráfico 5 – Composição acionária TLSA</w:t>
        </w:r>
        <w:r w:rsidR="00B572AE">
          <w:rPr>
            <w:noProof/>
            <w:webHidden/>
          </w:rPr>
          <w:tab/>
        </w:r>
        <w:r w:rsidR="00B572AE">
          <w:rPr>
            <w:noProof/>
            <w:webHidden/>
          </w:rPr>
          <w:fldChar w:fldCharType="begin"/>
        </w:r>
        <w:r w:rsidR="00B572AE">
          <w:rPr>
            <w:noProof/>
            <w:webHidden/>
          </w:rPr>
          <w:instrText xml:space="preserve"> PAGEREF _Toc103680770 \h </w:instrText>
        </w:r>
        <w:r w:rsidR="00B572AE">
          <w:rPr>
            <w:noProof/>
            <w:webHidden/>
          </w:rPr>
        </w:r>
        <w:r w:rsidR="00B572AE">
          <w:rPr>
            <w:noProof/>
            <w:webHidden/>
          </w:rPr>
          <w:fldChar w:fldCharType="separate"/>
        </w:r>
        <w:r w:rsidR="00B572AE">
          <w:rPr>
            <w:noProof/>
            <w:webHidden/>
          </w:rPr>
          <w:t>47</w:t>
        </w:r>
        <w:r w:rsidR="00B572AE">
          <w:rPr>
            <w:noProof/>
            <w:webHidden/>
          </w:rPr>
          <w:fldChar w:fldCharType="end"/>
        </w:r>
      </w:hyperlink>
    </w:p>
    <w:p w14:paraId="1B3DF5C3" w14:textId="4DC31BA7"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71" w:history="1">
        <w:r w:rsidR="00B572AE" w:rsidRPr="003618EB">
          <w:rPr>
            <w:rStyle w:val="Hyperlink"/>
            <w:rFonts w:cstheme="minorHAnsi"/>
            <w:noProof/>
          </w:rPr>
          <w:t>Gráfico 6 – Média salarial dos empregados</w:t>
        </w:r>
        <w:r w:rsidR="00B572AE">
          <w:rPr>
            <w:noProof/>
            <w:webHidden/>
          </w:rPr>
          <w:tab/>
        </w:r>
        <w:r w:rsidR="00B572AE">
          <w:rPr>
            <w:noProof/>
            <w:webHidden/>
          </w:rPr>
          <w:fldChar w:fldCharType="begin"/>
        </w:r>
        <w:r w:rsidR="00B572AE">
          <w:rPr>
            <w:noProof/>
            <w:webHidden/>
          </w:rPr>
          <w:instrText xml:space="preserve"> PAGEREF _Toc103680771 \h </w:instrText>
        </w:r>
        <w:r w:rsidR="00B572AE">
          <w:rPr>
            <w:noProof/>
            <w:webHidden/>
          </w:rPr>
        </w:r>
        <w:r w:rsidR="00B572AE">
          <w:rPr>
            <w:noProof/>
            <w:webHidden/>
          </w:rPr>
          <w:fldChar w:fldCharType="separate"/>
        </w:r>
        <w:r w:rsidR="00B572AE">
          <w:rPr>
            <w:noProof/>
            <w:webHidden/>
          </w:rPr>
          <w:t>95</w:t>
        </w:r>
        <w:r w:rsidR="00B572AE">
          <w:rPr>
            <w:noProof/>
            <w:webHidden/>
          </w:rPr>
          <w:fldChar w:fldCharType="end"/>
        </w:r>
      </w:hyperlink>
    </w:p>
    <w:p w14:paraId="3309F782" w14:textId="1C59994D"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72" w:history="1">
        <w:r w:rsidR="00B572AE" w:rsidRPr="003618EB">
          <w:rPr>
            <w:rStyle w:val="Hyperlink"/>
            <w:rFonts w:cstheme="minorHAnsi"/>
            <w:noProof/>
          </w:rPr>
          <w:t>Gráfico 7 – Distribuição por gênero dos cargos comissionados</w:t>
        </w:r>
        <w:r w:rsidR="00B572AE">
          <w:rPr>
            <w:noProof/>
            <w:webHidden/>
          </w:rPr>
          <w:tab/>
        </w:r>
        <w:r w:rsidR="00B572AE">
          <w:rPr>
            <w:noProof/>
            <w:webHidden/>
          </w:rPr>
          <w:fldChar w:fldCharType="begin"/>
        </w:r>
        <w:r w:rsidR="00B572AE">
          <w:rPr>
            <w:noProof/>
            <w:webHidden/>
          </w:rPr>
          <w:instrText xml:space="preserve"> PAGEREF _Toc103680772 \h </w:instrText>
        </w:r>
        <w:r w:rsidR="00B572AE">
          <w:rPr>
            <w:noProof/>
            <w:webHidden/>
          </w:rPr>
        </w:r>
        <w:r w:rsidR="00B572AE">
          <w:rPr>
            <w:noProof/>
            <w:webHidden/>
          </w:rPr>
          <w:fldChar w:fldCharType="separate"/>
        </w:r>
        <w:r w:rsidR="00B572AE">
          <w:rPr>
            <w:noProof/>
            <w:webHidden/>
          </w:rPr>
          <w:t>95</w:t>
        </w:r>
        <w:r w:rsidR="00B572AE">
          <w:rPr>
            <w:noProof/>
            <w:webHidden/>
          </w:rPr>
          <w:fldChar w:fldCharType="end"/>
        </w:r>
      </w:hyperlink>
    </w:p>
    <w:p w14:paraId="2068FC83" w14:textId="1D5498ED"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73" w:history="1">
        <w:r w:rsidR="00B572AE" w:rsidRPr="003618EB">
          <w:rPr>
            <w:rStyle w:val="Hyperlink"/>
            <w:rFonts w:cstheme="minorHAnsi"/>
            <w:noProof/>
          </w:rPr>
          <w:t>Gráfico 8 – Distribuição de empregados com necessidades especiais</w:t>
        </w:r>
        <w:r w:rsidR="00B572AE">
          <w:rPr>
            <w:noProof/>
            <w:webHidden/>
          </w:rPr>
          <w:tab/>
        </w:r>
        <w:r w:rsidR="00B572AE">
          <w:rPr>
            <w:noProof/>
            <w:webHidden/>
          </w:rPr>
          <w:fldChar w:fldCharType="begin"/>
        </w:r>
        <w:r w:rsidR="00B572AE">
          <w:rPr>
            <w:noProof/>
            <w:webHidden/>
          </w:rPr>
          <w:instrText xml:space="preserve"> PAGEREF _Toc103680773 \h </w:instrText>
        </w:r>
        <w:r w:rsidR="00B572AE">
          <w:rPr>
            <w:noProof/>
            <w:webHidden/>
          </w:rPr>
        </w:r>
        <w:r w:rsidR="00B572AE">
          <w:rPr>
            <w:noProof/>
            <w:webHidden/>
          </w:rPr>
          <w:fldChar w:fldCharType="separate"/>
        </w:r>
        <w:r w:rsidR="00B572AE">
          <w:rPr>
            <w:noProof/>
            <w:webHidden/>
          </w:rPr>
          <w:t>96</w:t>
        </w:r>
        <w:r w:rsidR="00B572AE">
          <w:rPr>
            <w:noProof/>
            <w:webHidden/>
          </w:rPr>
          <w:fldChar w:fldCharType="end"/>
        </w:r>
      </w:hyperlink>
    </w:p>
    <w:p w14:paraId="76ABEF99" w14:textId="0116011C"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74" w:history="1">
        <w:r w:rsidR="00B572AE" w:rsidRPr="003618EB">
          <w:rPr>
            <w:rStyle w:val="Hyperlink"/>
            <w:rFonts w:cstheme="minorHAnsi"/>
            <w:noProof/>
          </w:rPr>
          <w:t>Gráfico 9 – Distribuição de empregados por etnia</w:t>
        </w:r>
        <w:r w:rsidR="00B572AE">
          <w:rPr>
            <w:noProof/>
            <w:webHidden/>
          </w:rPr>
          <w:tab/>
        </w:r>
        <w:r w:rsidR="00B572AE">
          <w:rPr>
            <w:noProof/>
            <w:webHidden/>
          </w:rPr>
          <w:fldChar w:fldCharType="begin"/>
        </w:r>
        <w:r w:rsidR="00B572AE">
          <w:rPr>
            <w:noProof/>
            <w:webHidden/>
          </w:rPr>
          <w:instrText xml:space="preserve"> PAGEREF _Toc103680774 \h </w:instrText>
        </w:r>
        <w:r w:rsidR="00B572AE">
          <w:rPr>
            <w:noProof/>
            <w:webHidden/>
          </w:rPr>
        </w:r>
        <w:r w:rsidR="00B572AE">
          <w:rPr>
            <w:noProof/>
            <w:webHidden/>
          </w:rPr>
          <w:fldChar w:fldCharType="separate"/>
        </w:r>
        <w:r w:rsidR="00B572AE">
          <w:rPr>
            <w:noProof/>
            <w:webHidden/>
          </w:rPr>
          <w:t>96</w:t>
        </w:r>
        <w:r w:rsidR="00B572AE">
          <w:rPr>
            <w:noProof/>
            <w:webHidden/>
          </w:rPr>
          <w:fldChar w:fldCharType="end"/>
        </w:r>
      </w:hyperlink>
    </w:p>
    <w:p w14:paraId="3D13C1C2" w14:textId="4234CC3C"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75" w:history="1">
        <w:r w:rsidR="00B572AE" w:rsidRPr="003618EB">
          <w:rPr>
            <w:rStyle w:val="Hyperlink"/>
            <w:rFonts w:cstheme="minorHAnsi"/>
            <w:noProof/>
          </w:rPr>
          <w:t>Gráfico 10 – Faixa etária dos empregados atuantes na Valec</w:t>
        </w:r>
        <w:r w:rsidR="00B572AE">
          <w:rPr>
            <w:noProof/>
            <w:webHidden/>
          </w:rPr>
          <w:tab/>
        </w:r>
        <w:r w:rsidR="00B572AE">
          <w:rPr>
            <w:noProof/>
            <w:webHidden/>
          </w:rPr>
          <w:fldChar w:fldCharType="begin"/>
        </w:r>
        <w:r w:rsidR="00B572AE">
          <w:rPr>
            <w:noProof/>
            <w:webHidden/>
          </w:rPr>
          <w:instrText xml:space="preserve"> PAGEREF _Toc103680775 \h </w:instrText>
        </w:r>
        <w:r w:rsidR="00B572AE">
          <w:rPr>
            <w:noProof/>
            <w:webHidden/>
          </w:rPr>
        </w:r>
        <w:r w:rsidR="00B572AE">
          <w:rPr>
            <w:noProof/>
            <w:webHidden/>
          </w:rPr>
          <w:fldChar w:fldCharType="separate"/>
        </w:r>
        <w:r w:rsidR="00B572AE">
          <w:rPr>
            <w:noProof/>
            <w:webHidden/>
          </w:rPr>
          <w:t>97</w:t>
        </w:r>
        <w:r w:rsidR="00B572AE">
          <w:rPr>
            <w:noProof/>
            <w:webHidden/>
          </w:rPr>
          <w:fldChar w:fldCharType="end"/>
        </w:r>
      </w:hyperlink>
    </w:p>
    <w:p w14:paraId="39FD0F03" w14:textId="47999630"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76" w:history="1">
        <w:r w:rsidR="00B572AE" w:rsidRPr="003618EB">
          <w:rPr>
            <w:rStyle w:val="Hyperlink"/>
            <w:rFonts w:cstheme="minorHAnsi"/>
            <w:noProof/>
          </w:rPr>
          <w:t>Gráfico 11 – Faixa etária dos empregados cedidos</w:t>
        </w:r>
        <w:r w:rsidR="00B572AE">
          <w:rPr>
            <w:noProof/>
            <w:webHidden/>
          </w:rPr>
          <w:tab/>
        </w:r>
        <w:r w:rsidR="00B572AE">
          <w:rPr>
            <w:noProof/>
            <w:webHidden/>
          </w:rPr>
          <w:fldChar w:fldCharType="begin"/>
        </w:r>
        <w:r w:rsidR="00B572AE">
          <w:rPr>
            <w:noProof/>
            <w:webHidden/>
          </w:rPr>
          <w:instrText xml:space="preserve"> PAGEREF _Toc103680776 \h </w:instrText>
        </w:r>
        <w:r w:rsidR="00B572AE">
          <w:rPr>
            <w:noProof/>
            <w:webHidden/>
          </w:rPr>
        </w:r>
        <w:r w:rsidR="00B572AE">
          <w:rPr>
            <w:noProof/>
            <w:webHidden/>
          </w:rPr>
          <w:fldChar w:fldCharType="separate"/>
        </w:r>
        <w:r w:rsidR="00B572AE">
          <w:rPr>
            <w:noProof/>
            <w:webHidden/>
          </w:rPr>
          <w:t>97</w:t>
        </w:r>
        <w:r w:rsidR="00B572AE">
          <w:rPr>
            <w:noProof/>
            <w:webHidden/>
          </w:rPr>
          <w:fldChar w:fldCharType="end"/>
        </w:r>
      </w:hyperlink>
    </w:p>
    <w:p w14:paraId="3C35B045" w14:textId="61D2DEDA"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77" w:history="1">
        <w:r w:rsidR="00B572AE" w:rsidRPr="003618EB">
          <w:rPr>
            <w:rStyle w:val="Hyperlink"/>
            <w:rFonts w:cstheme="minorHAnsi"/>
            <w:noProof/>
          </w:rPr>
          <w:t>Gráfico 12 – Distribuição dos empregados atuantes na Valec</w:t>
        </w:r>
        <w:r w:rsidR="00B572AE">
          <w:rPr>
            <w:noProof/>
            <w:webHidden/>
          </w:rPr>
          <w:tab/>
        </w:r>
        <w:r w:rsidR="00B572AE">
          <w:rPr>
            <w:noProof/>
            <w:webHidden/>
          </w:rPr>
          <w:fldChar w:fldCharType="begin"/>
        </w:r>
        <w:r w:rsidR="00B572AE">
          <w:rPr>
            <w:noProof/>
            <w:webHidden/>
          </w:rPr>
          <w:instrText xml:space="preserve"> PAGEREF _Toc103680777 \h </w:instrText>
        </w:r>
        <w:r w:rsidR="00B572AE">
          <w:rPr>
            <w:noProof/>
            <w:webHidden/>
          </w:rPr>
        </w:r>
        <w:r w:rsidR="00B572AE">
          <w:rPr>
            <w:noProof/>
            <w:webHidden/>
          </w:rPr>
          <w:fldChar w:fldCharType="separate"/>
        </w:r>
        <w:r w:rsidR="00B572AE">
          <w:rPr>
            <w:noProof/>
            <w:webHidden/>
          </w:rPr>
          <w:t>98</w:t>
        </w:r>
        <w:r w:rsidR="00B572AE">
          <w:rPr>
            <w:noProof/>
            <w:webHidden/>
          </w:rPr>
          <w:fldChar w:fldCharType="end"/>
        </w:r>
      </w:hyperlink>
    </w:p>
    <w:p w14:paraId="72B81A29" w14:textId="51DA65FD"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78" w:history="1">
        <w:r w:rsidR="00B572AE" w:rsidRPr="003618EB">
          <w:rPr>
            <w:rStyle w:val="Hyperlink"/>
            <w:rFonts w:cstheme="minorHAnsi"/>
            <w:noProof/>
          </w:rPr>
          <w:t>Gráfico 13 – Distribuição dos empregados por diretoria</w:t>
        </w:r>
        <w:r w:rsidR="00B572AE">
          <w:rPr>
            <w:noProof/>
            <w:webHidden/>
          </w:rPr>
          <w:tab/>
        </w:r>
        <w:r w:rsidR="00B572AE">
          <w:rPr>
            <w:noProof/>
            <w:webHidden/>
          </w:rPr>
          <w:fldChar w:fldCharType="begin"/>
        </w:r>
        <w:r w:rsidR="00B572AE">
          <w:rPr>
            <w:noProof/>
            <w:webHidden/>
          </w:rPr>
          <w:instrText xml:space="preserve"> PAGEREF _Toc103680778 \h </w:instrText>
        </w:r>
        <w:r w:rsidR="00B572AE">
          <w:rPr>
            <w:noProof/>
            <w:webHidden/>
          </w:rPr>
        </w:r>
        <w:r w:rsidR="00B572AE">
          <w:rPr>
            <w:noProof/>
            <w:webHidden/>
          </w:rPr>
          <w:fldChar w:fldCharType="separate"/>
        </w:r>
        <w:r w:rsidR="00B572AE">
          <w:rPr>
            <w:noProof/>
            <w:webHidden/>
          </w:rPr>
          <w:t>99</w:t>
        </w:r>
        <w:r w:rsidR="00B572AE">
          <w:rPr>
            <w:noProof/>
            <w:webHidden/>
          </w:rPr>
          <w:fldChar w:fldCharType="end"/>
        </w:r>
      </w:hyperlink>
    </w:p>
    <w:p w14:paraId="1BD08198" w14:textId="2B503E29"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79" w:history="1">
        <w:r w:rsidR="00B572AE" w:rsidRPr="003618EB">
          <w:rPr>
            <w:rStyle w:val="Hyperlink"/>
            <w:rFonts w:cstheme="minorHAnsi"/>
            <w:noProof/>
          </w:rPr>
          <w:t>Gráfico 14 – Percentual de capacitados por diretoria em 2021</w:t>
        </w:r>
        <w:r w:rsidR="00B572AE">
          <w:rPr>
            <w:noProof/>
            <w:webHidden/>
          </w:rPr>
          <w:tab/>
        </w:r>
        <w:r w:rsidR="00B572AE">
          <w:rPr>
            <w:noProof/>
            <w:webHidden/>
          </w:rPr>
          <w:fldChar w:fldCharType="begin"/>
        </w:r>
        <w:r w:rsidR="00B572AE">
          <w:rPr>
            <w:noProof/>
            <w:webHidden/>
          </w:rPr>
          <w:instrText xml:space="preserve"> PAGEREF _Toc103680779 \h </w:instrText>
        </w:r>
        <w:r w:rsidR="00B572AE">
          <w:rPr>
            <w:noProof/>
            <w:webHidden/>
          </w:rPr>
        </w:r>
        <w:r w:rsidR="00B572AE">
          <w:rPr>
            <w:noProof/>
            <w:webHidden/>
          </w:rPr>
          <w:fldChar w:fldCharType="separate"/>
        </w:r>
        <w:r w:rsidR="00B572AE">
          <w:rPr>
            <w:noProof/>
            <w:webHidden/>
          </w:rPr>
          <w:t>103</w:t>
        </w:r>
        <w:r w:rsidR="00B572AE">
          <w:rPr>
            <w:noProof/>
            <w:webHidden/>
          </w:rPr>
          <w:fldChar w:fldCharType="end"/>
        </w:r>
      </w:hyperlink>
    </w:p>
    <w:p w14:paraId="290870DF" w14:textId="1AB82216"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80" w:history="1">
        <w:r w:rsidR="00B572AE" w:rsidRPr="003618EB">
          <w:rPr>
            <w:rStyle w:val="Hyperlink"/>
            <w:rFonts w:cstheme="minorHAnsi"/>
            <w:noProof/>
          </w:rPr>
          <w:t>Gráfico 15 – Execução Orçamentária do PDTI de 2021</w:t>
        </w:r>
        <w:r w:rsidR="00B572AE">
          <w:rPr>
            <w:noProof/>
            <w:webHidden/>
          </w:rPr>
          <w:tab/>
        </w:r>
        <w:r w:rsidR="00B572AE">
          <w:rPr>
            <w:noProof/>
            <w:webHidden/>
          </w:rPr>
          <w:fldChar w:fldCharType="begin"/>
        </w:r>
        <w:r w:rsidR="00B572AE">
          <w:rPr>
            <w:noProof/>
            <w:webHidden/>
          </w:rPr>
          <w:instrText xml:space="preserve"> PAGEREF _Toc103680780 \h </w:instrText>
        </w:r>
        <w:r w:rsidR="00B572AE">
          <w:rPr>
            <w:noProof/>
            <w:webHidden/>
          </w:rPr>
        </w:r>
        <w:r w:rsidR="00B572AE">
          <w:rPr>
            <w:noProof/>
            <w:webHidden/>
          </w:rPr>
          <w:fldChar w:fldCharType="separate"/>
        </w:r>
        <w:r w:rsidR="00B572AE">
          <w:rPr>
            <w:noProof/>
            <w:webHidden/>
          </w:rPr>
          <w:t>116</w:t>
        </w:r>
        <w:r w:rsidR="00B572AE">
          <w:rPr>
            <w:noProof/>
            <w:webHidden/>
          </w:rPr>
          <w:fldChar w:fldCharType="end"/>
        </w:r>
      </w:hyperlink>
    </w:p>
    <w:p w14:paraId="43DEEDE2" w14:textId="221BD25A"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81" w:history="1">
        <w:r w:rsidR="00B572AE" w:rsidRPr="003618EB">
          <w:rPr>
            <w:rStyle w:val="Hyperlink"/>
            <w:rFonts w:cstheme="minorHAnsi"/>
            <w:noProof/>
          </w:rPr>
          <w:t>Gráfico 16 – Distribuição das principais ações desempenhadas pela SUPTI por cliente</w:t>
        </w:r>
        <w:r w:rsidR="00B572AE">
          <w:rPr>
            <w:noProof/>
            <w:webHidden/>
          </w:rPr>
          <w:tab/>
        </w:r>
        <w:r w:rsidR="00B572AE">
          <w:rPr>
            <w:noProof/>
            <w:webHidden/>
          </w:rPr>
          <w:fldChar w:fldCharType="begin"/>
        </w:r>
        <w:r w:rsidR="00B572AE">
          <w:rPr>
            <w:noProof/>
            <w:webHidden/>
          </w:rPr>
          <w:instrText xml:space="preserve"> PAGEREF _Toc103680781 \h </w:instrText>
        </w:r>
        <w:r w:rsidR="00B572AE">
          <w:rPr>
            <w:noProof/>
            <w:webHidden/>
          </w:rPr>
        </w:r>
        <w:r w:rsidR="00B572AE">
          <w:rPr>
            <w:noProof/>
            <w:webHidden/>
          </w:rPr>
          <w:fldChar w:fldCharType="separate"/>
        </w:r>
        <w:r w:rsidR="00B572AE">
          <w:rPr>
            <w:noProof/>
            <w:webHidden/>
          </w:rPr>
          <w:t>119</w:t>
        </w:r>
        <w:r w:rsidR="00B572AE">
          <w:rPr>
            <w:noProof/>
            <w:webHidden/>
          </w:rPr>
          <w:fldChar w:fldCharType="end"/>
        </w:r>
      </w:hyperlink>
    </w:p>
    <w:p w14:paraId="5A58CCE5" w14:textId="707B60A2"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82" w:history="1">
        <w:r w:rsidR="00B572AE" w:rsidRPr="003618EB">
          <w:rPr>
            <w:rStyle w:val="Hyperlink"/>
            <w:rFonts w:cstheme="minorHAnsi"/>
            <w:noProof/>
          </w:rPr>
          <w:t>Gráfico 17 – Processos disciplinares</w:t>
        </w:r>
        <w:r w:rsidR="00B572AE">
          <w:rPr>
            <w:noProof/>
            <w:webHidden/>
          </w:rPr>
          <w:tab/>
        </w:r>
        <w:r w:rsidR="00B572AE">
          <w:rPr>
            <w:noProof/>
            <w:webHidden/>
          </w:rPr>
          <w:fldChar w:fldCharType="begin"/>
        </w:r>
        <w:r w:rsidR="00B572AE">
          <w:rPr>
            <w:noProof/>
            <w:webHidden/>
          </w:rPr>
          <w:instrText xml:space="preserve"> PAGEREF _Toc103680782 \h </w:instrText>
        </w:r>
        <w:r w:rsidR="00B572AE">
          <w:rPr>
            <w:noProof/>
            <w:webHidden/>
          </w:rPr>
        </w:r>
        <w:r w:rsidR="00B572AE">
          <w:rPr>
            <w:noProof/>
            <w:webHidden/>
          </w:rPr>
          <w:fldChar w:fldCharType="separate"/>
        </w:r>
        <w:r w:rsidR="00B572AE">
          <w:rPr>
            <w:noProof/>
            <w:webHidden/>
          </w:rPr>
          <w:t>133</w:t>
        </w:r>
        <w:r w:rsidR="00B572AE">
          <w:rPr>
            <w:noProof/>
            <w:webHidden/>
          </w:rPr>
          <w:fldChar w:fldCharType="end"/>
        </w:r>
      </w:hyperlink>
    </w:p>
    <w:p w14:paraId="1BB94635" w14:textId="1ADE5347"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83" w:history="1">
        <w:r w:rsidR="00B572AE" w:rsidRPr="003618EB">
          <w:rPr>
            <w:rStyle w:val="Hyperlink"/>
            <w:rFonts w:cstheme="minorHAnsi"/>
            <w:noProof/>
          </w:rPr>
          <w:t>Gráfico 18 – Evolução da quantidade das manifestações de SIC e de Ouvidoria  entre os anos de 2018 à 2021</w:t>
        </w:r>
        <w:r w:rsidR="00B572AE">
          <w:rPr>
            <w:noProof/>
            <w:webHidden/>
          </w:rPr>
          <w:tab/>
        </w:r>
        <w:r w:rsidR="00B572AE">
          <w:rPr>
            <w:noProof/>
            <w:webHidden/>
          </w:rPr>
          <w:fldChar w:fldCharType="begin"/>
        </w:r>
        <w:r w:rsidR="00B572AE">
          <w:rPr>
            <w:noProof/>
            <w:webHidden/>
          </w:rPr>
          <w:instrText xml:space="preserve"> PAGEREF _Toc103680783 \h </w:instrText>
        </w:r>
        <w:r w:rsidR="00B572AE">
          <w:rPr>
            <w:noProof/>
            <w:webHidden/>
          </w:rPr>
        </w:r>
        <w:r w:rsidR="00B572AE">
          <w:rPr>
            <w:noProof/>
            <w:webHidden/>
          </w:rPr>
          <w:fldChar w:fldCharType="separate"/>
        </w:r>
        <w:r w:rsidR="00B572AE">
          <w:rPr>
            <w:noProof/>
            <w:webHidden/>
          </w:rPr>
          <w:t>134</w:t>
        </w:r>
        <w:r w:rsidR="00B572AE">
          <w:rPr>
            <w:noProof/>
            <w:webHidden/>
          </w:rPr>
          <w:fldChar w:fldCharType="end"/>
        </w:r>
      </w:hyperlink>
    </w:p>
    <w:p w14:paraId="2DC73101" w14:textId="3757C2D3"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84" w:history="1">
        <w:r w:rsidR="00B572AE" w:rsidRPr="003618EB">
          <w:rPr>
            <w:rStyle w:val="Hyperlink"/>
            <w:rFonts w:cstheme="minorHAnsi"/>
            <w:noProof/>
          </w:rPr>
          <w:t>Gráfico 19 – Evolução mês a mês da quantidade de manifestações de SIC e de Ouvidoria  da Valec em 2021.</w:t>
        </w:r>
        <w:r w:rsidR="00B572AE">
          <w:rPr>
            <w:noProof/>
            <w:webHidden/>
          </w:rPr>
          <w:tab/>
        </w:r>
        <w:r w:rsidR="00B572AE">
          <w:rPr>
            <w:noProof/>
            <w:webHidden/>
          </w:rPr>
          <w:fldChar w:fldCharType="begin"/>
        </w:r>
        <w:r w:rsidR="00B572AE">
          <w:rPr>
            <w:noProof/>
            <w:webHidden/>
          </w:rPr>
          <w:instrText xml:space="preserve"> PAGEREF _Toc103680784 \h </w:instrText>
        </w:r>
        <w:r w:rsidR="00B572AE">
          <w:rPr>
            <w:noProof/>
            <w:webHidden/>
          </w:rPr>
        </w:r>
        <w:r w:rsidR="00B572AE">
          <w:rPr>
            <w:noProof/>
            <w:webHidden/>
          </w:rPr>
          <w:fldChar w:fldCharType="separate"/>
        </w:r>
        <w:r w:rsidR="00B572AE">
          <w:rPr>
            <w:noProof/>
            <w:webHidden/>
          </w:rPr>
          <w:t>134</w:t>
        </w:r>
        <w:r w:rsidR="00B572AE">
          <w:rPr>
            <w:noProof/>
            <w:webHidden/>
          </w:rPr>
          <w:fldChar w:fldCharType="end"/>
        </w:r>
      </w:hyperlink>
    </w:p>
    <w:p w14:paraId="4DAFAD5B" w14:textId="414D6E7B"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85" w:history="1">
        <w:r w:rsidR="00B572AE" w:rsidRPr="003618EB">
          <w:rPr>
            <w:rStyle w:val="Hyperlink"/>
            <w:rFonts w:cstheme="minorHAnsi"/>
            <w:noProof/>
          </w:rPr>
          <w:t>Gráfico 20 – Porcentagem de respostas dentro do prazo da Ouvidoria</w:t>
        </w:r>
        <w:r w:rsidR="00B572AE">
          <w:rPr>
            <w:noProof/>
            <w:webHidden/>
          </w:rPr>
          <w:tab/>
        </w:r>
        <w:r w:rsidR="00B572AE">
          <w:rPr>
            <w:noProof/>
            <w:webHidden/>
          </w:rPr>
          <w:fldChar w:fldCharType="begin"/>
        </w:r>
        <w:r w:rsidR="00B572AE">
          <w:rPr>
            <w:noProof/>
            <w:webHidden/>
          </w:rPr>
          <w:instrText xml:space="preserve"> PAGEREF _Toc103680785 \h </w:instrText>
        </w:r>
        <w:r w:rsidR="00B572AE">
          <w:rPr>
            <w:noProof/>
            <w:webHidden/>
          </w:rPr>
        </w:r>
        <w:r w:rsidR="00B572AE">
          <w:rPr>
            <w:noProof/>
            <w:webHidden/>
          </w:rPr>
          <w:fldChar w:fldCharType="separate"/>
        </w:r>
        <w:r w:rsidR="00B572AE">
          <w:rPr>
            <w:noProof/>
            <w:webHidden/>
          </w:rPr>
          <w:t>135</w:t>
        </w:r>
        <w:r w:rsidR="00B572AE">
          <w:rPr>
            <w:noProof/>
            <w:webHidden/>
          </w:rPr>
          <w:fldChar w:fldCharType="end"/>
        </w:r>
      </w:hyperlink>
    </w:p>
    <w:p w14:paraId="679A6C86" w14:textId="15CE0C01"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86" w:history="1">
        <w:r w:rsidR="00B572AE" w:rsidRPr="003618EB">
          <w:rPr>
            <w:rStyle w:val="Hyperlink"/>
            <w:rFonts w:cstheme="minorHAnsi"/>
            <w:noProof/>
          </w:rPr>
          <w:t>Gráfico 21 – Assuntos das Manifestações de Ouvidoria da Valec em 2021.</w:t>
        </w:r>
        <w:r w:rsidR="00B572AE">
          <w:rPr>
            <w:noProof/>
            <w:webHidden/>
          </w:rPr>
          <w:tab/>
        </w:r>
        <w:r w:rsidR="00B572AE">
          <w:rPr>
            <w:noProof/>
            <w:webHidden/>
          </w:rPr>
          <w:fldChar w:fldCharType="begin"/>
        </w:r>
        <w:r w:rsidR="00B572AE">
          <w:rPr>
            <w:noProof/>
            <w:webHidden/>
          </w:rPr>
          <w:instrText xml:space="preserve"> PAGEREF _Toc103680786 \h </w:instrText>
        </w:r>
        <w:r w:rsidR="00B572AE">
          <w:rPr>
            <w:noProof/>
            <w:webHidden/>
          </w:rPr>
        </w:r>
        <w:r w:rsidR="00B572AE">
          <w:rPr>
            <w:noProof/>
            <w:webHidden/>
          </w:rPr>
          <w:fldChar w:fldCharType="separate"/>
        </w:r>
        <w:r w:rsidR="00B572AE">
          <w:rPr>
            <w:noProof/>
            <w:webHidden/>
          </w:rPr>
          <w:t>136</w:t>
        </w:r>
        <w:r w:rsidR="00B572AE">
          <w:rPr>
            <w:noProof/>
            <w:webHidden/>
          </w:rPr>
          <w:fldChar w:fldCharType="end"/>
        </w:r>
      </w:hyperlink>
    </w:p>
    <w:p w14:paraId="2A42432C" w14:textId="5F2D909D" w:rsidR="00B572AE" w:rsidRDefault="008A3D44">
      <w:pPr>
        <w:pStyle w:val="ndicedeilustraes"/>
        <w:tabs>
          <w:tab w:val="right" w:leader="dot" w:pos="8494"/>
        </w:tabs>
        <w:rPr>
          <w:rFonts w:asciiTheme="minorHAnsi" w:eastAsiaTheme="minorEastAsia" w:hAnsiTheme="minorHAnsi" w:cstheme="minorBidi"/>
          <w:noProof/>
          <w:lang w:eastAsia="pt-BR" w:bidi="ar-SA"/>
        </w:rPr>
      </w:pPr>
      <w:hyperlink w:anchor="_Toc103680787" w:history="1">
        <w:r w:rsidR="00B572AE" w:rsidRPr="003618EB">
          <w:rPr>
            <w:rStyle w:val="Hyperlink"/>
            <w:rFonts w:cstheme="minorHAnsi"/>
            <w:noProof/>
          </w:rPr>
          <w:t>Gráfico 22 – Assuntos do Pedidos de Acesso à Informação da Valec em 2021.</w:t>
        </w:r>
        <w:r w:rsidR="00B572AE">
          <w:rPr>
            <w:noProof/>
            <w:webHidden/>
          </w:rPr>
          <w:tab/>
        </w:r>
        <w:r w:rsidR="00B572AE">
          <w:rPr>
            <w:noProof/>
            <w:webHidden/>
          </w:rPr>
          <w:fldChar w:fldCharType="begin"/>
        </w:r>
        <w:r w:rsidR="00B572AE">
          <w:rPr>
            <w:noProof/>
            <w:webHidden/>
          </w:rPr>
          <w:instrText xml:space="preserve"> PAGEREF _Toc103680787 \h </w:instrText>
        </w:r>
        <w:r w:rsidR="00B572AE">
          <w:rPr>
            <w:noProof/>
            <w:webHidden/>
          </w:rPr>
        </w:r>
        <w:r w:rsidR="00B572AE">
          <w:rPr>
            <w:noProof/>
            <w:webHidden/>
          </w:rPr>
          <w:fldChar w:fldCharType="separate"/>
        </w:r>
        <w:r w:rsidR="00B572AE">
          <w:rPr>
            <w:noProof/>
            <w:webHidden/>
          </w:rPr>
          <w:t>136</w:t>
        </w:r>
        <w:r w:rsidR="00B572AE">
          <w:rPr>
            <w:noProof/>
            <w:webHidden/>
          </w:rPr>
          <w:fldChar w:fldCharType="end"/>
        </w:r>
      </w:hyperlink>
    </w:p>
    <w:p w14:paraId="7A1B3A31" w14:textId="4B17B771" w:rsidR="00502D5A" w:rsidRPr="00252D7B" w:rsidRDefault="003D3929" w:rsidP="00283CD4">
      <w:pPr>
        <w:rPr>
          <w:rFonts w:asciiTheme="minorHAnsi" w:hAnsiTheme="minorHAnsi" w:cstheme="minorHAnsi"/>
        </w:rPr>
      </w:pPr>
      <w:r w:rsidRPr="00252D7B">
        <w:rPr>
          <w:rFonts w:asciiTheme="minorHAnsi" w:hAnsiTheme="minorHAnsi" w:cstheme="minorHAnsi"/>
        </w:rPr>
        <w:fldChar w:fldCharType="end"/>
      </w:r>
      <w:r w:rsidR="00502D5A" w:rsidRPr="00252D7B">
        <w:rPr>
          <w:rFonts w:asciiTheme="minorHAnsi" w:hAnsiTheme="minorHAnsi" w:cstheme="minorHAnsi"/>
        </w:rPr>
        <w:br w:type="page"/>
      </w:r>
    </w:p>
    <w:p w14:paraId="01946E6E" w14:textId="246CF3C9" w:rsidR="00502D5A" w:rsidRPr="00252D7B" w:rsidRDefault="00502D5A" w:rsidP="00502D5A">
      <w:pPr>
        <w:pStyle w:val="Ttulo1"/>
        <w:numPr>
          <w:ilvl w:val="0"/>
          <w:numId w:val="0"/>
        </w:numPr>
        <w:spacing w:after="240"/>
        <w:rPr>
          <w:rFonts w:asciiTheme="minorHAnsi" w:hAnsiTheme="minorHAnsi" w:cstheme="minorHAnsi"/>
          <w:b w:val="0"/>
        </w:rPr>
      </w:pPr>
      <w:bookmarkStart w:id="6" w:name="_Toc95830192"/>
      <w:bookmarkStart w:id="7" w:name="_Toc103680501"/>
      <w:r w:rsidRPr="00252D7B">
        <w:rPr>
          <w:rFonts w:asciiTheme="minorHAnsi" w:hAnsiTheme="minorHAnsi" w:cstheme="minorHAnsi"/>
        </w:rPr>
        <w:lastRenderedPageBreak/>
        <w:t xml:space="preserve">Lista de </w:t>
      </w:r>
      <w:r w:rsidR="00C10CF9" w:rsidRPr="00252D7B">
        <w:rPr>
          <w:rFonts w:asciiTheme="minorHAnsi" w:hAnsiTheme="minorHAnsi" w:cstheme="minorHAnsi"/>
        </w:rPr>
        <w:t>S</w:t>
      </w:r>
      <w:r w:rsidRPr="00252D7B">
        <w:rPr>
          <w:rFonts w:asciiTheme="minorHAnsi" w:hAnsiTheme="minorHAnsi" w:cstheme="minorHAnsi"/>
        </w:rPr>
        <w:t>iglas</w:t>
      </w:r>
      <w:bookmarkEnd w:id="6"/>
      <w:bookmarkEnd w:id="7"/>
    </w:p>
    <w:p w14:paraId="1573F0D9" w14:textId="77777777" w:rsidR="009D60E7" w:rsidRPr="00252D7B" w:rsidRDefault="009D60E7" w:rsidP="009D60E7">
      <w:pPr>
        <w:spacing w:before="120" w:after="120"/>
        <w:jc w:val="both"/>
        <w:rPr>
          <w:rFonts w:asciiTheme="minorHAnsi" w:hAnsiTheme="minorHAnsi" w:cstheme="minorHAnsi"/>
          <w:color w:val="000000"/>
          <w:sz w:val="24"/>
          <w:szCs w:val="24"/>
        </w:rPr>
      </w:pPr>
      <w:r w:rsidRPr="00252D7B">
        <w:rPr>
          <w:rFonts w:asciiTheme="minorHAnsi" w:hAnsiTheme="minorHAnsi" w:cstheme="minorHAnsi"/>
          <w:b/>
          <w:bCs/>
          <w:sz w:val="24"/>
          <w:szCs w:val="24"/>
        </w:rPr>
        <w:t>A3P:</w:t>
      </w:r>
      <w:r w:rsidRPr="00252D7B">
        <w:rPr>
          <w:rFonts w:asciiTheme="minorHAnsi" w:hAnsiTheme="minorHAnsi" w:cstheme="minorHAnsi"/>
          <w:sz w:val="24"/>
          <w:szCs w:val="24"/>
        </w:rPr>
        <w:t xml:space="preserve"> Agenda Ambiental da Administração Pública</w:t>
      </w:r>
    </w:p>
    <w:p w14:paraId="1BEB7619" w14:textId="77777777" w:rsidR="009D60E7" w:rsidRPr="00252D7B" w:rsidRDefault="009D60E7" w:rsidP="009D60E7">
      <w:pPr>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rPr>
        <w:t>ABIO:</w:t>
      </w:r>
      <w:r w:rsidRPr="00252D7B">
        <w:rPr>
          <w:rFonts w:asciiTheme="minorHAnsi" w:hAnsiTheme="minorHAnsi" w:cstheme="minorHAnsi"/>
          <w:sz w:val="24"/>
          <w:szCs w:val="24"/>
        </w:rPr>
        <w:t xml:space="preserve"> Autorizações de Captura, Coleta e Transporte de Material Biológico</w:t>
      </w:r>
    </w:p>
    <w:p w14:paraId="331E5894" w14:textId="77777777" w:rsidR="009D60E7" w:rsidRPr="00252D7B" w:rsidRDefault="009D60E7" w:rsidP="009D60E7">
      <w:pPr>
        <w:pStyle w:val="Recuodecorpodetexto"/>
        <w:spacing w:before="120"/>
        <w:ind w:left="0"/>
        <w:jc w:val="both"/>
        <w:rPr>
          <w:rFonts w:asciiTheme="minorHAnsi" w:hAnsiTheme="minorHAnsi" w:cstheme="minorHAnsi"/>
          <w:b/>
          <w:bCs/>
        </w:rPr>
      </w:pPr>
      <w:r w:rsidRPr="00252D7B">
        <w:rPr>
          <w:rFonts w:asciiTheme="minorHAnsi" w:hAnsiTheme="minorHAnsi" w:cstheme="minorHAnsi"/>
          <w:b/>
          <w:bCs/>
          <w:color w:val="000000"/>
        </w:rPr>
        <w:t>ABNT:</w:t>
      </w:r>
      <w:r w:rsidRPr="00252D7B">
        <w:rPr>
          <w:rFonts w:asciiTheme="minorHAnsi" w:hAnsiTheme="minorHAnsi" w:cstheme="minorHAnsi"/>
          <w:color w:val="000000"/>
        </w:rPr>
        <w:t xml:space="preserve"> Associação Brasileira de Normas Técnicas</w:t>
      </w:r>
    </w:p>
    <w:p w14:paraId="2E38E1C9" w14:textId="77777777" w:rsidR="009D60E7" w:rsidRPr="00252D7B" w:rsidRDefault="009D60E7" w:rsidP="009D60E7">
      <w:pPr>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rPr>
        <w:t>ABO:</w:t>
      </w:r>
      <w:r w:rsidRPr="00252D7B">
        <w:rPr>
          <w:rFonts w:asciiTheme="minorHAnsi" w:hAnsiTheme="minorHAnsi" w:cstheme="minorHAnsi"/>
          <w:sz w:val="24"/>
          <w:szCs w:val="24"/>
        </w:rPr>
        <w:t xml:space="preserve"> Associação Brasileira de Ouvidores e Ombudsman</w:t>
      </w:r>
    </w:p>
    <w:p w14:paraId="573AA273" w14:textId="77777777" w:rsidR="009D60E7" w:rsidRPr="00252D7B" w:rsidRDefault="009D60E7" w:rsidP="009D60E7">
      <w:pPr>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rPr>
        <w:t>ADMIN:</w:t>
      </w:r>
      <w:r w:rsidRPr="00252D7B">
        <w:rPr>
          <w:rFonts w:asciiTheme="minorHAnsi" w:hAnsiTheme="minorHAnsi" w:cstheme="minorHAnsi"/>
          <w:sz w:val="24"/>
          <w:szCs w:val="24"/>
        </w:rPr>
        <w:t xml:space="preserve"> Assessoria Administrativa da Valec Engenharia, Construções e Ferrovias S.A.</w:t>
      </w:r>
    </w:p>
    <w:p w14:paraId="7F770C16" w14:textId="77777777" w:rsidR="009D60E7" w:rsidRPr="00252D7B" w:rsidRDefault="009D60E7" w:rsidP="009D60E7">
      <w:pPr>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rPr>
        <w:t>AFAC:</w:t>
      </w:r>
      <w:r w:rsidRPr="00252D7B">
        <w:rPr>
          <w:rFonts w:asciiTheme="minorHAnsi" w:hAnsiTheme="minorHAnsi" w:cstheme="minorHAnsi"/>
          <w:sz w:val="24"/>
          <w:szCs w:val="24"/>
        </w:rPr>
        <w:t xml:space="preserve"> Adiantamento para Futuro Aumento de Capital</w:t>
      </w:r>
    </w:p>
    <w:p w14:paraId="1517A0EE" w14:textId="77777777" w:rsidR="009D60E7" w:rsidRPr="00252D7B" w:rsidRDefault="009D60E7" w:rsidP="009D60E7">
      <w:pPr>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rPr>
        <w:t>ANPTrilhos:</w:t>
      </w:r>
      <w:r w:rsidRPr="00252D7B">
        <w:rPr>
          <w:rFonts w:asciiTheme="minorHAnsi" w:hAnsiTheme="minorHAnsi" w:cstheme="minorHAnsi"/>
          <w:sz w:val="24"/>
          <w:szCs w:val="24"/>
        </w:rPr>
        <w:t xml:space="preserve"> Associação Nacional dos Transportadores sobre Trilhos</w:t>
      </w:r>
    </w:p>
    <w:p w14:paraId="46858488" w14:textId="77777777" w:rsidR="009D60E7" w:rsidRPr="00252D7B" w:rsidRDefault="009D60E7" w:rsidP="009D60E7">
      <w:pPr>
        <w:spacing w:before="120" w:after="120"/>
        <w:jc w:val="both"/>
        <w:rPr>
          <w:rFonts w:asciiTheme="minorHAnsi" w:hAnsiTheme="minorHAnsi" w:cstheme="minorHAnsi"/>
          <w:b/>
          <w:bCs/>
          <w:sz w:val="24"/>
          <w:szCs w:val="24"/>
        </w:rPr>
      </w:pPr>
      <w:r w:rsidRPr="00252D7B">
        <w:rPr>
          <w:rFonts w:asciiTheme="minorHAnsi" w:hAnsiTheme="minorHAnsi" w:cstheme="minorHAnsi"/>
          <w:b/>
          <w:bCs/>
          <w:sz w:val="24"/>
          <w:szCs w:val="24"/>
        </w:rPr>
        <w:t>ANTF:</w:t>
      </w:r>
      <w:r w:rsidRPr="00252D7B">
        <w:rPr>
          <w:rFonts w:asciiTheme="minorHAnsi" w:hAnsiTheme="minorHAnsi" w:cstheme="minorHAnsi"/>
          <w:sz w:val="24"/>
          <w:szCs w:val="24"/>
        </w:rPr>
        <w:t xml:space="preserve"> Associação Nacional dos Transportadores Ferroviários</w:t>
      </w:r>
    </w:p>
    <w:p w14:paraId="0B3A267B" w14:textId="77777777" w:rsidR="009D60E7" w:rsidRPr="00252D7B" w:rsidRDefault="009D60E7" w:rsidP="009D60E7">
      <w:pPr>
        <w:spacing w:before="120" w:after="120"/>
        <w:jc w:val="both"/>
        <w:rPr>
          <w:rFonts w:asciiTheme="minorHAnsi" w:hAnsiTheme="minorHAnsi" w:cstheme="minorHAnsi"/>
          <w:sz w:val="24"/>
          <w:szCs w:val="24"/>
        </w:rPr>
      </w:pPr>
      <w:r w:rsidRPr="00252D7B">
        <w:rPr>
          <w:rFonts w:asciiTheme="minorHAnsi" w:hAnsiTheme="minorHAnsi" w:cstheme="minorHAnsi"/>
          <w:b/>
          <w:bCs/>
          <w:color w:val="000000" w:themeColor="text1"/>
          <w:sz w:val="24"/>
          <w:szCs w:val="24"/>
        </w:rPr>
        <w:t>ANTT:</w:t>
      </w:r>
      <w:r w:rsidRPr="00252D7B">
        <w:rPr>
          <w:rFonts w:asciiTheme="minorHAnsi" w:hAnsiTheme="minorHAnsi" w:cstheme="minorHAnsi"/>
          <w:color w:val="000000" w:themeColor="text1"/>
          <w:sz w:val="24"/>
          <w:szCs w:val="24"/>
        </w:rPr>
        <w:t xml:space="preserve"> Agência Nacional de Transportes Terrestres</w:t>
      </w:r>
    </w:p>
    <w:p w14:paraId="50E304B0" w14:textId="77777777" w:rsidR="009D60E7" w:rsidRPr="00252D7B" w:rsidRDefault="009D60E7" w:rsidP="009D60E7">
      <w:pPr>
        <w:spacing w:before="120" w:after="120"/>
        <w:jc w:val="both"/>
        <w:rPr>
          <w:rFonts w:asciiTheme="minorHAnsi" w:eastAsiaTheme="minorHAnsi" w:hAnsiTheme="minorHAnsi" w:cstheme="minorHAnsi"/>
          <w:sz w:val="24"/>
          <w:szCs w:val="24"/>
          <w:lang w:bidi="ar-SA"/>
        </w:rPr>
      </w:pPr>
      <w:r w:rsidRPr="00252D7B">
        <w:rPr>
          <w:rFonts w:asciiTheme="minorHAnsi" w:hAnsiTheme="minorHAnsi" w:cstheme="minorHAnsi"/>
          <w:b/>
          <w:bCs/>
          <w:sz w:val="24"/>
          <w:szCs w:val="24"/>
          <w:lang w:eastAsia="pt-BR"/>
        </w:rPr>
        <w:t xml:space="preserve">APF: </w:t>
      </w:r>
      <w:r w:rsidRPr="00252D7B">
        <w:rPr>
          <w:rFonts w:asciiTheme="minorHAnsi" w:hAnsiTheme="minorHAnsi" w:cstheme="minorHAnsi"/>
          <w:sz w:val="24"/>
          <w:szCs w:val="24"/>
          <w:lang w:eastAsia="pt-BR"/>
        </w:rPr>
        <w:t>Administração Pública Federal</w:t>
      </w:r>
    </w:p>
    <w:p w14:paraId="3037C322" w14:textId="77777777" w:rsidR="009D60E7" w:rsidRPr="00252D7B" w:rsidRDefault="009D60E7" w:rsidP="009D60E7">
      <w:pPr>
        <w:spacing w:before="120" w:after="120"/>
        <w:jc w:val="both"/>
        <w:rPr>
          <w:rFonts w:asciiTheme="minorHAnsi" w:hAnsiTheme="minorHAnsi" w:cstheme="minorHAnsi"/>
          <w:sz w:val="24"/>
          <w:szCs w:val="24"/>
          <w:lang w:eastAsia="pt-BR"/>
        </w:rPr>
      </w:pPr>
      <w:r w:rsidRPr="00252D7B">
        <w:rPr>
          <w:rFonts w:asciiTheme="minorHAnsi" w:hAnsiTheme="minorHAnsi" w:cstheme="minorHAnsi"/>
          <w:b/>
          <w:bCs/>
          <w:sz w:val="24"/>
          <w:szCs w:val="24"/>
          <w:lang w:eastAsia="pt-BR"/>
        </w:rPr>
        <w:t xml:space="preserve">ASCOM: </w:t>
      </w:r>
      <w:r w:rsidRPr="00252D7B">
        <w:rPr>
          <w:rFonts w:asciiTheme="minorHAnsi" w:hAnsiTheme="minorHAnsi" w:cstheme="minorHAnsi"/>
          <w:sz w:val="24"/>
          <w:szCs w:val="24"/>
          <w:lang w:eastAsia="pt-BR"/>
        </w:rPr>
        <w:t xml:space="preserve">Assessoria de Comunicação Social </w:t>
      </w:r>
      <w:r w:rsidRPr="00252D7B">
        <w:rPr>
          <w:rFonts w:asciiTheme="minorHAnsi" w:hAnsiTheme="minorHAnsi" w:cstheme="minorHAnsi"/>
          <w:sz w:val="24"/>
          <w:szCs w:val="24"/>
        </w:rPr>
        <w:t>da Valec Engenharia, Construções e Ferrovias S.A.</w:t>
      </w:r>
    </w:p>
    <w:p w14:paraId="6645B81B" w14:textId="77777777" w:rsidR="009D60E7" w:rsidRPr="00252D7B" w:rsidRDefault="009D60E7" w:rsidP="009D60E7">
      <w:pPr>
        <w:spacing w:before="120" w:after="120"/>
        <w:jc w:val="both"/>
        <w:rPr>
          <w:rFonts w:asciiTheme="minorHAnsi" w:hAnsiTheme="minorHAnsi" w:cstheme="minorHAnsi"/>
          <w:i/>
          <w:iCs/>
          <w:sz w:val="24"/>
          <w:szCs w:val="24"/>
        </w:rPr>
      </w:pPr>
      <w:r w:rsidRPr="00252D7B">
        <w:rPr>
          <w:rFonts w:asciiTheme="minorHAnsi" w:hAnsiTheme="minorHAnsi" w:cstheme="minorHAnsi"/>
          <w:b/>
          <w:bCs/>
          <w:sz w:val="24"/>
          <w:szCs w:val="24"/>
        </w:rPr>
        <w:t xml:space="preserve">ASCOR: </w:t>
      </w:r>
      <w:r w:rsidRPr="00252D7B">
        <w:rPr>
          <w:rFonts w:asciiTheme="minorHAnsi" w:hAnsiTheme="minorHAnsi" w:cstheme="minorHAnsi"/>
          <w:sz w:val="24"/>
          <w:szCs w:val="24"/>
        </w:rPr>
        <w:t xml:space="preserve">Assessoria de Correição da Valec Engenharia, Construções e Ferrovias S.A. </w:t>
      </w:r>
      <w:r w:rsidRPr="00252D7B">
        <w:rPr>
          <w:rFonts w:asciiTheme="minorHAnsi" w:hAnsiTheme="minorHAnsi" w:cstheme="minorHAnsi"/>
          <w:i/>
          <w:iCs/>
          <w:sz w:val="24"/>
          <w:szCs w:val="24"/>
        </w:rPr>
        <w:t>(vide COGER)</w:t>
      </w:r>
    </w:p>
    <w:p w14:paraId="1BB4CBF6" w14:textId="77777777" w:rsidR="009D60E7" w:rsidRPr="00252D7B" w:rsidRDefault="009D60E7" w:rsidP="009D60E7">
      <w:pPr>
        <w:spacing w:before="120" w:after="120"/>
        <w:jc w:val="both"/>
        <w:rPr>
          <w:rFonts w:asciiTheme="minorHAnsi" w:hAnsiTheme="minorHAnsi" w:cstheme="minorHAnsi"/>
          <w:i/>
          <w:iCs/>
          <w:color w:val="000000"/>
          <w:sz w:val="24"/>
          <w:szCs w:val="24"/>
        </w:rPr>
      </w:pPr>
      <w:r w:rsidRPr="00252D7B">
        <w:rPr>
          <w:rFonts w:asciiTheme="minorHAnsi" w:hAnsiTheme="minorHAnsi" w:cstheme="minorHAnsi"/>
          <w:b/>
          <w:bCs/>
          <w:color w:val="000000"/>
          <w:sz w:val="24"/>
          <w:szCs w:val="24"/>
        </w:rPr>
        <w:t>ASGOV:</w:t>
      </w:r>
      <w:r w:rsidRPr="00252D7B">
        <w:rPr>
          <w:rFonts w:asciiTheme="minorHAnsi" w:hAnsiTheme="minorHAnsi" w:cstheme="minorHAnsi"/>
          <w:color w:val="000000"/>
          <w:sz w:val="24"/>
          <w:szCs w:val="24"/>
        </w:rPr>
        <w:t xml:space="preserve"> Assessoria de Governança </w:t>
      </w:r>
      <w:r w:rsidRPr="00252D7B">
        <w:rPr>
          <w:rFonts w:asciiTheme="minorHAnsi" w:hAnsiTheme="minorHAnsi" w:cstheme="minorHAnsi"/>
          <w:sz w:val="24"/>
          <w:szCs w:val="24"/>
        </w:rPr>
        <w:t xml:space="preserve">da Valec Engenharia, Construções e Ferrovias S.A. </w:t>
      </w:r>
      <w:r w:rsidRPr="00252D7B">
        <w:rPr>
          <w:rFonts w:asciiTheme="minorHAnsi" w:hAnsiTheme="minorHAnsi" w:cstheme="minorHAnsi"/>
          <w:i/>
          <w:iCs/>
          <w:sz w:val="24"/>
          <w:szCs w:val="24"/>
        </w:rPr>
        <w:t>(vide SUINT)</w:t>
      </w:r>
    </w:p>
    <w:p w14:paraId="02016248" w14:textId="77777777" w:rsidR="009D60E7" w:rsidRPr="00252D7B" w:rsidRDefault="009D60E7" w:rsidP="009D60E7">
      <w:pPr>
        <w:spacing w:before="120" w:after="120"/>
        <w:jc w:val="both"/>
        <w:rPr>
          <w:rFonts w:asciiTheme="minorHAnsi" w:hAnsiTheme="minorHAnsi" w:cstheme="minorHAnsi"/>
          <w:color w:val="000000" w:themeColor="text1"/>
          <w:sz w:val="24"/>
          <w:szCs w:val="24"/>
        </w:rPr>
      </w:pPr>
      <w:r w:rsidRPr="00252D7B">
        <w:rPr>
          <w:rFonts w:asciiTheme="minorHAnsi" w:hAnsiTheme="minorHAnsi" w:cstheme="minorHAnsi"/>
          <w:b/>
          <w:bCs/>
          <w:sz w:val="24"/>
          <w:szCs w:val="24"/>
        </w:rPr>
        <w:t>ASV:</w:t>
      </w:r>
      <w:r w:rsidRPr="00252D7B">
        <w:rPr>
          <w:rFonts w:asciiTheme="minorHAnsi" w:hAnsiTheme="minorHAnsi" w:cstheme="minorHAnsi"/>
          <w:sz w:val="24"/>
          <w:szCs w:val="24"/>
        </w:rPr>
        <w:t xml:space="preserve"> Autorização para Supressão de Vegetação</w:t>
      </w:r>
    </w:p>
    <w:p w14:paraId="0A240354" w14:textId="77777777" w:rsidR="009D60E7" w:rsidRPr="00252D7B" w:rsidRDefault="009D60E7" w:rsidP="009D60E7">
      <w:pPr>
        <w:spacing w:before="120" w:after="120"/>
        <w:jc w:val="both"/>
        <w:rPr>
          <w:rFonts w:asciiTheme="minorHAnsi" w:hAnsiTheme="minorHAnsi" w:cstheme="minorHAnsi"/>
          <w:sz w:val="24"/>
          <w:szCs w:val="24"/>
          <w:lang w:eastAsia="pt-BR"/>
        </w:rPr>
      </w:pPr>
      <w:r w:rsidRPr="00252D7B">
        <w:rPr>
          <w:rFonts w:asciiTheme="minorHAnsi" w:hAnsiTheme="minorHAnsi" w:cstheme="minorHAnsi"/>
          <w:b/>
          <w:bCs/>
          <w:sz w:val="24"/>
          <w:szCs w:val="24"/>
          <w:lang w:eastAsia="pt-BR"/>
        </w:rPr>
        <w:t>ATP:</w:t>
      </w:r>
      <w:r w:rsidRPr="00252D7B">
        <w:rPr>
          <w:rFonts w:asciiTheme="minorHAnsi" w:hAnsiTheme="minorHAnsi" w:cstheme="minorHAnsi"/>
          <w:sz w:val="24"/>
          <w:szCs w:val="24"/>
          <w:lang w:eastAsia="pt-BR"/>
        </w:rPr>
        <w:t xml:space="preserve"> </w:t>
      </w:r>
      <w:r w:rsidRPr="00252D7B">
        <w:rPr>
          <w:rFonts w:asciiTheme="minorHAnsi" w:hAnsiTheme="minorHAnsi" w:cstheme="minorHAnsi"/>
          <w:i/>
          <w:iCs/>
          <w:sz w:val="24"/>
          <w:szCs w:val="24"/>
          <w:lang w:eastAsia="pt-BR"/>
        </w:rPr>
        <w:t>Advanced Threat Protection</w:t>
      </w:r>
      <w:r w:rsidRPr="00252D7B">
        <w:rPr>
          <w:rFonts w:asciiTheme="minorHAnsi" w:hAnsiTheme="minorHAnsi" w:cstheme="minorHAnsi"/>
        </w:rPr>
        <w:t xml:space="preserve"> (</w:t>
      </w:r>
      <w:r w:rsidRPr="00252D7B">
        <w:rPr>
          <w:rFonts w:asciiTheme="minorHAnsi" w:hAnsiTheme="minorHAnsi" w:cstheme="minorHAnsi"/>
          <w:sz w:val="24"/>
          <w:szCs w:val="24"/>
        </w:rPr>
        <w:t>Prevenção avançada contra ameaças)</w:t>
      </w:r>
    </w:p>
    <w:p w14:paraId="22A07693" w14:textId="77777777" w:rsidR="009D60E7" w:rsidRPr="00252D7B" w:rsidRDefault="009D60E7" w:rsidP="009D60E7">
      <w:pPr>
        <w:spacing w:before="120" w:after="120"/>
        <w:jc w:val="both"/>
        <w:rPr>
          <w:rFonts w:asciiTheme="minorHAnsi" w:hAnsiTheme="minorHAnsi" w:cstheme="minorHAnsi"/>
          <w:color w:val="000000"/>
          <w:sz w:val="24"/>
          <w:szCs w:val="24"/>
        </w:rPr>
      </w:pPr>
      <w:r w:rsidRPr="00252D7B">
        <w:rPr>
          <w:rFonts w:asciiTheme="minorHAnsi" w:hAnsiTheme="minorHAnsi" w:cstheme="minorHAnsi"/>
          <w:b/>
          <w:bCs/>
          <w:color w:val="000000"/>
          <w:sz w:val="24"/>
          <w:szCs w:val="24"/>
        </w:rPr>
        <w:t>AUDIN:</w:t>
      </w:r>
      <w:r w:rsidRPr="00252D7B">
        <w:rPr>
          <w:rFonts w:asciiTheme="minorHAnsi" w:hAnsiTheme="minorHAnsi" w:cstheme="minorHAnsi"/>
          <w:color w:val="000000"/>
          <w:sz w:val="24"/>
          <w:szCs w:val="24"/>
        </w:rPr>
        <w:t xml:space="preserve"> Auditoria Interna </w:t>
      </w:r>
      <w:r w:rsidRPr="00252D7B">
        <w:rPr>
          <w:rFonts w:asciiTheme="minorHAnsi" w:hAnsiTheme="minorHAnsi" w:cstheme="minorHAnsi"/>
          <w:sz w:val="24"/>
          <w:szCs w:val="24"/>
        </w:rPr>
        <w:t>da Valec Engenharia, Construções e Ferrovias S.A.</w:t>
      </w:r>
    </w:p>
    <w:p w14:paraId="00F1B3B2" w14:textId="77777777" w:rsidR="009D60E7" w:rsidRPr="00252D7B" w:rsidRDefault="009D60E7" w:rsidP="009D60E7">
      <w:pPr>
        <w:spacing w:before="120" w:after="120"/>
        <w:jc w:val="both"/>
        <w:rPr>
          <w:rFonts w:asciiTheme="minorHAnsi" w:hAnsiTheme="minorHAnsi" w:cstheme="minorHAnsi"/>
          <w:color w:val="000000"/>
          <w:sz w:val="24"/>
          <w:szCs w:val="24"/>
        </w:rPr>
      </w:pPr>
      <w:r w:rsidRPr="00252D7B">
        <w:rPr>
          <w:rFonts w:asciiTheme="minorHAnsi" w:hAnsiTheme="minorHAnsi" w:cstheme="minorHAnsi"/>
          <w:b/>
          <w:bCs/>
          <w:color w:val="000000"/>
          <w:sz w:val="24"/>
          <w:szCs w:val="24"/>
        </w:rPr>
        <w:t>BI:</w:t>
      </w:r>
      <w:r w:rsidRPr="00252D7B">
        <w:rPr>
          <w:rFonts w:asciiTheme="minorHAnsi" w:hAnsiTheme="minorHAnsi" w:cstheme="minorHAnsi"/>
          <w:color w:val="000000"/>
          <w:sz w:val="24"/>
          <w:szCs w:val="24"/>
        </w:rPr>
        <w:t xml:space="preserve"> </w:t>
      </w:r>
      <w:r w:rsidRPr="00252D7B">
        <w:rPr>
          <w:rFonts w:asciiTheme="minorHAnsi" w:hAnsiTheme="minorHAnsi" w:cstheme="minorHAnsi"/>
          <w:i/>
          <w:iCs/>
          <w:color w:val="000000"/>
          <w:sz w:val="24"/>
          <w:szCs w:val="24"/>
        </w:rPr>
        <w:t>Business Intelligence</w:t>
      </w:r>
      <w:r w:rsidRPr="00252D7B">
        <w:rPr>
          <w:rFonts w:asciiTheme="minorHAnsi" w:hAnsiTheme="minorHAnsi" w:cstheme="minorHAnsi"/>
          <w:color w:val="000000"/>
          <w:sz w:val="24"/>
          <w:szCs w:val="24"/>
        </w:rPr>
        <w:t xml:space="preserve"> (Inteligência de Negócios)</w:t>
      </w:r>
    </w:p>
    <w:p w14:paraId="53877723" w14:textId="77777777" w:rsidR="009D60E7" w:rsidRPr="00252D7B" w:rsidRDefault="009D60E7" w:rsidP="009D60E7">
      <w:pPr>
        <w:spacing w:before="120" w:after="120"/>
        <w:jc w:val="both"/>
        <w:rPr>
          <w:rFonts w:asciiTheme="minorHAnsi" w:hAnsiTheme="minorHAnsi" w:cstheme="minorHAnsi"/>
          <w:color w:val="000000"/>
          <w:sz w:val="24"/>
          <w:szCs w:val="24"/>
        </w:rPr>
      </w:pPr>
      <w:r w:rsidRPr="00252D7B">
        <w:rPr>
          <w:rFonts w:asciiTheme="minorHAnsi" w:hAnsiTheme="minorHAnsi" w:cstheme="minorHAnsi"/>
          <w:b/>
          <w:bCs/>
          <w:color w:val="000000"/>
          <w:sz w:val="24"/>
          <w:szCs w:val="24"/>
        </w:rPr>
        <w:t>BIM:</w:t>
      </w:r>
      <w:r w:rsidRPr="00252D7B">
        <w:rPr>
          <w:rFonts w:asciiTheme="minorHAnsi" w:hAnsiTheme="minorHAnsi" w:cstheme="minorHAnsi"/>
          <w:color w:val="000000"/>
          <w:sz w:val="24"/>
          <w:szCs w:val="24"/>
        </w:rPr>
        <w:t xml:space="preserve"> </w:t>
      </w:r>
      <w:r w:rsidRPr="00252D7B">
        <w:rPr>
          <w:rFonts w:asciiTheme="minorHAnsi" w:hAnsiTheme="minorHAnsi" w:cstheme="minorHAnsi"/>
          <w:i/>
          <w:iCs/>
          <w:color w:val="000000"/>
          <w:sz w:val="24"/>
          <w:szCs w:val="24"/>
        </w:rPr>
        <w:t>Building Information Modeling</w:t>
      </w:r>
      <w:r w:rsidRPr="00252D7B">
        <w:rPr>
          <w:rFonts w:asciiTheme="minorHAnsi" w:hAnsiTheme="minorHAnsi" w:cstheme="minorHAnsi"/>
          <w:color w:val="000000"/>
          <w:sz w:val="24"/>
          <w:szCs w:val="24"/>
        </w:rPr>
        <w:t xml:space="preserve"> (Modelagem de Informação da Construção)</w:t>
      </w:r>
    </w:p>
    <w:p w14:paraId="0EF25625" w14:textId="77777777" w:rsidR="009D60E7" w:rsidRPr="00252D7B" w:rsidRDefault="009D60E7" w:rsidP="009D60E7">
      <w:pPr>
        <w:spacing w:before="120" w:after="120"/>
        <w:jc w:val="both"/>
        <w:rPr>
          <w:rFonts w:asciiTheme="minorHAnsi" w:hAnsiTheme="minorHAnsi" w:cstheme="minorHAnsi"/>
          <w:color w:val="000000"/>
          <w:sz w:val="24"/>
          <w:szCs w:val="24"/>
        </w:rPr>
      </w:pPr>
      <w:r w:rsidRPr="00252D7B">
        <w:rPr>
          <w:rFonts w:asciiTheme="minorHAnsi" w:hAnsiTheme="minorHAnsi" w:cstheme="minorHAnsi"/>
          <w:b/>
          <w:bCs/>
          <w:color w:val="000000"/>
          <w:sz w:val="24"/>
          <w:szCs w:val="24"/>
        </w:rPr>
        <w:t>BNDES:</w:t>
      </w:r>
      <w:r w:rsidRPr="00252D7B">
        <w:rPr>
          <w:rFonts w:asciiTheme="minorHAnsi" w:hAnsiTheme="minorHAnsi" w:cstheme="minorHAnsi"/>
          <w:color w:val="000000"/>
          <w:sz w:val="24"/>
          <w:szCs w:val="24"/>
        </w:rPr>
        <w:t xml:space="preserve"> Banco Nacional de Desenvolvimento Econômico e Social</w:t>
      </w:r>
    </w:p>
    <w:p w14:paraId="01DF774D" w14:textId="77777777" w:rsidR="009D60E7" w:rsidRPr="00252D7B" w:rsidRDefault="009D60E7" w:rsidP="009D60E7">
      <w:pPr>
        <w:spacing w:before="120" w:after="120"/>
        <w:jc w:val="both"/>
        <w:rPr>
          <w:rFonts w:asciiTheme="minorHAnsi" w:hAnsiTheme="minorHAnsi" w:cstheme="minorHAnsi"/>
          <w:i/>
          <w:iCs/>
          <w:color w:val="000000"/>
          <w:sz w:val="24"/>
          <w:szCs w:val="24"/>
        </w:rPr>
      </w:pPr>
      <w:r w:rsidRPr="00252D7B">
        <w:rPr>
          <w:rFonts w:asciiTheme="minorHAnsi" w:hAnsiTheme="minorHAnsi" w:cstheme="minorHAnsi"/>
          <w:b/>
          <w:bCs/>
          <w:color w:val="000000"/>
          <w:sz w:val="24"/>
          <w:szCs w:val="24"/>
        </w:rPr>
        <w:t>BNDESPar:</w:t>
      </w:r>
      <w:r w:rsidRPr="00252D7B">
        <w:rPr>
          <w:rFonts w:asciiTheme="minorHAnsi" w:hAnsiTheme="minorHAnsi" w:cstheme="minorHAnsi"/>
        </w:rPr>
        <w:t xml:space="preserve"> </w:t>
      </w:r>
      <w:r w:rsidRPr="00252D7B">
        <w:rPr>
          <w:rFonts w:asciiTheme="minorHAnsi" w:hAnsiTheme="minorHAnsi" w:cstheme="minorHAnsi"/>
          <w:color w:val="000000"/>
          <w:sz w:val="24"/>
          <w:szCs w:val="24"/>
        </w:rPr>
        <w:t xml:space="preserve">BNDES Participações S.A. </w:t>
      </w:r>
      <w:r w:rsidRPr="00252D7B">
        <w:rPr>
          <w:rFonts w:asciiTheme="minorHAnsi" w:hAnsiTheme="minorHAnsi" w:cstheme="minorHAnsi"/>
          <w:i/>
          <w:iCs/>
          <w:color w:val="000000"/>
          <w:sz w:val="24"/>
          <w:szCs w:val="24"/>
        </w:rPr>
        <w:t>(vide BNDES)</w:t>
      </w:r>
    </w:p>
    <w:p w14:paraId="79CE1D2C" w14:textId="79169F54" w:rsidR="00C321F4" w:rsidRPr="00C321F4" w:rsidRDefault="00C321F4" w:rsidP="009D60E7">
      <w:pPr>
        <w:spacing w:before="120" w:after="120"/>
        <w:jc w:val="both"/>
        <w:rPr>
          <w:rFonts w:asciiTheme="minorHAnsi" w:hAnsiTheme="minorHAnsi" w:cstheme="minorHAnsi"/>
          <w:color w:val="201F1E"/>
          <w:sz w:val="24"/>
          <w:szCs w:val="24"/>
        </w:rPr>
      </w:pPr>
      <w:r w:rsidRPr="00C321F4">
        <w:rPr>
          <w:rFonts w:asciiTheme="minorHAnsi" w:hAnsiTheme="minorHAnsi" w:cstheme="minorHAnsi"/>
          <w:b/>
          <w:bCs/>
          <w:color w:val="201F1E"/>
          <w:sz w:val="24"/>
          <w:szCs w:val="24"/>
        </w:rPr>
        <w:t>CBTU</w:t>
      </w:r>
      <w:r>
        <w:rPr>
          <w:rFonts w:asciiTheme="minorHAnsi" w:hAnsiTheme="minorHAnsi" w:cstheme="minorHAnsi"/>
          <w:b/>
          <w:bCs/>
          <w:color w:val="201F1E"/>
          <w:sz w:val="24"/>
          <w:szCs w:val="24"/>
        </w:rPr>
        <w:t>:</w:t>
      </w:r>
      <w:r w:rsidRPr="00C321F4">
        <w:rPr>
          <w:rFonts w:asciiTheme="minorHAnsi" w:hAnsiTheme="minorHAnsi" w:cstheme="minorHAnsi"/>
          <w:color w:val="201F1E"/>
          <w:sz w:val="24"/>
          <w:szCs w:val="24"/>
        </w:rPr>
        <w:t xml:space="preserve"> C</w:t>
      </w:r>
      <w:r>
        <w:rPr>
          <w:rFonts w:asciiTheme="minorHAnsi" w:hAnsiTheme="minorHAnsi" w:cstheme="minorHAnsi"/>
          <w:color w:val="201F1E"/>
          <w:sz w:val="24"/>
          <w:szCs w:val="24"/>
        </w:rPr>
        <w:t>ompanhia</w:t>
      </w:r>
      <w:r w:rsidRPr="00C321F4">
        <w:rPr>
          <w:rFonts w:asciiTheme="minorHAnsi" w:hAnsiTheme="minorHAnsi" w:cstheme="minorHAnsi"/>
          <w:color w:val="201F1E"/>
          <w:sz w:val="24"/>
          <w:szCs w:val="24"/>
        </w:rPr>
        <w:t xml:space="preserve"> Brasileira de Trens Urbano</w:t>
      </w:r>
      <w:r>
        <w:rPr>
          <w:rFonts w:asciiTheme="minorHAnsi" w:hAnsiTheme="minorHAnsi" w:cstheme="minorHAnsi"/>
          <w:color w:val="201F1E"/>
          <w:sz w:val="24"/>
          <w:szCs w:val="24"/>
        </w:rPr>
        <w:t>s</w:t>
      </w:r>
    </w:p>
    <w:p w14:paraId="6ACF1F08" w14:textId="6864B058" w:rsidR="0020537D" w:rsidRDefault="0020537D" w:rsidP="009D60E7">
      <w:pPr>
        <w:spacing w:before="120" w:after="120"/>
        <w:jc w:val="both"/>
        <w:rPr>
          <w:rFonts w:asciiTheme="minorHAnsi" w:hAnsiTheme="minorHAnsi" w:cstheme="minorHAnsi"/>
          <w:color w:val="201F1E"/>
          <w:sz w:val="24"/>
          <w:szCs w:val="24"/>
        </w:rPr>
      </w:pPr>
      <w:r w:rsidRPr="0020537D">
        <w:rPr>
          <w:rFonts w:asciiTheme="minorHAnsi" w:hAnsiTheme="minorHAnsi" w:cstheme="minorHAnsi"/>
          <w:b/>
          <w:bCs/>
          <w:color w:val="201F1E"/>
          <w:sz w:val="24"/>
          <w:szCs w:val="24"/>
        </w:rPr>
        <w:t>CCAF:</w:t>
      </w:r>
      <w:r w:rsidRPr="00252D7B">
        <w:rPr>
          <w:rFonts w:asciiTheme="minorHAnsi" w:hAnsiTheme="minorHAnsi" w:cstheme="minorHAnsi"/>
          <w:color w:val="201F1E"/>
          <w:sz w:val="24"/>
          <w:szCs w:val="24"/>
        </w:rPr>
        <w:t xml:space="preserve"> </w:t>
      </w:r>
      <w:r w:rsidR="00C672C6" w:rsidRPr="00252D7B">
        <w:rPr>
          <w:rFonts w:asciiTheme="minorHAnsi" w:hAnsiTheme="minorHAnsi" w:cstheme="minorHAnsi"/>
          <w:color w:val="201F1E"/>
          <w:sz w:val="24"/>
          <w:szCs w:val="24"/>
        </w:rPr>
        <w:t>Câmara de Conciliação e Arbitragem da Administração Federal</w:t>
      </w:r>
    </w:p>
    <w:p w14:paraId="74F07EBD" w14:textId="79EBEC24" w:rsidR="009D60E7" w:rsidRPr="00252D7B" w:rsidRDefault="009D60E7" w:rsidP="009D60E7">
      <w:pPr>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rPr>
        <w:t>CGRC:</w:t>
      </w:r>
      <w:r w:rsidRPr="00252D7B">
        <w:rPr>
          <w:rFonts w:asciiTheme="minorHAnsi" w:hAnsiTheme="minorHAnsi" w:cstheme="minorHAnsi"/>
          <w:sz w:val="24"/>
          <w:szCs w:val="24"/>
        </w:rPr>
        <w:t xml:space="preserve"> Comitê de Governança, Riscos e Controle da Valec Engenharia, Construções e Ferrovias S.A.</w:t>
      </w:r>
    </w:p>
    <w:p w14:paraId="493B1A97" w14:textId="77777777" w:rsidR="009D60E7" w:rsidRPr="00252D7B" w:rsidRDefault="009D60E7" w:rsidP="009D60E7">
      <w:pPr>
        <w:widowControl/>
        <w:autoSpaceDE/>
        <w:autoSpaceDN/>
        <w:spacing w:before="120" w:after="120"/>
        <w:jc w:val="both"/>
        <w:rPr>
          <w:rFonts w:asciiTheme="minorHAnsi" w:eastAsia="Times New Roman" w:hAnsiTheme="minorHAnsi" w:cstheme="minorHAnsi"/>
          <w:color w:val="000000"/>
          <w:sz w:val="24"/>
          <w:szCs w:val="24"/>
          <w:lang w:bidi="ar-SA"/>
        </w:rPr>
      </w:pPr>
      <w:r w:rsidRPr="00252D7B">
        <w:rPr>
          <w:rFonts w:asciiTheme="minorHAnsi" w:eastAsia="Times New Roman" w:hAnsiTheme="minorHAnsi" w:cstheme="minorHAnsi"/>
          <w:b/>
          <w:bCs/>
          <w:color w:val="000000"/>
          <w:sz w:val="24"/>
          <w:szCs w:val="24"/>
          <w:lang w:bidi="ar-SA"/>
        </w:rPr>
        <w:t>CGU:</w:t>
      </w:r>
      <w:r w:rsidRPr="00252D7B">
        <w:rPr>
          <w:rFonts w:asciiTheme="minorHAnsi" w:hAnsiTheme="minorHAnsi" w:cstheme="minorHAnsi"/>
          <w:sz w:val="24"/>
          <w:szCs w:val="24"/>
        </w:rPr>
        <w:t xml:space="preserve"> Controladoria-Geral da União</w:t>
      </w:r>
    </w:p>
    <w:p w14:paraId="7B77DC0F" w14:textId="77777777" w:rsidR="009D60E7" w:rsidRPr="00252D7B" w:rsidRDefault="009D60E7" w:rsidP="009D60E7">
      <w:pPr>
        <w:spacing w:before="120" w:after="120"/>
        <w:jc w:val="both"/>
        <w:rPr>
          <w:rFonts w:asciiTheme="minorHAnsi" w:eastAsia="Times New Roman" w:hAnsiTheme="minorHAnsi" w:cstheme="minorHAnsi"/>
          <w:sz w:val="24"/>
          <w:szCs w:val="24"/>
        </w:rPr>
      </w:pPr>
      <w:r w:rsidRPr="00252D7B">
        <w:rPr>
          <w:rFonts w:asciiTheme="minorHAnsi" w:eastAsia="Times New Roman" w:hAnsiTheme="minorHAnsi" w:cstheme="minorHAnsi"/>
          <w:b/>
          <w:bCs/>
          <w:sz w:val="24"/>
          <w:szCs w:val="24"/>
        </w:rPr>
        <w:t>CLT:</w:t>
      </w:r>
      <w:r w:rsidRPr="00252D7B">
        <w:rPr>
          <w:rFonts w:asciiTheme="minorHAnsi" w:hAnsiTheme="minorHAnsi" w:cstheme="minorHAnsi"/>
          <w:b/>
          <w:bCs/>
        </w:rPr>
        <w:t xml:space="preserve"> </w:t>
      </w:r>
      <w:r w:rsidRPr="00252D7B">
        <w:rPr>
          <w:rFonts w:asciiTheme="minorHAnsi" w:eastAsia="Times New Roman" w:hAnsiTheme="minorHAnsi" w:cstheme="minorHAnsi"/>
          <w:sz w:val="24"/>
          <w:szCs w:val="24"/>
        </w:rPr>
        <w:t>Consolidação das Leis do Trabalho (Decreto-lei nº 5.452 de 01 de maio de 1943)</w:t>
      </w:r>
    </w:p>
    <w:p w14:paraId="4042170C" w14:textId="77777777" w:rsidR="009D60E7" w:rsidRPr="00252D7B" w:rsidRDefault="009D60E7" w:rsidP="009D60E7">
      <w:pPr>
        <w:widowControl/>
        <w:autoSpaceDE/>
        <w:autoSpaceDN/>
        <w:spacing w:before="120" w:after="120"/>
        <w:jc w:val="both"/>
        <w:rPr>
          <w:rFonts w:asciiTheme="minorHAnsi" w:eastAsia="Times New Roman" w:hAnsiTheme="minorHAnsi" w:cstheme="minorHAnsi"/>
          <w:color w:val="000000"/>
          <w:sz w:val="24"/>
          <w:szCs w:val="24"/>
          <w:lang w:bidi="ar-SA"/>
        </w:rPr>
      </w:pPr>
      <w:r w:rsidRPr="00252D7B">
        <w:rPr>
          <w:rFonts w:asciiTheme="minorHAnsi" w:eastAsia="Times New Roman" w:hAnsiTheme="minorHAnsi" w:cstheme="minorHAnsi"/>
          <w:b/>
          <w:bCs/>
          <w:color w:val="000000"/>
          <w:sz w:val="24"/>
          <w:szCs w:val="24"/>
          <w:lang w:bidi="ar-SA"/>
        </w:rPr>
        <w:t>COAUD:</w:t>
      </w:r>
      <w:r w:rsidRPr="00252D7B">
        <w:rPr>
          <w:rFonts w:asciiTheme="minorHAnsi" w:hAnsiTheme="minorHAnsi" w:cstheme="minorHAnsi"/>
          <w:sz w:val="24"/>
          <w:szCs w:val="24"/>
        </w:rPr>
        <w:t xml:space="preserve"> </w:t>
      </w:r>
      <w:r w:rsidRPr="00252D7B">
        <w:rPr>
          <w:rFonts w:asciiTheme="minorHAnsi" w:eastAsia="Times New Roman" w:hAnsiTheme="minorHAnsi" w:cstheme="minorHAnsi"/>
          <w:color w:val="000000"/>
          <w:sz w:val="24"/>
          <w:szCs w:val="24"/>
          <w:lang w:bidi="ar-SA"/>
        </w:rPr>
        <w:t>Comitê de Auditoria Estatutário</w:t>
      </w:r>
      <w:r w:rsidRPr="00252D7B">
        <w:rPr>
          <w:rFonts w:asciiTheme="minorHAnsi" w:hAnsiTheme="minorHAnsi" w:cstheme="minorHAnsi"/>
          <w:sz w:val="24"/>
          <w:szCs w:val="24"/>
        </w:rPr>
        <w:t xml:space="preserve"> da Valec Engenharia, Construções e Ferrovias S.A.</w:t>
      </w:r>
    </w:p>
    <w:p w14:paraId="427AFAE8" w14:textId="77777777" w:rsidR="009D60E7" w:rsidRPr="00252D7B" w:rsidRDefault="009D60E7" w:rsidP="009D60E7">
      <w:pPr>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rPr>
        <w:t>COELE:</w:t>
      </w:r>
      <w:r w:rsidRPr="00252D7B">
        <w:rPr>
          <w:rFonts w:asciiTheme="minorHAnsi" w:hAnsiTheme="minorHAnsi" w:cstheme="minorHAnsi"/>
          <w:sz w:val="24"/>
          <w:szCs w:val="24"/>
        </w:rPr>
        <w:t xml:space="preserve"> Comitê de Pessoas, Elegibilidade, Sucessão e Remuneração da Valec Engenharia, Construções e Ferrovias S.A.</w:t>
      </w:r>
    </w:p>
    <w:p w14:paraId="02F85E11" w14:textId="77777777" w:rsidR="009D60E7" w:rsidRPr="00252D7B" w:rsidRDefault="009D60E7" w:rsidP="009D60E7">
      <w:pPr>
        <w:spacing w:before="120" w:after="120"/>
        <w:jc w:val="both"/>
        <w:rPr>
          <w:rFonts w:asciiTheme="minorHAnsi" w:hAnsiTheme="minorHAnsi" w:cstheme="minorHAnsi"/>
          <w:color w:val="000000"/>
          <w:sz w:val="24"/>
          <w:szCs w:val="24"/>
        </w:rPr>
      </w:pPr>
      <w:r w:rsidRPr="00252D7B">
        <w:rPr>
          <w:rFonts w:asciiTheme="minorHAnsi" w:hAnsiTheme="minorHAnsi" w:cstheme="minorHAnsi"/>
          <w:b/>
          <w:bCs/>
          <w:color w:val="000000"/>
          <w:sz w:val="24"/>
          <w:szCs w:val="24"/>
        </w:rPr>
        <w:lastRenderedPageBreak/>
        <w:t>COGER:</w:t>
      </w:r>
      <w:r w:rsidRPr="00252D7B">
        <w:rPr>
          <w:rFonts w:asciiTheme="minorHAnsi" w:hAnsiTheme="minorHAnsi" w:cstheme="minorHAnsi"/>
          <w:color w:val="000000"/>
          <w:sz w:val="24"/>
          <w:szCs w:val="24"/>
        </w:rPr>
        <w:t xml:space="preserve"> Corregedoria</w:t>
      </w:r>
      <w:r w:rsidRPr="00252D7B">
        <w:rPr>
          <w:rFonts w:asciiTheme="minorHAnsi" w:hAnsiTheme="minorHAnsi" w:cstheme="minorHAnsi"/>
          <w:sz w:val="24"/>
          <w:szCs w:val="24"/>
        </w:rPr>
        <w:t xml:space="preserve"> da Valec Engenharia, Construções e Ferrovias S.A.</w:t>
      </w:r>
    </w:p>
    <w:p w14:paraId="0D3D661B" w14:textId="77777777" w:rsidR="009D60E7" w:rsidRPr="00252D7B" w:rsidRDefault="009D60E7" w:rsidP="009D60E7">
      <w:pPr>
        <w:widowControl/>
        <w:autoSpaceDE/>
        <w:autoSpaceDN/>
        <w:spacing w:before="120" w:after="120"/>
        <w:jc w:val="both"/>
        <w:rPr>
          <w:rFonts w:asciiTheme="minorHAnsi" w:eastAsia="Times New Roman" w:hAnsiTheme="minorHAnsi" w:cstheme="minorHAnsi"/>
          <w:color w:val="000000"/>
          <w:sz w:val="24"/>
          <w:szCs w:val="24"/>
          <w:lang w:bidi="ar-SA"/>
        </w:rPr>
      </w:pPr>
      <w:r w:rsidRPr="00252D7B">
        <w:rPr>
          <w:rFonts w:asciiTheme="minorHAnsi" w:eastAsia="Times New Roman" w:hAnsiTheme="minorHAnsi" w:cstheme="minorHAnsi"/>
          <w:b/>
          <w:bCs/>
          <w:color w:val="000000"/>
          <w:sz w:val="24"/>
          <w:szCs w:val="24"/>
          <w:lang w:bidi="ar-SA"/>
        </w:rPr>
        <w:t>CONFIS:</w:t>
      </w:r>
      <w:r w:rsidRPr="00252D7B">
        <w:rPr>
          <w:rFonts w:asciiTheme="minorHAnsi" w:hAnsiTheme="minorHAnsi" w:cstheme="minorHAnsi"/>
          <w:sz w:val="24"/>
          <w:szCs w:val="24"/>
        </w:rPr>
        <w:t xml:space="preserve"> Conselho Fiscal da Valec Engenharia, Construções e Ferrovias S.A.</w:t>
      </w:r>
    </w:p>
    <w:p w14:paraId="0782C892" w14:textId="6D44960D" w:rsidR="009D60E7" w:rsidRPr="00252D7B" w:rsidRDefault="009D60E7" w:rsidP="009D60E7">
      <w:pPr>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rPr>
        <w:t>CONSAD</w:t>
      </w:r>
      <w:r w:rsidRPr="00252D7B">
        <w:rPr>
          <w:rFonts w:asciiTheme="minorHAnsi" w:hAnsiTheme="minorHAnsi" w:cstheme="minorHAnsi"/>
          <w:sz w:val="24"/>
          <w:szCs w:val="24"/>
        </w:rPr>
        <w:t>: Conselho de Administração da Valec Engenharia, Construções e Ferrovias S.A.</w:t>
      </w:r>
    </w:p>
    <w:p w14:paraId="7B3D6F33" w14:textId="54AE7C95" w:rsidR="00405E3F" w:rsidRPr="00252D7B" w:rsidRDefault="00405E3F" w:rsidP="009D60E7">
      <w:pPr>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rPr>
        <w:t>COSIT:</w:t>
      </w:r>
      <w:r w:rsidRPr="00252D7B">
        <w:rPr>
          <w:rFonts w:asciiTheme="minorHAnsi" w:hAnsiTheme="minorHAnsi" w:cstheme="minorHAnsi"/>
          <w:sz w:val="24"/>
          <w:szCs w:val="24"/>
        </w:rPr>
        <w:t xml:space="preserve"> Coordenação-Geral de Tributação</w:t>
      </w:r>
    </w:p>
    <w:p w14:paraId="3F553A55" w14:textId="77777777" w:rsidR="009D60E7" w:rsidRPr="00252D7B" w:rsidRDefault="009D60E7" w:rsidP="009D60E7">
      <w:pPr>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rPr>
        <w:t>CPE:</w:t>
      </w:r>
      <w:r w:rsidRPr="00252D7B">
        <w:rPr>
          <w:rFonts w:asciiTheme="minorHAnsi" w:hAnsiTheme="minorHAnsi" w:cstheme="minorHAnsi"/>
          <w:sz w:val="24"/>
          <w:szCs w:val="24"/>
        </w:rPr>
        <w:t xml:space="preserve"> Chamamento Público de Estudos</w:t>
      </w:r>
    </w:p>
    <w:p w14:paraId="43ABAD64" w14:textId="77777777" w:rsidR="009D60E7" w:rsidRPr="00252D7B" w:rsidRDefault="009D60E7" w:rsidP="009D60E7">
      <w:pPr>
        <w:spacing w:before="120" w:after="120"/>
        <w:jc w:val="both"/>
        <w:rPr>
          <w:rFonts w:asciiTheme="minorHAnsi" w:hAnsiTheme="minorHAnsi" w:cstheme="minorHAnsi"/>
          <w:color w:val="000000"/>
          <w:sz w:val="24"/>
          <w:szCs w:val="24"/>
        </w:rPr>
      </w:pPr>
      <w:r w:rsidRPr="00252D7B">
        <w:rPr>
          <w:rFonts w:asciiTheme="minorHAnsi" w:hAnsiTheme="minorHAnsi" w:cstheme="minorHAnsi"/>
          <w:b/>
          <w:bCs/>
          <w:color w:val="000000"/>
          <w:sz w:val="24"/>
          <w:szCs w:val="24"/>
        </w:rPr>
        <w:t>CSN:</w:t>
      </w:r>
      <w:r w:rsidRPr="00252D7B">
        <w:rPr>
          <w:rFonts w:asciiTheme="minorHAnsi" w:hAnsiTheme="minorHAnsi" w:cstheme="minorHAnsi"/>
        </w:rPr>
        <w:t xml:space="preserve"> </w:t>
      </w:r>
      <w:r w:rsidRPr="00252D7B">
        <w:rPr>
          <w:rFonts w:asciiTheme="minorHAnsi" w:hAnsiTheme="minorHAnsi" w:cstheme="minorHAnsi"/>
          <w:color w:val="000000"/>
          <w:sz w:val="24"/>
          <w:szCs w:val="24"/>
        </w:rPr>
        <w:t>Companhia Siderúrgica Nacional</w:t>
      </w:r>
    </w:p>
    <w:p w14:paraId="2C27B876" w14:textId="77777777" w:rsidR="009D60E7" w:rsidRPr="00252D7B" w:rsidRDefault="009D60E7" w:rsidP="009D60E7">
      <w:pPr>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rPr>
        <w:t>CTO:</w:t>
      </w:r>
      <w:r w:rsidRPr="00252D7B">
        <w:rPr>
          <w:rFonts w:asciiTheme="minorHAnsi" w:hAnsiTheme="minorHAnsi" w:cstheme="minorHAnsi"/>
          <w:sz w:val="24"/>
          <w:szCs w:val="24"/>
        </w:rPr>
        <w:t xml:space="preserve"> Comitê Técnico de Ouvidorias das Entidades Vinculadas ao Ministério da Infraestrutura</w:t>
      </w:r>
    </w:p>
    <w:p w14:paraId="0ADC4643" w14:textId="77777777" w:rsidR="009D60E7" w:rsidRPr="00252D7B" w:rsidRDefault="009D60E7" w:rsidP="009D60E7">
      <w:pPr>
        <w:widowControl/>
        <w:autoSpaceDE/>
        <w:autoSpaceDN/>
        <w:spacing w:before="120" w:after="120"/>
        <w:jc w:val="both"/>
        <w:rPr>
          <w:rFonts w:asciiTheme="minorHAnsi" w:eastAsia="Times New Roman" w:hAnsiTheme="minorHAnsi" w:cstheme="minorHAnsi"/>
          <w:color w:val="000000"/>
          <w:sz w:val="24"/>
          <w:szCs w:val="24"/>
          <w:lang w:bidi="ar-SA"/>
        </w:rPr>
      </w:pPr>
      <w:r w:rsidRPr="00252D7B">
        <w:rPr>
          <w:rFonts w:asciiTheme="minorHAnsi" w:eastAsia="Times New Roman" w:hAnsiTheme="minorHAnsi" w:cstheme="minorHAnsi"/>
          <w:b/>
          <w:bCs/>
          <w:color w:val="000000"/>
          <w:sz w:val="24"/>
          <w:szCs w:val="24"/>
          <w:lang w:bidi="ar-SA"/>
        </w:rPr>
        <w:t>DAR:</w:t>
      </w:r>
      <w:r w:rsidRPr="00252D7B">
        <w:rPr>
          <w:rFonts w:asciiTheme="minorHAnsi" w:eastAsia="Times New Roman" w:hAnsiTheme="minorHAnsi" w:cstheme="minorHAnsi"/>
          <w:color w:val="000000"/>
          <w:sz w:val="24"/>
          <w:szCs w:val="24"/>
          <w:lang w:bidi="ar-SA"/>
        </w:rPr>
        <w:t xml:space="preserve"> Documento de Arrecadação</w:t>
      </w:r>
    </w:p>
    <w:p w14:paraId="3F801F14" w14:textId="77777777" w:rsidR="009D60E7" w:rsidRPr="00252D7B" w:rsidRDefault="009D60E7" w:rsidP="009D60E7">
      <w:pPr>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rPr>
        <w:t>DINEG:</w:t>
      </w:r>
      <w:r w:rsidRPr="00252D7B">
        <w:rPr>
          <w:rFonts w:asciiTheme="minorHAnsi" w:hAnsiTheme="minorHAnsi" w:cstheme="minorHAnsi"/>
          <w:sz w:val="24"/>
          <w:szCs w:val="24"/>
        </w:rPr>
        <w:t xml:space="preserve"> Diretoria de Negócios da Valec Engenharia, Construções e Ferrovias S.A.</w:t>
      </w:r>
    </w:p>
    <w:p w14:paraId="31351896" w14:textId="77777777" w:rsidR="009D60E7" w:rsidRPr="00252D7B" w:rsidRDefault="009D60E7" w:rsidP="009D60E7">
      <w:pPr>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rPr>
        <w:t>DIRAF:</w:t>
      </w:r>
      <w:r w:rsidRPr="00252D7B">
        <w:rPr>
          <w:rFonts w:asciiTheme="minorHAnsi" w:hAnsiTheme="minorHAnsi" w:cstheme="minorHAnsi"/>
          <w:sz w:val="24"/>
          <w:szCs w:val="24"/>
        </w:rPr>
        <w:t xml:space="preserve"> Diretoria de Administração e Finanças da Valec Engenharia, Construções e Ferrovias S.A.</w:t>
      </w:r>
    </w:p>
    <w:p w14:paraId="5CFCEF8F" w14:textId="77777777" w:rsidR="009D60E7" w:rsidRPr="00252D7B" w:rsidRDefault="009D60E7" w:rsidP="009D60E7">
      <w:pPr>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rPr>
        <w:t>DIREM:</w:t>
      </w:r>
      <w:r w:rsidRPr="00252D7B">
        <w:rPr>
          <w:rFonts w:asciiTheme="minorHAnsi" w:hAnsiTheme="minorHAnsi" w:cstheme="minorHAnsi"/>
          <w:sz w:val="24"/>
          <w:szCs w:val="24"/>
        </w:rPr>
        <w:t xml:space="preserve"> Diretoria de Empreendimentos da Valec Engenharia, Construções e Ferrovias S.A.</w:t>
      </w:r>
    </w:p>
    <w:p w14:paraId="6E7F1C36" w14:textId="77777777" w:rsidR="009D60E7" w:rsidRPr="00252D7B" w:rsidRDefault="009D60E7" w:rsidP="009D60E7">
      <w:pPr>
        <w:spacing w:before="120" w:after="120"/>
        <w:jc w:val="both"/>
        <w:rPr>
          <w:rFonts w:asciiTheme="minorHAnsi" w:hAnsiTheme="minorHAnsi" w:cstheme="minorHAnsi"/>
          <w:i/>
          <w:iCs/>
          <w:color w:val="000000"/>
          <w:sz w:val="24"/>
          <w:szCs w:val="24"/>
        </w:rPr>
      </w:pPr>
      <w:r w:rsidRPr="00252D7B">
        <w:rPr>
          <w:rFonts w:asciiTheme="minorHAnsi" w:hAnsiTheme="minorHAnsi" w:cstheme="minorHAnsi"/>
          <w:b/>
          <w:bCs/>
          <w:color w:val="000000"/>
          <w:sz w:val="24"/>
          <w:szCs w:val="24"/>
        </w:rPr>
        <w:t>DIREN:</w:t>
      </w:r>
      <w:r w:rsidRPr="00252D7B">
        <w:rPr>
          <w:rFonts w:asciiTheme="minorHAnsi" w:hAnsiTheme="minorHAnsi" w:cstheme="minorHAnsi"/>
          <w:sz w:val="24"/>
          <w:szCs w:val="24"/>
        </w:rPr>
        <w:t xml:space="preserve"> Diretoria de Engenharia da Valec Engenharia, Construções e Ferrovias S.A. </w:t>
      </w:r>
      <w:r w:rsidRPr="00252D7B">
        <w:rPr>
          <w:rFonts w:asciiTheme="minorHAnsi" w:hAnsiTheme="minorHAnsi" w:cstheme="minorHAnsi"/>
          <w:i/>
          <w:iCs/>
          <w:sz w:val="24"/>
          <w:szCs w:val="24"/>
        </w:rPr>
        <w:t>(vide DIREM)</w:t>
      </w:r>
    </w:p>
    <w:p w14:paraId="1D6A269A" w14:textId="77777777" w:rsidR="009D60E7" w:rsidRPr="00252D7B" w:rsidRDefault="009D60E7" w:rsidP="009D60E7">
      <w:pPr>
        <w:spacing w:before="120" w:after="120"/>
        <w:jc w:val="both"/>
        <w:rPr>
          <w:rFonts w:asciiTheme="minorHAnsi" w:hAnsiTheme="minorHAnsi" w:cstheme="minorHAnsi"/>
          <w:color w:val="000000"/>
          <w:sz w:val="24"/>
          <w:szCs w:val="24"/>
        </w:rPr>
      </w:pPr>
      <w:r w:rsidRPr="00252D7B">
        <w:rPr>
          <w:rFonts w:asciiTheme="minorHAnsi" w:hAnsiTheme="minorHAnsi" w:cstheme="minorHAnsi"/>
          <w:b/>
          <w:bCs/>
          <w:color w:val="000000"/>
          <w:sz w:val="24"/>
          <w:szCs w:val="24"/>
        </w:rPr>
        <w:t>DIREX</w:t>
      </w:r>
      <w:r w:rsidRPr="00252D7B">
        <w:rPr>
          <w:rFonts w:asciiTheme="minorHAnsi" w:hAnsiTheme="minorHAnsi" w:cstheme="minorHAnsi"/>
          <w:b/>
          <w:bCs/>
          <w:sz w:val="24"/>
          <w:szCs w:val="24"/>
        </w:rPr>
        <w:t>:</w:t>
      </w:r>
      <w:r w:rsidRPr="00252D7B">
        <w:rPr>
          <w:rFonts w:asciiTheme="minorHAnsi" w:hAnsiTheme="minorHAnsi" w:cstheme="minorHAnsi"/>
          <w:sz w:val="24"/>
          <w:szCs w:val="24"/>
        </w:rPr>
        <w:t xml:space="preserve"> Diretoria Executiva da Valec Engenharia, Construções e Ferrovias S.A.</w:t>
      </w:r>
    </w:p>
    <w:p w14:paraId="0C57937A" w14:textId="77777777" w:rsidR="009D60E7" w:rsidRPr="00252D7B" w:rsidRDefault="009D60E7" w:rsidP="009D60E7">
      <w:pPr>
        <w:spacing w:before="120" w:after="120"/>
        <w:jc w:val="both"/>
        <w:rPr>
          <w:rFonts w:asciiTheme="minorHAnsi" w:hAnsiTheme="minorHAnsi" w:cstheme="minorHAnsi"/>
          <w:color w:val="202124"/>
          <w:sz w:val="24"/>
          <w:szCs w:val="24"/>
        </w:rPr>
      </w:pPr>
      <w:r w:rsidRPr="00252D7B">
        <w:rPr>
          <w:rFonts w:asciiTheme="minorHAnsi" w:hAnsiTheme="minorHAnsi" w:cstheme="minorHAnsi"/>
          <w:b/>
          <w:bCs/>
          <w:sz w:val="24"/>
          <w:szCs w:val="24"/>
          <w:lang w:eastAsia="pt-BR"/>
        </w:rPr>
        <w:t>DLP:</w:t>
      </w:r>
      <w:r w:rsidRPr="00252D7B">
        <w:rPr>
          <w:rFonts w:asciiTheme="minorHAnsi" w:hAnsiTheme="minorHAnsi" w:cstheme="minorHAnsi"/>
          <w:sz w:val="24"/>
          <w:szCs w:val="24"/>
          <w:lang w:eastAsia="pt-BR"/>
        </w:rPr>
        <w:t xml:space="preserve"> </w:t>
      </w:r>
      <w:r w:rsidRPr="00252D7B">
        <w:rPr>
          <w:rFonts w:asciiTheme="minorHAnsi" w:hAnsiTheme="minorHAnsi" w:cstheme="minorHAnsi"/>
          <w:i/>
          <w:iCs/>
          <w:sz w:val="24"/>
          <w:szCs w:val="24"/>
          <w:lang w:eastAsia="pt-BR"/>
        </w:rPr>
        <w:t>Data Loss Prevention</w:t>
      </w:r>
      <w:r w:rsidRPr="00252D7B">
        <w:rPr>
          <w:rFonts w:asciiTheme="minorHAnsi" w:hAnsiTheme="minorHAnsi" w:cstheme="minorHAnsi"/>
          <w:sz w:val="24"/>
          <w:szCs w:val="24"/>
          <w:lang w:eastAsia="pt-BR"/>
        </w:rPr>
        <w:t xml:space="preserve"> (Prevenção de Perda de Dados)</w:t>
      </w:r>
    </w:p>
    <w:p w14:paraId="16C16546" w14:textId="77777777" w:rsidR="009D60E7" w:rsidRPr="00252D7B" w:rsidRDefault="009D60E7" w:rsidP="009D60E7">
      <w:pPr>
        <w:spacing w:before="120" w:after="120"/>
        <w:jc w:val="both"/>
        <w:rPr>
          <w:rFonts w:asciiTheme="minorHAnsi" w:eastAsia="Times New Roman" w:hAnsiTheme="minorHAnsi" w:cstheme="minorHAnsi"/>
          <w:sz w:val="24"/>
          <w:szCs w:val="24"/>
        </w:rPr>
      </w:pPr>
      <w:r w:rsidRPr="00252D7B">
        <w:rPr>
          <w:rFonts w:asciiTheme="minorHAnsi" w:hAnsiTheme="minorHAnsi" w:cstheme="minorHAnsi"/>
          <w:b/>
          <w:bCs/>
          <w:sz w:val="24"/>
          <w:szCs w:val="24"/>
        </w:rPr>
        <w:t>DOU:</w:t>
      </w:r>
      <w:r w:rsidRPr="00252D7B">
        <w:rPr>
          <w:rFonts w:asciiTheme="minorHAnsi" w:hAnsiTheme="minorHAnsi" w:cstheme="minorHAnsi"/>
          <w:sz w:val="24"/>
          <w:szCs w:val="24"/>
        </w:rPr>
        <w:t xml:space="preserve"> Diário Oficial da União</w:t>
      </w:r>
    </w:p>
    <w:p w14:paraId="1456D984" w14:textId="77777777" w:rsidR="009D60E7" w:rsidRPr="00252D7B" w:rsidRDefault="009D60E7" w:rsidP="009D60E7">
      <w:pPr>
        <w:widowControl/>
        <w:autoSpaceDE/>
        <w:autoSpaceDN/>
        <w:spacing w:before="120" w:after="120"/>
        <w:jc w:val="both"/>
        <w:rPr>
          <w:rFonts w:asciiTheme="minorHAnsi" w:eastAsia="Times New Roman" w:hAnsiTheme="minorHAnsi" w:cstheme="minorHAnsi"/>
          <w:color w:val="000000"/>
          <w:sz w:val="24"/>
          <w:szCs w:val="24"/>
          <w:lang w:bidi="ar-SA"/>
        </w:rPr>
      </w:pPr>
      <w:r w:rsidRPr="00252D7B">
        <w:rPr>
          <w:rFonts w:asciiTheme="minorHAnsi" w:eastAsia="Times New Roman" w:hAnsiTheme="minorHAnsi" w:cstheme="minorHAnsi"/>
          <w:b/>
          <w:bCs/>
          <w:color w:val="000000"/>
          <w:sz w:val="24"/>
          <w:szCs w:val="24"/>
          <w:lang w:bidi="ar-SA"/>
        </w:rPr>
        <w:t>DRE:</w:t>
      </w:r>
      <w:r w:rsidRPr="00252D7B">
        <w:rPr>
          <w:rFonts w:asciiTheme="minorHAnsi" w:eastAsia="Times New Roman" w:hAnsiTheme="minorHAnsi" w:cstheme="minorHAnsi"/>
          <w:color w:val="000000"/>
          <w:sz w:val="24"/>
          <w:szCs w:val="24"/>
          <w:lang w:bidi="ar-SA"/>
        </w:rPr>
        <w:t xml:space="preserve"> Demonstração de Resultado de Exercício</w:t>
      </w:r>
    </w:p>
    <w:p w14:paraId="62E36170" w14:textId="77777777" w:rsidR="009D60E7" w:rsidRPr="00252D7B" w:rsidRDefault="009D60E7" w:rsidP="009D60E7">
      <w:pPr>
        <w:spacing w:before="120" w:after="120"/>
        <w:jc w:val="both"/>
        <w:rPr>
          <w:rFonts w:asciiTheme="minorHAnsi" w:hAnsiTheme="minorHAnsi" w:cstheme="minorHAnsi"/>
          <w:color w:val="000000"/>
          <w:sz w:val="24"/>
          <w:szCs w:val="24"/>
        </w:rPr>
      </w:pPr>
      <w:r w:rsidRPr="00252D7B">
        <w:rPr>
          <w:rFonts w:asciiTheme="minorHAnsi" w:hAnsiTheme="minorHAnsi" w:cstheme="minorHAnsi"/>
          <w:b/>
          <w:bCs/>
          <w:color w:val="000000"/>
          <w:sz w:val="24"/>
          <w:szCs w:val="24"/>
        </w:rPr>
        <w:t xml:space="preserve">DT-e: </w:t>
      </w:r>
      <w:r w:rsidRPr="00252D7B">
        <w:rPr>
          <w:rFonts w:asciiTheme="minorHAnsi" w:hAnsiTheme="minorHAnsi" w:cstheme="minorHAnsi"/>
          <w:color w:val="000000"/>
          <w:sz w:val="24"/>
          <w:szCs w:val="24"/>
        </w:rPr>
        <w:t xml:space="preserve">Documento Eletrônico de Transporte </w:t>
      </w:r>
    </w:p>
    <w:p w14:paraId="481DE047" w14:textId="77777777" w:rsidR="009D60E7" w:rsidRPr="00252D7B" w:rsidRDefault="009D60E7" w:rsidP="009D60E7">
      <w:pPr>
        <w:spacing w:before="120" w:after="120"/>
        <w:jc w:val="both"/>
        <w:rPr>
          <w:rFonts w:asciiTheme="minorHAnsi" w:hAnsiTheme="minorHAnsi" w:cstheme="minorHAnsi"/>
          <w:color w:val="000000" w:themeColor="text1"/>
          <w:sz w:val="24"/>
          <w:szCs w:val="24"/>
        </w:rPr>
      </w:pPr>
      <w:r w:rsidRPr="00252D7B">
        <w:rPr>
          <w:rFonts w:asciiTheme="minorHAnsi" w:hAnsiTheme="minorHAnsi" w:cstheme="minorHAnsi"/>
          <w:b/>
          <w:bCs/>
          <w:color w:val="000000" w:themeColor="text1"/>
          <w:sz w:val="24"/>
          <w:szCs w:val="24"/>
        </w:rPr>
        <w:t>EFVM:</w:t>
      </w:r>
      <w:r w:rsidRPr="00252D7B">
        <w:rPr>
          <w:rFonts w:asciiTheme="minorHAnsi" w:hAnsiTheme="minorHAnsi" w:cstheme="minorHAnsi"/>
          <w:color w:val="000000" w:themeColor="text1"/>
          <w:sz w:val="24"/>
          <w:szCs w:val="24"/>
        </w:rPr>
        <w:t xml:space="preserve"> Estrada de Ferrovia Vitória a Minas</w:t>
      </w:r>
    </w:p>
    <w:p w14:paraId="3D31CE6C" w14:textId="77777777" w:rsidR="009D60E7" w:rsidRPr="00252D7B" w:rsidRDefault="009D60E7" w:rsidP="009D60E7">
      <w:pPr>
        <w:spacing w:before="120" w:after="120"/>
        <w:jc w:val="both"/>
        <w:rPr>
          <w:rFonts w:asciiTheme="minorHAnsi" w:hAnsiTheme="minorHAnsi" w:cstheme="minorHAnsi"/>
          <w:sz w:val="24"/>
          <w:szCs w:val="24"/>
          <w:lang w:eastAsia="pt-BR"/>
        </w:rPr>
      </w:pPr>
      <w:r w:rsidRPr="00252D7B">
        <w:rPr>
          <w:rFonts w:asciiTheme="minorHAnsi" w:hAnsiTheme="minorHAnsi" w:cstheme="minorHAnsi"/>
          <w:b/>
          <w:bCs/>
          <w:sz w:val="24"/>
          <w:szCs w:val="24"/>
          <w:lang w:eastAsia="pt-BR"/>
        </w:rPr>
        <w:t>EGD:</w:t>
      </w:r>
      <w:r w:rsidRPr="00252D7B">
        <w:rPr>
          <w:rFonts w:asciiTheme="minorHAnsi" w:hAnsiTheme="minorHAnsi" w:cstheme="minorHAnsi"/>
          <w:sz w:val="24"/>
          <w:szCs w:val="24"/>
          <w:lang w:eastAsia="pt-BR"/>
        </w:rPr>
        <w:t xml:space="preserve"> Estratégia de Governança Digital do Governo Federal</w:t>
      </w:r>
    </w:p>
    <w:p w14:paraId="3AC8DBC7" w14:textId="77777777" w:rsidR="009D60E7" w:rsidRPr="00252D7B" w:rsidRDefault="009D60E7" w:rsidP="009D60E7">
      <w:pPr>
        <w:spacing w:before="120" w:after="120"/>
        <w:jc w:val="both"/>
        <w:rPr>
          <w:rFonts w:asciiTheme="minorHAnsi" w:hAnsiTheme="minorHAnsi" w:cstheme="minorHAnsi"/>
          <w:sz w:val="24"/>
          <w:szCs w:val="24"/>
          <w:lang w:eastAsia="pt-BR"/>
        </w:rPr>
      </w:pPr>
      <w:r w:rsidRPr="00252D7B">
        <w:rPr>
          <w:rFonts w:asciiTheme="minorHAnsi" w:hAnsiTheme="minorHAnsi" w:cstheme="minorHAnsi"/>
          <w:b/>
          <w:bCs/>
          <w:sz w:val="24"/>
          <w:szCs w:val="24"/>
          <w:lang w:eastAsia="pt-BR"/>
        </w:rPr>
        <w:t>EPL:</w:t>
      </w:r>
      <w:r w:rsidRPr="00252D7B">
        <w:rPr>
          <w:rFonts w:asciiTheme="minorHAnsi" w:hAnsiTheme="minorHAnsi" w:cstheme="minorHAnsi"/>
        </w:rPr>
        <w:t xml:space="preserve"> </w:t>
      </w:r>
      <w:r w:rsidRPr="00252D7B">
        <w:rPr>
          <w:rFonts w:asciiTheme="minorHAnsi" w:hAnsiTheme="minorHAnsi" w:cstheme="minorHAnsi"/>
          <w:sz w:val="24"/>
          <w:szCs w:val="24"/>
          <w:lang w:eastAsia="pt-BR"/>
        </w:rPr>
        <w:t>Empresa de Planejamento e Logística S.A.</w:t>
      </w:r>
    </w:p>
    <w:p w14:paraId="46A43344" w14:textId="77777777" w:rsidR="009D60E7" w:rsidRPr="00252D7B" w:rsidRDefault="009D60E7" w:rsidP="009D60E7">
      <w:pPr>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rPr>
        <w:t>ESG:</w:t>
      </w:r>
      <w:r w:rsidRPr="00252D7B">
        <w:rPr>
          <w:rFonts w:asciiTheme="minorHAnsi" w:hAnsiTheme="minorHAnsi" w:cstheme="minorHAnsi"/>
        </w:rPr>
        <w:t xml:space="preserve"> </w:t>
      </w:r>
      <w:r w:rsidRPr="00252D7B">
        <w:rPr>
          <w:rFonts w:asciiTheme="minorHAnsi" w:hAnsiTheme="minorHAnsi" w:cstheme="minorHAnsi"/>
          <w:i/>
          <w:iCs/>
          <w:sz w:val="24"/>
          <w:szCs w:val="24"/>
        </w:rPr>
        <w:t>Environmental, Social and Governance</w:t>
      </w:r>
      <w:r w:rsidRPr="00252D7B">
        <w:rPr>
          <w:rFonts w:asciiTheme="minorHAnsi" w:hAnsiTheme="minorHAnsi" w:cstheme="minorHAnsi"/>
          <w:sz w:val="24"/>
          <w:szCs w:val="24"/>
        </w:rPr>
        <w:t xml:space="preserve"> (Ambiental, Social e Governança)</w:t>
      </w:r>
    </w:p>
    <w:p w14:paraId="244F869B" w14:textId="6932299A" w:rsidR="009D60E7" w:rsidRPr="00252D7B" w:rsidRDefault="009D60E7" w:rsidP="009D60E7">
      <w:pPr>
        <w:spacing w:before="120" w:after="120"/>
        <w:jc w:val="both"/>
        <w:rPr>
          <w:rFonts w:asciiTheme="minorHAnsi" w:hAnsiTheme="minorHAnsi" w:cstheme="minorHAnsi"/>
          <w:color w:val="000000"/>
          <w:sz w:val="24"/>
          <w:szCs w:val="24"/>
        </w:rPr>
      </w:pPr>
      <w:r w:rsidRPr="00252D7B">
        <w:rPr>
          <w:rFonts w:asciiTheme="minorHAnsi" w:hAnsiTheme="minorHAnsi" w:cstheme="minorHAnsi"/>
          <w:b/>
          <w:bCs/>
          <w:color w:val="000000"/>
          <w:sz w:val="24"/>
          <w:szCs w:val="24"/>
        </w:rPr>
        <w:t>EVTEA:</w:t>
      </w:r>
      <w:r w:rsidRPr="00252D7B">
        <w:rPr>
          <w:rFonts w:asciiTheme="minorHAnsi" w:hAnsiTheme="minorHAnsi" w:cstheme="minorHAnsi"/>
        </w:rPr>
        <w:t xml:space="preserve"> </w:t>
      </w:r>
      <w:r w:rsidRPr="00252D7B">
        <w:rPr>
          <w:rFonts w:asciiTheme="minorHAnsi" w:hAnsiTheme="minorHAnsi" w:cstheme="minorHAnsi"/>
          <w:color w:val="000000"/>
          <w:sz w:val="24"/>
          <w:szCs w:val="24"/>
        </w:rPr>
        <w:t>Estudo de Viabilidade Técnica, Econômica e Ambiental</w:t>
      </w:r>
    </w:p>
    <w:p w14:paraId="4472D5A2" w14:textId="57AD95D9" w:rsidR="00AB0408" w:rsidRPr="00252D7B" w:rsidRDefault="00AB0408" w:rsidP="009D60E7">
      <w:pPr>
        <w:spacing w:before="120" w:after="120"/>
        <w:jc w:val="both"/>
        <w:rPr>
          <w:rFonts w:asciiTheme="minorHAnsi" w:hAnsiTheme="minorHAnsi" w:cstheme="minorHAnsi"/>
          <w:sz w:val="24"/>
          <w:szCs w:val="24"/>
        </w:rPr>
      </w:pPr>
      <w:r w:rsidRPr="00252D7B">
        <w:rPr>
          <w:rFonts w:asciiTheme="minorHAnsi" w:hAnsiTheme="minorHAnsi" w:cstheme="minorHAnsi"/>
          <w:b/>
          <w:bCs/>
          <w:color w:val="000000"/>
          <w:sz w:val="24"/>
          <w:szCs w:val="24"/>
        </w:rPr>
        <w:t>FAP</w:t>
      </w:r>
      <w:r w:rsidRPr="00252D7B">
        <w:rPr>
          <w:rFonts w:asciiTheme="minorHAnsi" w:hAnsiTheme="minorHAnsi" w:cstheme="minorHAnsi"/>
          <w:color w:val="000000"/>
          <w:sz w:val="24"/>
          <w:szCs w:val="24"/>
        </w:rPr>
        <w:t xml:space="preserve">: </w:t>
      </w:r>
      <w:r w:rsidR="00E54393" w:rsidRPr="00252D7B">
        <w:rPr>
          <w:rFonts w:asciiTheme="minorHAnsi" w:hAnsiTheme="minorHAnsi" w:cstheme="minorHAnsi"/>
          <w:color w:val="000000"/>
          <w:sz w:val="24"/>
          <w:szCs w:val="24"/>
        </w:rPr>
        <w:t>Fator Acidentário de Prevenção</w:t>
      </w:r>
    </w:p>
    <w:p w14:paraId="19EBA60D" w14:textId="77777777" w:rsidR="009D60E7" w:rsidRPr="00252D7B" w:rsidRDefault="009D60E7" w:rsidP="009D60E7">
      <w:pPr>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rPr>
        <w:t>FEPASA:</w:t>
      </w:r>
      <w:r w:rsidRPr="00252D7B">
        <w:rPr>
          <w:rFonts w:asciiTheme="minorHAnsi" w:hAnsiTheme="minorHAnsi" w:cstheme="minorHAnsi"/>
        </w:rPr>
        <w:t xml:space="preserve"> </w:t>
      </w:r>
      <w:r w:rsidRPr="00252D7B">
        <w:rPr>
          <w:rFonts w:asciiTheme="minorHAnsi" w:hAnsiTheme="minorHAnsi" w:cstheme="minorHAnsi"/>
          <w:sz w:val="24"/>
          <w:szCs w:val="24"/>
        </w:rPr>
        <w:t>Ferrovia Paulista S/A</w:t>
      </w:r>
    </w:p>
    <w:p w14:paraId="004E0DFA" w14:textId="77777777" w:rsidR="009D60E7" w:rsidRPr="00252D7B" w:rsidRDefault="009D60E7" w:rsidP="009D60E7">
      <w:pPr>
        <w:spacing w:before="120" w:after="120"/>
        <w:jc w:val="both"/>
        <w:rPr>
          <w:rFonts w:asciiTheme="minorHAnsi" w:hAnsiTheme="minorHAnsi" w:cstheme="minorHAnsi"/>
          <w:sz w:val="24"/>
          <w:szCs w:val="24"/>
        </w:rPr>
      </w:pPr>
      <w:r w:rsidRPr="00252D7B">
        <w:rPr>
          <w:rStyle w:val="fontstyle01"/>
          <w:rFonts w:asciiTheme="minorHAnsi" w:hAnsiTheme="minorHAnsi" w:cstheme="minorHAnsi"/>
          <w:b/>
          <w:bCs/>
          <w:sz w:val="24"/>
          <w:szCs w:val="24"/>
        </w:rPr>
        <w:t>Ferroeste:</w:t>
      </w:r>
      <w:r w:rsidRPr="00252D7B">
        <w:rPr>
          <w:rStyle w:val="fontstyle01"/>
          <w:rFonts w:asciiTheme="minorHAnsi" w:hAnsiTheme="minorHAnsi" w:cstheme="minorHAnsi"/>
          <w:sz w:val="24"/>
          <w:szCs w:val="24"/>
        </w:rPr>
        <w:t xml:space="preserve"> Estrada de Ferro Paraná Oeste S.A</w:t>
      </w:r>
    </w:p>
    <w:p w14:paraId="4D7AEDB6" w14:textId="77777777" w:rsidR="009D60E7" w:rsidRPr="00252D7B" w:rsidRDefault="009D60E7" w:rsidP="009D60E7">
      <w:pPr>
        <w:spacing w:before="120" w:after="120"/>
        <w:rPr>
          <w:rStyle w:val="normaltextrun"/>
          <w:rFonts w:asciiTheme="minorHAnsi" w:hAnsiTheme="minorHAnsi" w:cstheme="minorHAnsi"/>
          <w:color w:val="000000"/>
          <w:sz w:val="24"/>
          <w:szCs w:val="24"/>
        </w:rPr>
      </w:pPr>
      <w:r w:rsidRPr="00252D7B">
        <w:rPr>
          <w:rStyle w:val="normaltextrun"/>
          <w:rFonts w:asciiTheme="minorHAnsi" w:hAnsiTheme="minorHAnsi" w:cstheme="minorHAnsi"/>
          <w:b/>
          <w:bCs/>
          <w:color w:val="000000"/>
          <w:sz w:val="24"/>
          <w:szCs w:val="24"/>
        </w:rPr>
        <w:t>FICO:</w:t>
      </w:r>
      <w:r w:rsidRPr="00252D7B">
        <w:rPr>
          <w:rStyle w:val="normaltextrun"/>
          <w:rFonts w:asciiTheme="minorHAnsi" w:hAnsiTheme="minorHAnsi" w:cstheme="minorHAnsi"/>
          <w:color w:val="000000"/>
          <w:sz w:val="24"/>
          <w:szCs w:val="24"/>
        </w:rPr>
        <w:t xml:space="preserve"> Ferrovia de Integração Centro-Oeste</w:t>
      </w:r>
    </w:p>
    <w:p w14:paraId="7FFE3A4E" w14:textId="77777777" w:rsidR="009D60E7" w:rsidRPr="00252D7B" w:rsidRDefault="009D60E7" w:rsidP="009D60E7">
      <w:pPr>
        <w:spacing w:before="120" w:after="120"/>
        <w:rPr>
          <w:rStyle w:val="normaltextrun"/>
          <w:rFonts w:asciiTheme="minorHAnsi" w:hAnsiTheme="minorHAnsi" w:cstheme="minorHAnsi"/>
          <w:color w:val="000000"/>
          <w:sz w:val="24"/>
          <w:szCs w:val="24"/>
        </w:rPr>
      </w:pPr>
      <w:r w:rsidRPr="00252D7B">
        <w:rPr>
          <w:rStyle w:val="normaltextrun"/>
          <w:rFonts w:asciiTheme="minorHAnsi" w:hAnsiTheme="minorHAnsi" w:cstheme="minorHAnsi"/>
          <w:b/>
          <w:bCs/>
          <w:color w:val="000000"/>
          <w:sz w:val="24"/>
          <w:szCs w:val="24"/>
        </w:rPr>
        <w:t>FIOL:</w:t>
      </w:r>
      <w:r w:rsidRPr="00252D7B">
        <w:rPr>
          <w:rStyle w:val="normaltextrun"/>
          <w:rFonts w:asciiTheme="minorHAnsi" w:hAnsiTheme="minorHAnsi" w:cstheme="minorHAnsi"/>
          <w:color w:val="000000"/>
          <w:sz w:val="24"/>
          <w:szCs w:val="24"/>
        </w:rPr>
        <w:t xml:space="preserve"> Ferrovia de Integração Oeste-Leste</w:t>
      </w:r>
    </w:p>
    <w:p w14:paraId="570FACBC" w14:textId="77777777" w:rsidR="009D60E7" w:rsidRPr="00252D7B" w:rsidRDefault="009D60E7" w:rsidP="009D60E7">
      <w:pPr>
        <w:spacing w:before="120" w:after="120"/>
        <w:rPr>
          <w:rStyle w:val="normaltextrun"/>
          <w:rFonts w:asciiTheme="minorHAnsi" w:hAnsiTheme="minorHAnsi" w:cstheme="minorHAnsi"/>
          <w:color w:val="000000"/>
          <w:sz w:val="24"/>
          <w:szCs w:val="24"/>
        </w:rPr>
      </w:pPr>
      <w:r w:rsidRPr="00252D7B">
        <w:rPr>
          <w:rStyle w:val="normaltextrun"/>
          <w:rFonts w:asciiTheme="minorHAnsi" w:hAnsiTheme="minorHAnsi" w:cstheme="minorHAnsi"/>
          <w:b/>
          <w:bCs/>
          <w:color w:val="000000"/>
          <w:sz w:val="24"/>
          <w:szCs w:val="24"/>
        </w:rPr>
        <w:t>FNS:</w:t>
      </w:r>
      <w:r w:rsidRPr="00252D7B">
        <w:rPr>
          <w:rStyle w:val="normaltextrun"/>
          <w:rFonts w:asciiTheme="minorHAnsi" w:hAnsiTheme="minorHAnsi" w:cstheme="minorHAnsi"/>
          <w:color w:val="000000"/>
          <w:sz w:val="24"/>
          <w:szCs w:val="24"/>
        </w:rPr>
        <w:t xml:space="preserve"> Ferrovia Norte-Sul</w:t>
      </w:r>
    </w:p>
    <w:p w14:paraId="0F627F71" w14:textId="77777777" w:rsidR="009D60E7" w:rsidRPr="00252D7B" w:rsidRDefault="009D60E7" w:rsidP="009D60E7">
      <w:pPr>
        <w:spacing w:before="120" w:after="120"/>
        <w:jc w:val="both"/>
        <w:rPr>
          <w:rFonts w:asciiTheme="minorHAnsi" w:hAnsiTheme="minorHAnsi" w:cstheme="minorHAnsi"/>
          <w:sz w:val="24"/>
          <w:szCs w:val="24"/>
          <w:lang w:eastAsia="pt-BR"/>
        </w:rPr>
      </w:pPr>
      <w:r w:rsidRPr="00252D7B">
        <w:rPr>
          <w:rFonts w:asciiTheme="minorHAnsi" w:hAnsiTheme="minorHAnsi" w:cstheme="minorHAnsi"/>
          <w:b/>
          <w:bCs/>
          <w:sz w:val="24"/>
          <w:szCs w:val="24"/>
          <w:lang w:eastAsia="pt-BR"/>
        </w:rPr>
        <w:t>GAB</w:t>
      </w:r>
      <w:r w:rsidRPr="00252D7B">
        <w:rPr>
          <w:rFonts w:asciiTheme="minorHAnsi" w:hAnsiTheme="minorHAnsi" w:cstheme="minorHAnsi"/>
          <w:b/>
          <w:bCs/>
          <w:sz w:val="24"/>
          <w:szCs w:val="24"/>
        </w:rPr>
        <w:t>:</w:t>
      </w:r>
      <w:r w:rsidRPr="00252D7B">
        <w:rPr>
          <w:rFonts w:asciiTheme="minorHAnsi" w:hAnsiTheme="minorHAnsi" w:cstheme="minorHAnsi"/>
          <w:sz w:val="24"/>
          <w:szCs w:val="24"/>
        </w:rPr>
        <w:t xml:space="preserve"> Gabinete da Presidência da Valec Engenharia, Construções e Ferrovias S.A.</w:t>
      </w:r>
    </w:p>
    <w:p w14:paraId="50BFCF0B" w14:textId="77777777" w:rsidR="009D60E7" w:rsidRPr="00252D7B" w:rsidRDefault="009D60E7" w:rsidP="009D60E7">
      <w:pPr>
        <w:spacing w:before="120" w:after="120"/>
        <w:jc w:val="both"/>
        <w:rPr>
          <w:rFonts w:asciiTheme="minorHAnsi" w:hAnsiTheme="minorHAnsi" w:cstheme="minorHAnsi"/>
          <w:sz w:val="24"/>
          <w:szCs w:val="24"/>
          <w:lang w:eastAsia="pt-BR"/>
        </w:rPr>
      </w:pPr>
      <w:r w:rsidRPr="00252D7B">
        <w:rPr>
          <w:rFonts w:asciiTheme="minorHAnsi" w:hAnsiTheme="minorHAnsi" w:cstheme="minorHAnsi"/>
          <w:b/>
          <w:bCs/>
          <w:sz w:val="24"/>
          <w:szCs w:val="24"/>
          <w:lang w:eastAsia="pt-BR"/>
        </w:rPr>
        <w:t>GCN:</w:t>
      </w:r>
      <w:r w:rsidRPr="00252D7B">
        <w:rPr>
          <w:rFonts w:asciiTheme="minorHAnsi" w:hAnsiTheme="minorHAnsi" w:cstheme="minorHAnsi"/>
          <w:sz w:val="24"/>
          <w:szCs w:val="24"/>
        </w:rPr>
        <w:t xml:space="preserve"> Gestão da Continuidade do Negócio</w:t>
      </w:r>
    </w:p>
    <w:p w14:paraId="506FF50A" w14:textId="77777777" w:rsidR="0020537D" w:rsidRPr="00252D7B" w:rsidRDefault="0020537D" w:rsidP="0020537D">
      <w:pPr>
        <w:spacing w:before="120" w:after="120"/>
        <w:jc w:val="both"/>
        <w:rPr>
          <w:rFonts w:asciiTheme="minorHAnsi" w:hAnsiTheme="minorHAnsi" w:cstheme="minorHAnsi"/>
          <w:sz w:val="24"/>
          <w:szCs w:val="24"/>
        </w:rPr>
      </w:pPr>
      <w:r w:rsidRPr="00213C9C">
        <w:rPr>
          <w:rFonts w:asciiTheme="minorHAnsi" w:hAnsiTheme="minorHAnsi" w:cstheme="minorHAnsi"/>
          <w:b/>
          <w:bCs/>
          <w:sz w:val="24"/>
          <w:szCs w:val="24"/>
        </w:rPr>
        <w:t>GECONT</w:t>
      </w:r>
      <w:r>
        <w:rPr>
          <w:rFonts w:asciiTheme="minorHAnsi" w:hAnsiTheme="minorHAnsi" w:cstheme="minorHAnsi"/>
          <w:b/>
          <w:bCs/>
          <w:sz w:val="24"/>
          <w:szCs w:val="24"/>
        </w:rPr>
        <w:t>:</w:t>
      </w:r>
      <w:r w:rsidRPr="00213C9C">
        <w:rPr>
          <w:rFonts w:asciiTheme="minorHAnsi" w:hAnsiTheme="minorHAnsi" w:cstheme="minorHAnsi"/>
          <w:sz w:val="24"/>
          <w:szCs w:val="24"/>
        </w:rPr>
        <w:t xml:space="preserve"> Gerência Tributária e Contábil </w:t>
      </w:r>
      <w:r w:rsidRPr="00252D7B">
        <w:rPr>
          <w:rFonts w:asciiTheme="minorHAnsi" w:hAnsiTheme="minorHAnsi" w:cstheme="minorHAnsi"/>
          <w:sz w:val="24"/>
          <w:szCs w:val="24"/>
        </w:rPr>
        <w:t xml:space="preserve">da Valec Engenharia, Construções e Ferrovias </w:t>
      </w:r>
      <w:r w:rsidRPr="00252D7B">
        <w:rPr>
          <w:rFonts w:asciiTheme="minorHAnsi" w:hAnsiTheme="minorHAnsi" w:cstheme="minorHAnsi"/>
          <w:sz w:val="24"/>
          <w:szCs w:val="24"/>
        </w:rPr>
        <w:lastRenderedPageBreak/>
        <w:t>S.A.</w:t>
      </w:r>
    </w:p>
    <w:p w14:paraId="6976AD4A" w14:textId="77777777" w:rsidR="009D60E7" w:rsidRPr="00252D7B" w:rsidRDefault="009D60E7" w:rsidP="009D60E7">
      <w:pPr>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rPr>
        <w:t>GEDIN:</w:t>
      </w:r>
      <w:r w:rsidRPr="00252D7B">
        <w:rPr>
          <w:rFonts w:asciiTheme="minorHAnsi" w:hAnsiTheme="minorHAnsi" w:cstheme="minorHAnsi"/>
          <w:sz w:val="24"/>
          <w:szCs w:val="24"/>
        </w:rPr>
        <w:t xml:space="preserve"> Gerência de Desenvolvimento Institucional da Valec Engenharia, Construções e Ferrovias S.A.</w:t>
      </w:r>
    </w:p>
    <w:p w14:paraId="08E2D6FD" w14:textId="77777777" w:rsidR="009D60E7" w:rsidRPr="00252D7B" w:rsidRDefault="009D60E7" w:rsidP="009D60E7">
      <w:pPr>
        <w:spacing w:before="120" w:after="120"/>
        <w:jc w:val="both"/>
        <w:rPr>
          <w:rFonts w:asciiTheme="minorHAnsi" w:hAnsiTheme="minorHAnsi" w:cstheme="minorHAnsi"/>
          <w:color w:val="000000"/>
          <w:sz w:val="24"/>
          <w:szCs w:val="24"/>
        </w:rPr>
      </w:pPr>
      <w:r w:rsidRPr="00252D7B">
        <w:rPr>
          <w:rFonts w:asciiTheme="minorHAnsi" w:hAnsiTheme="minorHAnsi" w:cstheme="minorHAnsi"/>
          <w:b/>
          <w:bCs/>
          <w:color w:val="000000"/>
          <w:sz w:val="24"/>
          <w:szCs w:val="24"/>
        </w:rPr>
        <w:t>GEINT:</w:t>
      </w:r>
      <w:r w:rsidRPr="00252D7B">
        <w:rPr>
          <w:rFonts w:asciiTheme="minorHAnsi" w:hAnsiTheme="minorHAnsi" w:cstheme="minorHAnsi"/>
          <w:color w:val="000000"/>
          <w:sz w:val="24"/>
          <w:szCs w:val="24"/>
        </w:rPr>
        <w:t xml:space="preserve"> Gerências de Integridade</w:t>
      </w:r>
      <w:r w:rsidRPr="00252D7B">
        <w:rPr>
          <w:rFonts w:asciiTheme="minorHAnsi" w:hAnsiTheme="minorHAnsi" w:cstheme="minorHAnsi"/>
          <w:sz w:val="24"/>
          <w:szCs w:val="24"/>
        </w:rPr>
        <w:t xml:space="preserve"> da Valec Engenharia, Construções e Ferrovias S.A.</w:t>
      </w:r>
    </w:p>
    <w:p w14:paraId="015E58FE" w14:textId="77777777" w:rsidR="009D60E7" w:rsidRPr="00252D7B" w:rsidRDefault="009D60E7" w:rsidP="009D60E7">
      <w:pPr>
        <w:spacing w:before="120" w:after="120"/>
        <w:jc w:val="both"/>
        <w:rPr>
          <w:rFonts w:asciiTheme="minorHAnsi" w:hAnsiTheme="minorHAnsi" w:cstheme="minorHAnsi"/>
          <w:sz w:val="24"/>
          <w:szCs w:val="24"/>
          <w:lang w:eastAsia="pt-BR"/>
        </w:rPr>
      </w:pPr>
      <w:r w:rsidRPr="00252D7B">
        <w:rPr>
          <w:rFonts w:asciiTheme="minorHAnsi" w:hAnsiTheme="minorHAnsi" w:cstheme="minorHAnsi"/>
          <w:b/>
          <w:bCs/>
          <w:sz w:val="24"/>
          <w:szCs w:val="24"/>
          <w:lang w:eastAsia="pt-BR"/>
        </w:rPr>
        <w:t>GEIPOT:</w:t>
      </w:r>
      <w:r w:rsidRPr="00252D7B">
        <w:rPr>
          <w:rFonts w:asciiTheme="minorHAnsi" w:hAnsiTheme="minorHAnsi" w:cstheme="minorHAnsi"/>
        </w:rPr>
        <w:t xml:space="preserve"> </w:t>
      </w:r>
      <w:r w:rsidRPr="00252D7B">
        <w:rPr>
          <w:rFonts w:asciiTheme="minorHAnsi" w:hAnsiTheme="minorHAnsi" w:cstheme="minorHAnsi"/>
          <w:sz w:val="24"/>
          <w:szCs w:val="24"/>
          <w:lang w:eastAsia="pt-BR"/>
        </w:rPr>
        <w:t>Empresa Brasileira de Planejamento de Transportes</w:t>
      </w:r>
    </w:p>
    <w:p w14:paraId="1B88BAC7" w14:textId="77777777" w:rsidR="009D60E7" w:rsidRPr="00252D7B" w:rsidRDefault="009D60E7" w:rsidP="009D60E7">
      <w:pPr>
        <w:spacing w:before="120" w:after="120"/>
        <w:jc w:val="both"/>
        <w:rPr>
          <w:rFonts w:asciiTheme="minorHAnsi" w:hAnsiTheme="minorHAnsi" w:cstheme="minorHAnsi"/>
          <w:sz w:val="24"/>
          <w:szCs w:val="24"/>
          <w:lang w:eastAsia="pt-BR"/>
        </w:rPr>
      </w:pPr>
      <w:r w:rsidRPr="00252D7B">
        <w:rPr>
          <w:rFonts w:asciiTheme="minorHAnsi" w:hAnsiTheme="minorHAnsi" w:cstheme="minorHAnsi"/>
          <w:b/>
          <w:bCs/>
          <w:sz w:val="24"/>
          <w:szCs w:val="24"/>
          <w:lang w:eastAsia="pt-BR"/>
        </w:rPr>
        <w:t>GEORC</w:t>
      </w:r>
      <w:r w:rsidRPr="00252D7B">
        <w:rPr>
          <w:rFonts w:asciiTheme="minorHAnsi" w:hAnsiTheme="minorHAnsi" w:cstheme="minorHAnsi"/>
          <w:b/>
          <w:bCs/>
          <w:sz w:val="24"/>
          <w:szCs w:val="24"/>
        </w:rPr>
        <w:t>:</w:t>
      </w:r>
      <w:r w:rsidRPr="00252D7B">
        <w:rPr>
          <w:rFonts w:asciiTheme="minorHAnsi" w:hAnsiTheme="minorHAnsi" w:cstheme="minorHAnsi"/>
          <w:sz w:val="24"/>
          <w:szCs w:val="24"/>
        </w:rPr>
        <w:t xml:space="preserve"> Gerência de Execução Orçamentária da Valec Engenharia, Construções e Ferrovias S.A.</w:t>
      </w:r>
    </w:p>
    <w:p w14:paraId="6772281A" w14:textId="77777777" w:rsidR="009D60E7" w:rsidRPr="00252D7B" w:rsidRDefault="009D60E7" w:rsidP="009D60E7">
      <w:pPr>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rPr>
        <w:t>GESIS:</w:t>
      </w:r>
      <w:r w:rsidRPr="00252D7B">
        <w:rPr>
          <w:rFonts w:asciiTheme="minorHAnsi" w:hAnsiTheme="minorHAnsi" w:cstheme="minorHAnsi"/>
          <w:sz w:val="24"/>
          <w:szCs w:val="24"/>
        </w:rPr>
        <w:t xml:space="preserve"> Gerência de Sistemas da Valec Engenharia, Construções e Ferrovias S.A.</w:t>
      </w:r>
    </w:p>
    <w:p w14:paraId="280B3A24" w14:textId="77777777" w:rsidR="00185B1F" w:rsidRDefault="009D60E7" w:rsidP="00185B1F">
      <w:pPr>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rPr>
        <w:t>GEINF:</w:t>
      </w:r>
      <w:r w:rsidRPr="00252D7B">
        <w:rPr>
          <w:rFonts w:asciiTheme="minorHAnsi" w:hAnsiTheme="minorHAnsi" w:cstheme="minorHAnsi"/>
          <w:sz w:val="24"/>
          <w:szCs w:val="24"/>
        </w:rPr>
        <w:t xml:space="preserve"> Gerência de Infraestrutura de Tecnologia da Informação da Valec Engenharia, Construções</w:t>
      </w:r>
      <w:r w:rsidR="00185B1F">
        <w:rPr>
          <w:rFonts w:asciiTheme="minorHAnsi" w:hAnsiTheme="minorHAnsi" w:cstheme="minorHAnsi"/>
          <w:sz w:val="24"/>
          <w:szCs w:val="24"/>
        </w:rPr>
        <w:t xml:space="preserve"> </w:t>
      </w:r>
      <w:r w:rsidRPr="00252D7B">
        <w:rPr>
          <w:rFonts w:asciiTheme="minorHAnsi" w:hAnsiTheme="minorHAnsi" w:cstheme="minorHAnsi"/>
          <w:sz w:val="24"/>
          <w:szCs w:val="24"/>
        </w:rPr>
        <w:t>e Ferrovias S.A.</w:t>
      </w:r>
    </w:p>
    <w:p w14:paraId="2179618D" w14:textId="1AF0EEF0" w:rsidR="009D60E7" w:rsidRPr="00025945" w:rsidRDefault="00025945" w:rsidP="00185B1F">
      <w:pPr>
        <w:spacing w:before="120" w:after="120"/>
        <w:rPr>
          <w:rFonts w:asciiTheme="minorHAnsi" w:hAnsiTheme="minorHAnsi" w:cstheme="minorHAnsi"/>
          <w:sz w:val="24"/>
          <w:szCs w:val="24"/>
        </w:rPr>
      </w:pPr>
      <w:r w:rsidRPr="00025945">
        <w:rPr>
          <w:rFonts w:asciiTheme="minorHAnsi" w:hAnsiTheme="minorHAnsi" w:cstheme="minorHAnsi"/>
          <w:b/>
          <w:bCs/>
          <w:color w:val="000000"/>
          <w:sz w:val="24"/>
          <w:szCs w:val="24"/>
        </w:rPr>
        <w:t xml:space="preserve">GIS: </w:t>
      </w:r>
      <w:r w:rsidRPr="00025945">
        <w:rPr>
          <w:rFonts w:asciiTheme="minorHAnsi" w:hAnsiTheme="minorHAnsi" w:cstheme="minorHAnsi"/>
          <w:color w:val="000000"/>
          <w:sz w:val="24"/>
          <w:szCs w:val="24"/>
        </w:rPr>
        <w:t>Sistema de Informação Geográfica</w:t>
      </w:r>
    </w:p>
    <w:p w14:paraId="48A00FD3" w14:textId="77777777" w:rsidR="009D60E7" w:rsidRPr="00252D7B" w:rsidRDefault="009D60E7" w:rsidP="009D60E7">
      <w:pPr>
        <w:spacing w:before="120" w:after="120"/>
        <w:jc w:val="both"/>
        <w:rPr>
          <w:rFonts w:asciiTheme="minorHAnsi" w:hAnsiTheme="minorHAnsi" w:cstheme="minorHAnsi"/>
          <w:sz w:val="24"/>
          <w:szCs w:val="24"/>
          <w:lang w:eastAsia="pt-BR"/>
        </w:rPr>
      </w:pPr>
      <w:r w:rsidRPr="00252D7B">
        <w:rPr>
          <w:rFonts w:asciiTheme="minorHAnsi" w:hAnsiTheme="minorHAnsi" w:cstheme="minorHAnsi"/>
          <w:b/>
          <w:bCs/>
          <w:sz w:val="24"/>
          <w:szCs w:val="24"/>
        </w:rPr>
        <w:t>GSINF:</w:t>
      </w:r>
      <w:r w:rsidRPr="00252D7B">
        <w:rPr>
          <w:rFonts w:asciiTheme="minorHAnsi" w:hAnsiTheme="minorHAnsi" w:cstheme="minorHAnsi"/>
          <w:sz w:val="24"/>
          <w:szCs w:val="24"/>
        </w:rPr>
        <w:t xml:space="preserve"> Gerência de Segurança da Informação da Valec </w:t>
      </w:r>
      <w:r w:rsidRPr="00252D7B">
        <w:rPr>
          <w:rFonts w:asciiTheme="minorHAnsi" w:hAnsiTheme="minorHAnsi" w:cstheme="minorHAnsi"/>
          <w:sz w:val="24"/>
          <w:szCs w:val="24"/>
          <w:lang w:eastAsia="pt-BR"/>
        </w:rPr>
        <w:t>Engenharia</w:t>
      </w:r>
      <w:r w:rsidRPr="00252D7B">
        <w:rPr>
          <w:rFonts w:asciiTheme="minorHAnsi" w:hAnsiTheme="minorHAnsi" w:cstheme="minorHAnsi"/>
          <w:sz w:val="24"/>
          <w:szCs w:val="24"/>
        </w:rPr>
        <w:t>, Construções e Ferrovias S.A.</w:t>
      </w:r>
    </w:p>
    <w:p w14:paraId="3F8BF4EF" w14:textId="77777777" w:rsidR="009D60E7" w:rsidRPr="00252D7B" w:rsidRDefault="009D60E7" w:rsidP="009D60E7">
      <w:pPr>
        <w:spacing w:before="120" w:after="120"/>
        <w:jc w:val="both"/>
        <w:rPr>
          <w:rFonts w:asciiTheme="minorHAnsi" w:hAnsiTheme="minorHAnsi" w:cstheme="minorHAnsi"/>
          <w:b/>
          <w:bCs/>
          <w:sz w:val="24"/>
          <w:szCs w:val="24"/>
        </w:rPr>
      </w:pPr>
      <w:r w:rsidRPr="00252D7B">
        <w:rPr>
          <w:rFonts w:asciiTheme="minorHAnsi" w:hAnsiTheme="minorHAnsi" w:cstheme="minorHAnsi"/>
          <w:b/>
          <w:bCs/>
          <w:sz w:val="24"/>
          <w:szCs w:val="24"/>
        </w:rPr>
        <w:t>GETER:</w:t>
      </w:r>
      <w:r w:rsidRPr="00252D7B">
        <w:rPr>
          <w:rFonts w:asciiTheme="minorHAnsi" w:hAnsiTheme="minorHAnsi" w:cstheme="minorHAnsi"/>
          <w:sz w:val="24"/>
          <w:szCs w:val="24"/>
        </w:rPr>
        <w:t xml:space="preserve"> Gerência de Terminais da Valec Engenharia, Construções e Ferrovias S.A.</w:t>
      </w:r>
    </w:p>
    <w:p w14:paraId="77404226" w14:textId="77777777" w:rsidR="009D60E7" w:rsidRPr="00252D7B" w:rsidRDefault="009D60E7" w:rsidP="009D60E7">
      <w:pPr>
        <w:spacing w:before="120" w:after="120"/>
        <w:rPr>
          <w:rFonts w:asciiTheme="minorHAnsi" w:hAnsiTheme="minorHAnsi" w:cstheme="minorHAnsi"/>
          <w:sz w:val="24"/>
          <w:szCs w:val="24"/>
        </w:rPr>
      </w:pPr>
      <w:r w:rsidRPr="00252D7B">
        <w:rPr>
          <w:rFonts w:asciiTheme="minorHAnsi" w:hAnsiTheme="minorHAnsi" w:cstheme="minorHAnsi"/>
          <w:b/>
          <w:bCs/>
          <w:sz w:val="24"/>
          <w:szCs w:val="24"/>
        </w:rPr>
        <w:t>GGI:</w:t>
      </w:r>
      <w:r w:rsidRPr="00252D7B">
        <w:rPr>
          <w:rFonts w:asciiTheme="minorHAnsi" w:hAnsiTheme="minorHAnsi" w:cstheme="minorHAnsi"/>
        </w:rPr>
        <w:t xml:space="preserve"> </w:t>
      </w:r>
      <w:r w:rsidRPr="00252D7B">
        <w:rPr>
          <w:rFonts w:asciiTheme="minorHAnsi" w:hAnsiTheme="minorHAnsi" w:cstheme="minorHAnsi"/>
          <w:sz w:val="24"/>
          <w:szCs w:val="24"/>
        </w:rPr>
        <w:t>Gerência de Geotecnologias Integradas da Valec Engenharia, Construções e Ferrovias S.A.</w:t>
      </w:r>
    </w:p>
    <w:p w14:paraId="77369706" w14:textId="77777777" w:rsidR="009D60E7" w:rsidRPr="00252D7B" w:rsidRDefault="009D60E7" w:rsidP="009D60E7">
      <w:pPr>
        <w:spacing w:before="120" w:after="120"/>
        <w:jc w:val="both"/>
        <w:rPr>
          <w:rFonts w:asciiTheme="minorHAnsi" w:hAnsiTheme="minorHAnsi" w:cstheme="minorHAnsi"/>
          <w:color w:val="000000"/>
          <w:sz w:val="24"/>
          <w:szCs w:val="24"/>
        </w:rPr>
      </w:pPr>
      <w:r w:rsidRPr="00252D7B">
        <w:rPr>
          <w:rFonts w:asciiTheme="minorHAnsi" w:hAnsiTheme="minorHAnsi" w:cstheme="minorHAnsi"/>
          <w:b/>
          <w:bCs/>
          <w:color w:val="000000"/>
          <w:sz w:val="24"/>
          <w:szCs w:val="24"/>
        </w:rPr>
        <w:t>GP:</w:t>
      </w:r>
      <w:r w:rsidRPr="00252D7B">
        <w:rPr>
          <w:rFonts w:asciiTheme="minorHAnsi" w:hAnsiTheme="minorHAnsi" w:cstheme="minorHAnsi"/>
          <w:color w:val="000000"/>
          <w:sz w:val="24"/>
          <w:szCs w:val="24"/>
        </w:rPr>
        <w:t xml:space="preserve"> Gestão de Pessoas</w:t>
      </w:r>
    </w:p>
    <w:p w14:paraId="044CBEB0" w14:textId="77777777" w:rsidR="009D60E7" w:rsidRPr="00252D7B" w:rsidRDefault="009D60E7" w:rsidP="009D60E7">
      <w:pPr>
        <w:spacing w:before="120" w:after="120"/>
        <w:jc w:val="both"/>
        <w:rPr>
          <w:rFonts w:asciiTheme="minorHAnsi" w:hAnsiTheme="minorHAnsi" w:cstheme="minorHAnsi"/>
          <w:color w:val="000000"/>
          <w:sz w:val="24"/>
          <w:szCs w:val="24"/>
        </w:rPr>
      </w:pPr>
      <w:r w:rsidRPr="00252D7B">
        <w:rPr>
          <w:rFonts w:asciiTheme="minorHAnsi" w:hAnsiTheme="minorHAnsi" w:cstheme="minorHAnsi"/>
          <w:b/>
          <w:bCs/>
          <w:color w:val="000000"/>
          <w:sz w:val="24"/>
          <w:szCs w:val="24"/>
        </w:rPr>
        <w:t>GRCOI:</w:t>
      </w:r>
      <w:r w:rsidRPr="00252D7B">
        <w:rPr>
          <w:rFonts w:asciiTheme="minorHAnsi" w:hAnsiTheme="minorHAnsi" w:cstheme="minorHAnsi"/>
          <w:color w:val="000000"/>
          <w:sz w:val="24"/>
          <w:szCs w:val="24"/>
        </w:rPr>
        <w:t xml:space="preserve"> </w:t>
      </w:r>
      <w:r w:rsidRPr="00252D7B">
        <w:rPr>
          <w:rFonts w:asciiTheme="minorHAnsi" w:hAnsiTheme="minorHAnsi" w:cstheme="minorHAnsi"/>
          <w:sz w:val="24"/>
          <w:szCs w:val="24"/>
        </w:rPr>
        <w:t xml:space="preserve">Gerência </w:t>
      </w:r>
      <w:r w:rsidRPr="00252D7B">
        <w:rPr>
          <w:rFonts w:asciiTheme="minorHAnsi" w:hAnsiTheme="minorHAnsi" w:cstheme="minorHAnsi"/>
          <w:color w:val="000000"/>
          <w:sz w:val="24"/>
          <w:szCs w:val="24"/>
        </w:rPr>
        <w:t>de Riscos e Controles Internos</w:t>
      </w:r>
      <w:r w:rsidRPr="00252D7B">
        <w:rPr>
          <w:rFonts w:asciiTheme="minorHAnsi" w:hAnsiTheme="minorHAnsi" w:cstheme="minorHAnsi"/>
          <w:sz w:val="24"/>
          <w:szCs w:val="24"/>
        </w:rPr>
        <w:t xml:space="preserve"> da Valec Engenharia, Construções e Ferrovias S.A.</w:t>
      </w:r>
    </w:p>
    <w:p w14:paraId="0F3C2302" w14:textId="77777777" w:rsidR="009D60E7" w:rsidRPr="00252D7B" w:rsidRDefault="009D60E7" w:rsidP="009D60E7">
      <w:pPr>
        <w:widowControl/>
        <w:autoSpaceDE/>
        <w:autoSpaceDN/>
        <w:spacing w:before="120" w:after="120"/>
        <w:jc w:val="both"/>
        <w:rPr>
          <w:rFonts w:asciiTheme="minorHAnsi" w:eastAsia="Times New Roman" w:hAnsiTheme="minorHAnsi" w:cstheme="minorHAnsi"/>
          <w:color w:val="000000"/>
          <w:sz w:val="24"/>
          <w:szCs w:val="24"/>
          <w:lang w:bidi="ar-SA"/>
        </w:rPr>
      </w:pPr>
      <w:r w:rsidRPr="00252D7B">
        <w:rPr>
          <w:rFonts w:asciiTheme="minorHAnsi" w:eastAsia="Times New Roman" w:hAnsiTheme="minorHAnsi" w:cstheme="minorHAnsi"/>
          <w:b/>
          <w:bCs/>
          <w:color w:val="000000"/>
          <w:sz w:val="24"/>
          <w:szCs w:val="24"/>
          <w:lang w:bidi="ar-SA"/>
        </w:rPr>
        <w:t>GRU:</w:t>
      </w:r>
      <w:r w:rsidRPr="00252D7B">
        <w:rPr>
          <w:rFonts w:asciiTheme="minorHAnsi" w:eastAsia="Times New Roman" w:hAnsiTheme="minorHAnsi" w:cstheme="minorHAnsi"/>
          <w:color w:val="000000"/>
          <w:sz w:val="24"/>
          <w:szCs w:val="24"/>
          <w:lang w:bidi="ar-SA"/>
        </w:rPr>
        <w:t xml:space="preserve"> Guias de Recolhimento da União</w:t>
      </w:r>
    </w:p>
    <w:p w14:paraId="1117B8A1" w14:textId="77777777" w:rsidR="009D60E7" w:rsidRPr="00252D7B" w:rsidRDefault="009D60E7" w:rsidP="009D60E7">
      <w:pPr>
        <w:spacing w:before="120" w:after="120"/>
        <w:jc w:val="both"/>
        <w:rPr>
          <w:rFonts w:asciiTheme="minorHAnsi" w:hAnsiTheme="minorHAnsi" w:cstheme="minorHAnsi"/>
          <w:color w:val="000000"/>
          <w:sz w:val="24"/>
          <w:szCs w:val="24"/>
        </w:rPr>
      </w:pPr>
      <w:r w:rsidRPr="00252D7B">
        <w:rPr>
          <w:rFonts w:asciiTheme="minorHAnsi" w:hAnsiTheme="minorHAnsi" w:cstheme="minorHAnsi"/>
          <w:b/>
          <w:bCs/>
          <w:sz w:val="24"/>
          <w:szCs w:val="24"/>
        </w:rPr>
        <w:t>GT:</w:t>
      </w:r>
      <w:r w:rsidRPr="00252D7B">
        <w:rPr>
          <w:rFonts w:asciiTheme="minorHAnsi" w:hAnsiTheme="minorHAnsi" w:cstheme="minorHAnsi"/>
          <w:sz w:val="24"/>
          <w:szCs w:val="24"/>
        </w:rPr>
        <w:t xml:space="preserve"> Grupo de Trabalho</w:t>
      </w:r>
    </w:p>
    <w:p w14:paraId="5612B51B" w14:textId="77777777" w:rsidR="009D60E7" w:rsidRPr="00252D7B" w:rsidRDefault="009D60E7" w:rsidP="009D60E7">
      <w:pPr>
        <w:spacing w:before="120" w:after="120"/>
        <w:jc w:val="both"/>
        <w:rPr>
          <w:rFonts w:asciiTheme="minorHAnsi" w:hAnsiTheme="minorHAnsi" w:cstheme="minorHAnsi"/>
          <w:color w:val="000000"/>
          <w:sz w:val="24"/>
          <w:szCs w:val="24"/>
        </w:rPr>
      </w:pPr>
      <w:r w:rsidRPr="00252D7B">
        <w:rPr>
          <w:rFonts w:asciiTheme="minorHAnsi" w:hAnsiTheme="minorHAnsi" w:cstheme="minorHAnsi"/>
          <w:b/>
          <w:bCs/>
          <w:color w:val="000000"/>
          <w:sz w:val="24"/>
          <w:szCs w:val="24"/>
        </w:rPr>
        <w:t>GTA:</w:t>
      </w:r>
      <w:r w:rsidRPr="00252D7B">
        <w:rPr>
          <w:rFonts w:asciiTheme="minorHAnsi" w:hAnsiTheme="minorHAnsi" w:cstheme="minorHAnsi"/>
          <w:color w:val="000000"/>
          <w:sz w:val="24"/>
          <w:szCs w:val="24"/>
        </w:rPr>
        <w:t xml:space="preserve"> Grau de Transparência Ativa</w:t>
      </w:r>
    </w:p>
    <w:p w14:paraId="26BAA4A0" w14:textId="77777777" w:rsidR="009D60E7" w:rsidRPr="00252D7B" w:rsidRDefault="009D60E7" w:rsidP="009D60E7">
      <w:pPr>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rPr>
        <w:t>IA:</w:t>
      </w:r>
      <w:r w:rsidRPr="00252D7B">
        <w:rPr>
          <w:rFonts w:asciiTheme="minorHAnsi" w:hAnsiTheme="minorHAnsi" w:cstheme="minorHAnsi"/>
          <w:sz w:val="24"/>
          <w:szCs w:val="24"/>
        </w:rPr>
        <w:t xml:space="preserve"> inteligência artificial</w:t>
      </w:r>
    </w:p>
    <w:p w14:paraId="614A6377" w14:textId="77777777" w:rsidR="009D60E7" w:rsidRPr="00252D7B" w:rsidRDefault="009D60E7" w:rsidP="009D60E7">
      <w:pPr>
        <w:spacing w:before="120" w:after="120"/>
        <w:jc w:val="both"/>
        <w:rPr>
          <w:rFonts w:asciiTheme="minorHAnsi" w:hAnsiTheme="minorHAnsi" w:cstheme="minorHAnsi"/>
          <w:color w:val="000000"/>
          <w:sz w:val="24"/>
          <w:szCs w:val="24"/>
        </w:rPr>
      </w:pPr>
      <w:r w:rsidRPr="00252D7B">
        <w:rPr>
          <w:rFonts w:asciiTheme="minorHAnsi" w:hAnsiTheme="minorHAnsi" w:cstheme="minorHAnsi"/>
          <w:b/>
          <w:bCs/>
          <w:color w:val="000000"/>
          <w:sz w:val="24"/>
          <w:szCs w:val="24"/>
        </w:rPr>
        <w:t>IDA:</w:t>
      </w:r>
      <w:r w:rsidRPr="00252D7B">
        <w:rPr>
          <w:rFonts w:asciiTheme="minorHAnsi" w:hAnsiTheme="minorHAnsi" w:cstheme="minorHAnsi"/>
          <w:color w:val="000000"/>
          <w:sz w:val="24"/>
          <w:szCs w:val="24"/>
        </w:rPr>
        <w:t xml:space="preserve"> Índice de Desempenho Ambiental</w:t>
      </w:r>
    </w:p>
    <w:p w14:paraId="7DD6C829" w14:textId="77777777" w:rsidR="009D60E7" w:rsidRPr="00252D7B" w:rsidRDefault="009D60E7" w:rsidP="009D60E7">
      <w:pPr>
        <w:spacing w:before="120" w:after="120"/>
        <w:jc w:val="both"/>
        <w:rPr>
          <w:rFonts w:asciiTheme="minorHAnsi" w:hAnsiTheme="minorHAnsi" w:cstheme="minorHAnsi"/>
          <w:color w:val="000000"/>
          <w:sz w:val="24"/>
          <w:szCs w:val="24"/>
        </w:rPr>
      </w:pPr>
      <w:r w:rsidRPr="00252D7B">
        <w:rPr>
          <w:rFonts w:asciiTheme="minorHAnsi" w:hAnsiTheme="minorHAnsi" w:cstheme="minorHAnsi"/>
          <w:b/>
          <w:bCs/>
          <w:color w:val="000000"/>
          <w:sz w:val="24"/>
          <w:szCs w:val="24"/>
        </w:rPr>
        <w:t>IGG-TCU:</w:t>
      </w:r>
      <w:r w:rsidRPr="00252D7B">
        <w:rPr>
          <w:rFonts w:asciiTheme="minorHAnsi" w:hAnsiTheme="minorHAnsi" w:cstheme="minorHAnsi"/>
          <w:color w:val="000000"/>
          <w:sz w:val="24"/>
          <w:szCs w:val="24"/>
        </w:rPr>
        <w:t xml:space="preserve"> Índice Integrado de Governança e Gestão</w:t>
      </w:r>
      <w:r w:rsidRPr="00252D7B">
        <w:rPr>
          <w:rFonts w:asciiTheme="minorHAnsi" w:hAnsiTheme="minorHAnsi" w:cstheme="minorHAnsi"/>
        </w:rPr>
        <w:t xml:space="preserve"> do </w:t>
      </w:r>
      <w:r w:rsidRPr="00252D7B">
        <w:rPr>
          <w:rFonts w:asciiTheme="minorHAnsi" w:hAnsiTheme="minorHAnsi" w:cstheme="minorHAnsi"/>
          <w:color w:val="000000"/>
          <w:sz w:val="24"/>
          <w:szCs w:val="24"/>
        </w:rPr>
        <w:t>Tribunal de Contas da União</w:t>
      </w:r>
    </w:p>
    <w:p w14:paraId="33C9B75E" w14:textId="77777777" w:rsidR="009D60E7" w:rsidRPr="00252D7B" w:rsidRDefault="009D60E7" w:rsidP="009D60E7">
      <w:pPr>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rPr>
        <w:t>IGP-M:</w:t>
      </w:r>
      <w:r w:rsidRPr="00252D7B">
        <w:rPr>
          <w:rFonts w:asciiTheme="minorHAnsi" w:hAnsiTheme="minorHAnsi" w:cstheme="minorHAnsi"/>
        </w:rPr>
        <w:t xml:space="preserve"> </w:t>
      </w:r>
      <w:r w:rsidRPr="00252D7B">
        <w:rPr>
          <w:rFonts w:asciiTheme="minorHAnsi" w:hAnsiTheme="minorHAnsi" w:cstheme="minorHAnsi"/>
          <w:sz w:val="24"/>
          <w:szCs w:val="24"/>
        </w:rPr>
        <w:t>Índice Geral de Preços - Mercado</w:t>
      </w:r>
    </w:p>
    <w:p w14:paraId="5C8C6F55" w14:textId="77777777" w:rsidR="009D60E7" w:rsidRPr="00252D7B" w:rsidRDefault="009D60E7" w:rsidP="009D60E7">
      <w:pPr>
        <w:spacing w:before="120" w:after="120"/>
        <w:jc w:val="both"/>
        <w:rPr>
          <w:rFonts w:asciiTheme="minorHAnsi" w:hAnsiTheme="minorHAnsi" w:cstheme="minorHAnsi"/>
          <w:color w:val="000000"/>
          <w:sz w:val="24"/>
          <w:szCs w:val="24"/>
        </w:rPr>
      </w:pPr>
      <w:r w:rsidRPr="00252D7B">
        <w:rPr>
          <w:rFonts w:asciiTheme="minorHAnsi" w:hAnsiTheme="minorHAnsi" w:cstheme="minorHAnsi"/>
          <w:b/>
          <w:bCs/>
          <w:color w:val="000000"/>
          <w:sz w:val="24"/>
          <w:szCs w:val="24"/>
        </w:rPr>
        <w:t>IG-SEST:</w:t>
      </w:r>
      <w:r w:rsidRPr="00252D7B">
        <w:rPr>
          <w:rFonts w:asciiTheme="minorHAnsi" w:hAnsiTheme="minorHAnsi" w:cstheme="minorHAnsi"/>
        </w:rPr>
        <w:t xml:space="preserve"> </w:t>
      </w:r>
      <w:r w:rsidRPr="00252D7B">
        <w:rPr>
          <w:rFonts w:asciiTheme="minorHAnsi" w:hAnsiTheme="minorHAnsi" w:cstheme="minorHAnsi"/>
          <w:color w:val="000000"/>
          <w:sz w:val="24"/>
          <w:szCs w:val="24"/>
        </w:rPr>
        <w:t>Indicador de Governança</w:t>
      </w:r>
      <w:r w:rsidRPr="00252D7B">
        <w:rPr>
          <w:rFonts w:asciiTheme="minorHAnsi" w:hAnsiTheme="minorHAnsi" w:cstheme="minorHAnsi"/>
        </w:rPr>
        <w:t xml:space="preserve"> da </w:t>
      </w:r>
      <w:r w:rsidRPr="00252D7B">
        <w:rPr>
          <w:rFonts w:asciiTheme="minorHAnsi" w:hAnsiTheme="minorHAnsi" w:cstheme="minorHAnsi"/>
          <w:color w:val="000000"/>
          <w:sz w:val="24"/>
          <w:szCs w:val="24"/>
        </w:rPr>
        <w:t>Secretaria de Coordenação e Governança das Empresas Estatais</w:t>
      </w:r>
    </w:p>
    <w:p w14:paraId="1297F616" w14:textId="77777777" w:rsidR="009D60E7" w:rsidRPr="00252D7B" w:rsidRDefault="009D60E7" w:rsidP="009D60E7">
      <w:pPr>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rPr>
        <w:t>IOA:</w:t>
      </w:r>
      <w:r w:rsidRPr="00252D7B">
        <w:rPr>
          <w:rFonts w:asciiTheme="minorHAnsi" w:hAnsiTheme="minorHAnsi" w:cstheme="minorHAnsi"/>
          <w:i/>
          <w:iCs/>
          <w:sz w:val="24"/>
          <w:szCs w:val="24"/>
        </w:rPr>
        <w:t xml:space="preserve"> International Ombudsman Association </w:t>
      </w:r>
      <w:r w:rsidRPr="00252D7B">
        <w:rPr>
          <w:rFonts w:asciiTheme="minorHAnsi" w:hAnsiTheme="minorHAnsi" w:cstheme="minorHAnsi"/>
          <w:sz w:val="24"/>
          <w:szCs w:val="24"/>
        </w:rPr>
        <w:t>(Associação Internacional de Ombudsman)</w:t>
      </w:r>
    </w:p>
    <w:p w14:paraId="6AC8542D" w14:textId="77777777" w:rsidR="009D60E7" w:rsidRPr="00252D7B" w:rsidRDefault="009D60E7" w:rsidP="009D60E7">
      <w:pPr>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rPr>
        <w:t>IPCA:</w:t>
      </w:r>
      <w:r w:rsidRPr="00252D7B">
        <w:rPr>
          <w:rFonts w:asciiTheme="minorHAnsi" w:hAnsiTheme="minorHAnsi" w:cstheme="minorHAnsi"/>
        </w:rPr>
        <w:t xml:space="preserve"> </w:t>
      </w:r>
      <w:r w:rsidRPr="00252D7B">
        <w:rPr>
          <w:rFonts w:asciiTheme="minorHAnsi" w:hAnsiTheme="minorHAnsi" w:cstheme="minorHAnsi"/>
          <w:sz w:val="24"/>
          <w:szCs w:val="24"/>
        </w:rPr>
        <w:t>Índice Nacional de Preços ao Consumidor Amplo</w:t>
      </w:r>
    </w:p>
    <w:p w14:paraId="2252264E" w14:textId="77777777" w:rsidR="009D60E7" w:rsidRPr="00252D7B" w:rsidRDefault="009D60E7" w:rsidP="009D60E7">
      <w:pPr>
        <w:widowControl/>
        <w:autoSpaceDE/>
        <w:autoSpaceDN/>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rPr>
        <w:t>IPHAN:</w:t>
      </w:r>
      <w:r w:rsidRPr="00252D7B">
        <w:rPr>
          <w:rFonts w:asciiTheme="minorHAnsi" w:hAnsiTheme="minorHAnsi" w:cstheme="minorHAnsi"/>
          <w:sz w:val="24"/>
          <w:szCs w:val="24"/>
        </w:rPr>
        <w:t xml:space="preserve"> Instituto do Patrimônio Histórico e Artístico Nacional</w:t>
      </w:r>
    </w:p>
    <w:p w14:paraId="44943DCD" w14:textId="77777777" w:rsidR="009D60E7" w:rsidRPr="00252D7B" w:rsidRDefault="009D60E7" w:rsidP="009D60E7">
      <w:pPr>
        <w:widowControl/>
        <w:autoSpaceDE/>
        <w:autoSpaceDN/>
        <w:spacing w:before="120" w:after="120"/>
        <w:jc w:val="both"/>
        <w:rPr>
          <w:rFonts w:asciiTheme="minorHAnsi" w:eastAsia="Times New Roman" w:hAnsiTheme="minorHAnsi" w:cstheme="minorHAnsi"/>
          <w:color w:val="000000"/>
          <w:sz w:val="24"/>
          <w:szCs w:val="24"/>
          <w:lang w:bidi="ar-SA"/>
        </w:rPr>
      </w:pPr>
      <w:r w:rsidRPr="00252D7B">
        <w:rPr>
          <w:rFonts w:asciiTheme="minorHAnsi" w:eastAsia="Times New Roman" w:hAnsiTheme="minorHAnsi" w:cstheme="minorHAnsi"/>
          <w:b/>
          <w:bCs/>
          <w:color w:val="000000"/>
          <w:sz w:val="24"/>
          <w:szCs w:val="24"/>
          <w:lang w:bidi="ar-SA"/>
        </w:rPr>
        <w:t>LAI:</w:t>
      </w:r>
      <w:r w:rsidRPr="00252D7B">
        <w:rPr>
          <w:rFonts w:asciiTheme="minorHAnsi" w:eastAsia="Times New Roman" w:hAnsiTheme="minorHAnsi" w:cstheme="minorHAnsi"/>
          <w:color w:val="000000"/>
          <w:sz w:val="24"/>
          <w:szCs w:val="24"/>
          <w:lang w:bidi="ar-SA"/>
        </w:rPr>
        <w:t xml:space="preserve"> Lei de Acesso à Informação (Lei nº 12.527, de 18 de novembro de 2011)</w:t>
      </w:r>
    </w:p>
    <w:p w14:paraId="0613B58C" w14:textId="77777777" w:rsidR="009D60E7" w:rsidRPr="00252D7B" w:rsidRDefault="009D60E7" w:rsidP="009D60E7">
      <w:pPr>
        <w:spacing w:before="120" w:after="120"/>
        <w:jc w:val="both"/>
        <w:rPr>
          <w:rFonts w:asciiTheme="minorHAnsi" w:hAnsiTheme="minorHAnsi" w:cstheme="minorHAnsi"/>
          <w:sz w:val="24"/>
          <w:szCs w:val="24"/>
          <w:lang w:eastAsia="pt-BR"/>
        </w:rPr>
      </w:pPr>
      <w:r w:rsidRPr="00252D7B">
        <w:rPr>
          <w:rFonts w:asciiTheme="minorHAnsi" w:hAnsiTheme="minorHAnsi" w:cstheme="minorHAnsi"/>
          <w:b/>
          <w:bCs/>
          <w:sz w:val="24"/>
          <w:szCs w:val="24"/>
          <w:lang w:eastAsia="pt-BR"/>
        </w:rPr>
        <w:t>LGPD:</w:t>
      </w:r>
      <w:r w:rsidRPr="00252D7B">
        <w:rPr>
          <w:rFonts w:asciiTheme="minorHAnsi" w:hAnsiTheme="minorHAnsi" w:cstheme="minorHAnsi"/>
          <w:sz w:val="24"/>
          <w:szCs w:val="24"/>
        </w:rPr>
        <w:t xml:space="preserve"> Lei Geral de Proteção de Dados (Lei nº 13.709, de 14 de agosto de 2018)</w:t>
      </w:r>
    </w:p>
    <w:p w14:paraId="3D2867B1" w14:textId="77777777" w:rsidR="009D60E7" w:rsidRPr="00252D7B" w:rsidRDefault="009D60E7" w:rsidP="009D60E7">
      <w:pPr>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rPr>
        <w:t>LOA:</w:t>
      </w:r>
      <w:r w:rsidRPr="00252D7B">
        <w:rPr>
          <w:rFonts w:asciiTheme="minorHAnsi" w:hAnsiTheme="minorHAnsi" w:cstheme="minorHAnsi"/>
          <w:sz w:val="24"/>
          <w:szCs w:val="24"/>
        </w:rPr>
        <w:t xml:space="preserve"> Lei Orçamentária Anual</w:t>
      </w:r>
    </w:p>
    <w:p w14:paraId="521ED51B" w14:textId="77777777" w:rsidR="009D60E7" w:rsidRPr="00252D7B" w:rsidRDefault="009D60E7" w:rsidP="009D60E7">
      <w:pPr>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lang w:eastAsia="pt-BR"/>
        </w:rPr>
        <w:t>LRF:</w:t>
      </w:r>
      <w:r w:rsidRPr="00252D7B">
        <w:rPr>
          <w:rFonts w:asciiTheme="minorHAnsi" w:hAnsiTheme="minorHAnsi" w:cstheme="minorHAnsi"/>
          <w:sz w:val="24"/>
          <w:szCs w:val="24"/>
          <w:lang w:eastAsia="pt-BR"/>
        </w:rPr>
        <w:t xml:space="preserve"> Lei de Responsabilidade Fiscal (Lei Complementar nº 101, de 4 de maio de 2000) </w:t>
      </w:r>
    </w:p>
    <w:p w14:paraId="03E2448E" w14:textId="77777777" w:rsidR="009D60E7" w:rsidRPr="00252D7B" w:rsidRDefault="009D60E7" w:rsidP="009D60E7">
      <w:pPr>
        <w:pStyle w:val="Recuodecorpodetexto"/>
        <w:spacing w:before="120"/>
        <w:ind w:left="0"/>
        <w:jc w:val="both"/>
        <w:rPr>
          <w:rFonts w:asciiTheme="minorHAnsi" w:hAnsiTheme="minorHAnsi" w:cstheme="minorHAnsi"/>
          <w:color w:val="000000"/>
        </w:rPr>
      </w:pPr>
      <w:r w:rsidRPr="00252D7B">
        <w:rPr>
          <w:rFonts w:asciiTheme="minorHAnsi" w:hAnsiTheme="minorHAnsi" w:cstheme="minorHAnsi"/>
          <w:b/>
          <w:bCs/>
        </w:rPr>
        <w:t>MCTI:</w:t>
      </w:r>
      <w:r w:rsidRPr="00252D7B">
        <w:rPr>
          <w:rFonts w:asciiTheme="minorHAnsi" w:hAnsiTheme="minorHAnsi" w:cstheme="minorHAnsi"/>
        </w:rPr>
        <w:t xml:space="preserve"> Ministério da Ciência, Tecnologia e Inovações</w:t>
      </w:r>
    </w:p>
    <w:p w14:paraId="1A6CA39A" w14:textId="77777777" w:rsidR="009D60E7" w:rsidRPr="00252D7B" w:rsidRDefault="009D60E7" w:rsidP="009D60E7">
      <w:pPr>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rPr>
        <w:lastRenderedPageBreak/>
        <w:t>ME:</w:t>
      </w:r>
      <w:r w:rsidRPr="00252D7B">
        <w:rPr>
          <w:rFonts w:asciiTheme="minorHAnsi" w:hAnsiTheme="minorHAnsi" w:cstheme="minorHAnsi"/>
          <w:sz w:val="24"/>
          <w:szCs w:val="24"/>
        </w:rPr>
        <w:t xml:space="preserve"> Ministério da Economia</w:t>
      </w:r>
    </w:p>
    <w:p w14:paraId="54CCFE45" w14:textId="77777777" w:rsidR="009D60E7" w:rsidRPr="00252D7B" w:rsidRDefault="009D60E7" w:rsidP="009D60E7">
      <w:pPr>
        <w:spacing w:before="120" w:after="120"/>
        <w:rPr>
          <w:rStyle w:val="normaltextrun"/>
          <w:rFonts w:asciiTheme="minorHAnsi" w:hAnsiTheme="minorHAnsi" w:cstheme="minorHAnsi"/>
          <w:color w:val="000000"/>
          <w:sz w:val="24"/>
          <w:szCs w:val="24"/>
        </w:rPr>
      </w:pPr>
      <w:r w:rsidRPr="00252D7B">
        <w:rPr>
          <w:rStyle w:val="normaltextrun"/>
          <w:rFonts w:asciiTheme="minorHAnsi" w:hAnsiTheme="minorHAnsi" w:cstheme="minorHAnsi"/>
          <w:b/>
          <w:bCs/>
          <w:color w:val="000000"/>
          <w:sz w:val="24"/>
          <w:szCs w:val="24"/>
        </w:rPr>
        <w:t>MINFRA:</w:t>
      </w:r>
      <w:r w:rsidRPr="00252D7B">
        <w:rPr>
          <w:rStyle w:val="normaltextrun"/>
          <w:rFonts w:asciiTheme="minorHAnsi" w:hAnsiTheme="minorHAnsi" w:cstheme="minorHAnsi"/>
          <w:color w:val="000000"/>
          <w:sz w:val="24"/>
          <w:szCs w:val="24"/>
        </w:rPr>
        <w:t xml:space="preserve"> Ministério da Infraestrutura</w:t>
      </w:r>
    </w:p>
    <w:p w14:paraId="5743872A" w14:textId="77777777" w:rsidR="009D60E7" w:rsidRPr="00252D7B" w:rsidRDefault="009D60E7" w:rsidP="009D60E7">
      <w:pPr>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rPr>
        <w:t>MMA:</w:t>
      </w:r>
      <w:r w:rsidRPr="00252D7B">
        <w:rPr>
          <w:rFonts w:asciiTheme="minorHAnsi" w:hAnsiTheme="minorHAnsi" w:cstheme="minorHAnsi"/>
          <w:sz w:val="24"/>
          <w:szCs w:val="24"/>
        </w:rPr>
        <w:t xml:space="preserve"> Ministério do Meio Ambiente</w:t>
      </w:r>
    </w:p>
    <w:p w14:paraId="54A537E3" w14:textId="77777777" w:rsidR="009D60E7" w:rsidRPr="00252D7B" w:rsidRDefault="009D60E7" w:rsidP="009D60E7">
      <w:pPr>
        <w:spacing w:before="120" w:after="120"/>
        <w:rPr>
          <w:rFonts w:asciiTheme="minorHAnsi" w:hAnsiTheme="minorHAnsi" w:cstheme="minorHAnsi"/>
          <w:bCs/>
          <w:sz w:val="24"/>
          <w:szCs w:val="24"/>
        </w:rPr>
      </w:pPr>
      <w:r w:rsidRPr="00252D7B">
        <w:rPr>
          <w:rFonts w:asciiTheme="minorHAnsi" w:hAnsiTheme="minorHAnsi" w:cstheme="minorHAnsi"/>
          <w:b/>
          <w:bCs/>
          <w:sz w:val="24"/>
          <w:szCs w:val="24"/>
        </w:rPr>
        <w:t>OETIC:</w:t>
      </w:r>
      <w:r w:rsidRPr="00252D7B">
        <w:rPr>
          <w:rFonts w:asciiTheme="minorHAnsi" w:hAnsiTheme="minorHAnsi" w:cstheme="minorHAnsi"/>
          <w:bCs/>
          <w:sz w:val="24"/>
          <w:szCs w:val="24"/>
        </w:rPr>
        <w:t xml:space="preserve"> Objetivo Estratégico de</w:t>
      </w:r>
      <w:r w:rsidRPr="00252D7B">
        <w:rPr>
          <w:rFonts w:asciiTheme="minorHAnsi" w:hAnsiTheme="minorHAnsi" w:cstheme="minorHAnsi"/>
        </w:rPr>
        <w:t xml:space="preserve"> </w:t>
      </w:r>
      <w:r w:rsidRPr="00252D7B">
        <w:rPr>
          <w:rFonts w:asciiTheme="minorHAnsi" w:hAnsiTheme="minorHAnsi" w:cstheme="minorHAnsi"/>
          <w:bCs/>
          <w:sz w:val="24"/>
          <w:szCs w:val="24"/>
        </w:rPr>
        <w:t xml:space="preserve">Tecnologia da Informação e Comunicação </w:t>
      </w:r>
      <w:r w:rsidRPr="00252D7B">
        <w:rPr>
          <w:rFonts w:asciiTheme="minorHAnsi" w:hAnsiTheme="minorHAnsi" w:cstheme="minorHAnsi"/>
          <w:bCs/>
          <w:i/>
          <w:iCs/>
          <w:sz w:val="24"/>
          <w:szCs w:val="24"/>
        </w:rPr>
        <w:t>(vide TIC)</w:t>
      </w:r>
    </w:p>
    <w:p w14:paraId="615DF34D" w14:textId="77777777" w:rsidR="009D60E7" w:rsidRPr="00252D7B" w:rsidRDefault="009D60E7" w:rsidP="009D60E7">
      <w:pPr>
        <w:spacing w:before="120" w:after="120"/>
        <w:jc w:val="both"/>
        <w:rPr>
          <w:rFonts w:asciiTheme="minorHAnsi" w:hAnsiTheme="minorHAnsi" w:cstheme="minorHAnsi"/>
          <w:i/>
          <w:iCs/>
          <w:sz w:val="24"/>
          <w:szCs w:val="24"/>
        </w:rPr>
      </w:pPr>
      <w:r w:rsidRPr="00252D7B">
        <w:rPr>
          <w:rFonts w:asciiTheme="minorHAnsi" w:hAnsiTheme="minorHAnsi" w:cstheme="minorHAnsi"/>
          <w:b/>
          <w:bCs/>
          <w:sz w:val="24"/>
          <w:szCs w:val="24"/>
        </w:rPr>
        <w:t xml:space="preserve">OIT: </w:t>
      </w:r>
      <w:r w:rsidRPr="00252D7B">
        <w:rPr>
          <w:rFonts w:asciiTheme="minorHAnsi" w:hAnsiTheme="minorHAnsi" w:cstheme="minorHAnsi"/>
          <w:sz w:val="24"/>
          <w:szCs w:val="24"/>
        </w:rPr>
        <w:t>Organização Internacional do Trabalho</w:t>
      </w:r>
    </w:p>
    <w:p w14:paraId="6C4BCA21" w14:textId="77777777" w:rsidR="009D60E7" w:rsidRPr="00252D7B" w:rsidRDefault="009D60E7" w:rsidP="009D60E7">
      <w:pPr>
        <w:spacing w:before="120" w:after="120"/>
        <w:jc w:val="both"/>
        <w:rPr>
          <w:rFonts w:asciiTheme="minorHAnsi" w:hAnsiTheme="minorHAnsi" w:cstheme="minorHAnsi"/>
          <w:color w:val="000000"/>
          <w:sz w:val="24"/>
          <w:szCs w:val="24"/>
        </w:rPr>
      </w:pPr>
      <w:r w:rsidRPr="00252D7B">
        <w:rPr>
          <w:rFonts w:asciiTheme="minorHAnsi" w:hAnsiTheme="minorHAnsi" w:cstheme="minorHAnsi"/>
          <w:b/>
          <w:bCs/>
          <w:color w:val="000000"/>
          <w:sz w:val="24"/>
          <w:szCs w:val="24"/>
        </w:rPr>
        <w:t>OKR:</w:t>
      </w:r>
      <w:r w:rsidRPr="00252D7B">
        <w:rPr>
          <w:rFonts w:asciiTheme="minorHAnsi" w:hAnsiTheme="minorHAnsi" w:cstheme="minorHAnsi"/>
          <w:color w:val="000000"/>
          <w:sz w:val="24"/>
          <w:szCs w:val="24"/>
        </w:rPr>
        <w:t xml:space="preserve"> </w:t>
      </w:r>
      <w:r w:rsidRPr="00252D7B">
        <w:rPr>
          <w:rFonts w:asciiTheme="minorHAnsi" w:hAnsiTheme="minorHAnsi" w:cstheme="minorHAnsi"/>
          <w:i/>
          <w:iCs/>
          <w:color w:val="000000"/>
          <w:sz w:val="24"/>
          <w:szCs w:val="24"/>
        </w:rPr>
        <w:t>Objetives and Key Results</w:t>
      </w:r>
      <w:r w:rsidRPr="00252D7B">
        <w:rPr>
          <w:rFonts w:asciiTheme="minorHAnsi" w:hAnsiTheme="minorHAnsi" w:cstheme="minorHAnsi"/>
          <w:color w:val="000000"/>
          <w:sz w:val="24"/>
          <w:szCs w:val="24"/>
        </w:rPr>
        <w:t xml:space="preserve"> (Objetivos e Resultados-Chave)</w:t>
      </w:r>
    </w:p>
    <w:p w14:paraId="3296492D" w14:textId="77777777" w:rsidR="009D60E7" w:rsidRPr="00252D7B" w:rsidRDefault="009D60E7" w:rsidP="009D60E7">
      <w:pPr>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rPr>
        <w:t>ONS:</w:t>
      </w:r>
      <w:r w:rsidRPr="00252D7B">
        <w:rPr>
          <w:rFonts w:asciiTheme="minorHAnsi" w:hAnsiTheme="minorHAnsi" w:cstheme="minorHAnsi"/>
          <w:color w:val="000000"/>
          <w:sz w:val="24"/>
          <w:szCs w:val="24"/>
        </w:rPr>
        <w:t xml:space="preserve"> Operador Nacional do Sistema Elétrico</w:t>
      </w:r>
    </w:p>
    <w:p w14:paraId="4A82207C" w14:textId="77777777" w:rsidR="009D60E7" w:rsidRPr="00252D7B" w:rsidRDefault="009D60E7" w:rsidP="009D60E7">
      <w:pPr>
        <w:spacing w:before="120" w:after="120"/>
        <w:rPr>
          <w:rFonts w:asciiTheme="minorHAnsi" w:hAnsiTheme="minorHAnsi" w:cstheme="minorHAnsi"/>
          <w:sz w:val="24"/>
          <w:szCs w:val="24"/>
        </w:rPr>
      </w:pPr>
      <w:r w:rsidRPr="00252D7B">
        <w:rPr>
          <w:rFonts w:asciiTheme="minorHAnsi" w:hAnsiTheme="minorHAnsi" w:cstheme="minorHAnsi"/>
          <w:b/>
          <w:bCs/>
          <w:sz w:val="24"/>
          <w:szCs w:val="24"/>
        </w:rPr>
        <w:t>OS-ASCOM:</w:t>
      </w:r>
      <w:r w:rsidRPr="00252D7B">
        <w:rPr>
          <w:rFonts w:asciiTheme="minorHAnsi" w:hAnsiTheme="minorHAnsi" w:cstheme="minorHAnsi"/>
          <w:sz w:val="24"/>
          <w:szCs w:val="24"/>
        </w:rPr>
        <w:t xml:space="preserve"> Sistema de Abertura de Ordens de Serviço da Assessoria de Comunicação Social da Valec Engenharia, Construções e Ferrovias S.A.</w:t>
      </w:r>
    </w:p>
    <w:p w14:paraId="7D25066A" w14:textId="77777777" w:rsidR="009D60E7" w:rsidRPr="00252D7B" w:rsidRDefault="009D60E7" w:rsidP="009D60E7">
      <w:pPr>
        <w:spacing w:before="120" w:after="120"/>
        <w:rPr>
          <w:rFonts w:asciiTheme="minorHAnsi" w:hAnsiTheme="minorHAnsi" w:cstheme="minorHAnsi"/>
          <w:sz w:val="24"/>
          <w:szCs w:val="24"/>
        </w:rPr>
      </w:pPr>
      <w:r w:rsidRPr="00252D7B">
        <w:rPr>
          <w:rFonts w:asciiTheme="minorHAnsi" w:hAnsiTheme="minorHAnsi" w:cstheme="minorHAnsi"/>
          <w:b/>
          <w:bCs/>
          <w:sz w:val="24"/>
          <w:szCs w:val="24"/>
        </w:rPr>
        <w:t>OS-GEADM:</w:t>
      </w:r>
      <w:r w:rsidRPr="00252D7B">
        <w:rPr>
          <w:rFonts w:asciiTheme="minorHAnsi" w:hAnsiTheme="minorHAnsi" w:cstheme="minorHAnsi"/>
          <w:sz w:val="24"/>
          <w:szCs w:val="24"/>
        </w:rPr>
        <w:t xml:space="preserve"> Sistema de Abertura de Ordens de Serviço da Gerência de Administração da Valec Engenharia, Construções e Ferrovias S.A.</w:t>
      </w:r>
    </w:p>
    <w:p w14:paraId="10741AC1" w14:textId="77777777" w:rsidR="009D60E7" w:rsidRPr="00252D7B" w:rsidRDefault="009D60E7" w:rsidP="009D60E7">
      <w:pPr>
        <w:spacing w:before="120" w:after="120"/>
        <w:rPr>
          <w:rFonts w:asciiTheme="minorHAnsi" w:hAnsiTheme="minorHAnsi" w:cstheme="minorHAnsi"/>
          <w:sz w:val="24"/>
          <w:szCs w:val="24"/>
        </w:rPr>
      </w:pPr>
      <w:r w:rsidRPr="00252D7B">
        <w:rPr>
          <w:rFonts w:asciiTheme="minorHAnsi" w:hAnsiTheme="minorHAnsi" w:cstheme="minorHAnsi"/>
          <w:b/>
          <w:bCs/>
          <w:sz w:val="24"/>
          <w:szCs w:val="24"/>
        </w:rPr>
        <w:t>OS-GEPAT:</w:t>
      </w:r>
      <w:r w:rsidRPr="00252D7B">
        <w:rPr>
          <w:rFonts w:asciiTheme="minorHAnsi" w:hAnsiTheme="minorHAnsi" w:cstheme="minorHAnsi"/>
          <w:sz w:val="24"/>
          <w:szCs w:val="24"/>
        </w:rPr>
        <w:t xml:space="preserve"> Sistema de Abertura de Ordens de Serviço da Gerência de Patrimônio da Valec Engenharia, Construções e Ferrovias S.A.</w:t>
      </w:r>
    </w:p>
    <w:p w14:paraId="51331689" w14:textId="77777777" w:rsidR="009D60E7" w:rsidRPr="00252D7B" w:rsidRDefault="009D60E7" w:rsidP="009D60E7">
      <w:pPr>
        <w:spacing w:before="120" w:after="120"/>
        <w:rPr>
          <w:rFonts w:asciiTheme="minorHAnsi" w:hAnsiTheme="minorHAnsi" w:cstheme="minorHAnsi"/>
          <w:sz w:val="24"/>
          <w:szCs w:val="24"/>
        </w:rPr>
      </w:pPr>
      <w:r w:rsidRPr="00252D7B">
        <w:rPr>
          <w:rFonts w:asciiTheme="minorHAnsi" w:hAnsiTheme="minorHAnsi" w:cstheme="minorHAnsi"/>
          <w:b/>
          <w:bCs/>
          <w:sz w:val="24"/>
          <w:szCs w:val="24"/>
        </w:rPr>
        <w:t>OS-GP:</w:t>
      </w:r>
      <w:r w:rsidRPr="00252D7B">
        <w:rPr>
          <w:rFonts w:asciiTheme="minorHAnsi" w:hAnsiTheme="minorHAnsi" w:cstheme="minorHAnsi"/>
          <w:sz w:val="24"/>
          <w:szCs w:val="24"/>
        </w:rPr>
        <w:t xml:space="preserve"> Sistema de Abertura de Ordens de Serviço de Gestão de Pessoas da Valec Engenharia, Construções e Ferrovias S.A.</w:t>
      </w:r>
    </w:p>
    <w:p w14:paraId="2FF456FE" w14:textId="77777777" w:rsidR="009D60E7" w:rsidRPr="00252D7B" w:rsidRDefault="009D60E7" w:rsidP="009D60E7">
      <w:pPr>
        <w:spacing w:before="120" w:after="120"/>
        <w:rPr>
          <w:rFonts w:asciiTheme="minorHAnsi" w:hAnsiTheme="minorHAnsi" w:cstheme="minorHAnsi"/>
          <w:sz w:val="24"/>
          <w:szCs w:val="24"/>
        </w:rPr>
      </w:pPr>
      <w:r w:rsidRPr="00252D7B">
        <w:rPr>
          <w:rFonts w:asciiTheme="minorHAnsi" w:hAnsiTheme="minorHAnsi" w:cstheme="minorHAnsi"/>
          <w:b/>
          <w:bCs/>
          <w:sz w:val="24"/>
          <w:szCs w:val="24"/>
        </w:rPr>
        <w:t>OSPRO:</w:t>
      </w:r>
      <w:r w:rsidRPr="00252D7B">
        <w:rPr>
          <w:rFonts w:asciiTheme="minorHAnsi" w:hAnsiTheme="minorHAnsi" w:cstheme="minorHAnsi"/>
          <w:sz w:val="24"/>
          <w:szCs w:val="24"/>
        </w:rPr>
        <w:t xml:space="preserve"> Sistema de Registro de Solicitação para o Protocolo da Valec Engenharia, Construções e Ferrovias S.A.</w:t>
      </w:r>
    </w:p>
    <w:p w14:paraId="4BBA2437" w14:textId="77777777" w:rsidR="009D60E7" w:rsidRPr="00252D7B" w:rsidRDefault="009D60E7" w:rsidP="009D60E7">
      <w:pPr>
        <w:widowControl/>
        <w:autoSpaceDE/>
        <w:autoSpaceDN/>
        <w:spacing w:before="120" w:after="120"/>
        <w:jc w:val="both"/>
        <w:rPr>
          <w:rFonts w:asciiTheme="minorHAnsi" w:eastAsia="Times New Roman" w:hAnsiTheme="minorHAnsi" w:cstheme="minorHAnsi"/>
          <w:color w:val="000000"/>
          <w:sz w:val="24"/>
          <w:szCs w:val="24"/>
          <w:lang w:bidi="ar-SA"/>
        </w:rPr>
      </w:pPr>
      <w:r w:rsidRPr="00252D7B">
        <w:rPr>
          <w:rFonts w:asciiTheme="minorHAnsi" w:eastAsia="Times New Roman" w:hAnsiTheme="minorHAnsi" w:cstheme="minorHAnsi"/>
          <w:b/>
          <w:bCs/>
          <w:color w:val="000000"/>
          <w:sz w:val="24"/>
          <w:szCs w:val="24"/>
          <w:lang w:bidi="ar-SA"/>
        </w:rPr>
        <w:t>PAINT:</w:t>
      </w:r>
      <w:r w:rsidRPr="00252D7B">
        <w:rPr>
          <w:rFonts w:asciiTheme="minorHAnsi" w:eastAsia="Times New Roman" w:hAnsiTheme="minorHAnsi" w:cstheme="minorHAnsi"/>
          <w:color w:val="000000"/>
          <w:sz w:val="24"/>
          <w:szCs w:val="24"/>
          <w:lang w:bidi="ar-SA"/>
        </w:rPr>
        <w:t xml:space="preserve"> Plano Anual de Auditoria Interna</w:t>
      </w:r>
    </w:p>
    <w:p w14:paraId="3F0C38EF" w14:textId="77777777" w:rsidR="009D60E7" w:rsidRPr="00252D7B" w:rsidRDefault="009D60E7" w:rsidP="009D60E7">
      <w:pPr>
        <w:spacing w:before="120" w:after="120"/>
        <w:jc w:val="both"/>
        <w:rPr>
          <w:rFonts w:asciiTheme="minorHAnsi" w:hAnsiTheme="minorHAnsi" w:cstheme="minorHAnsi"/>
          <w:sz w:val="24"/>
          <w:szCs w:val="24"/>
          <w:lang w:eastAsia="pt-BR"/>
        </w:rPr>
      </w:pPr>
      <w:r w:rsidRPr="00252D7B">
        <w:rPr>
          <w:rFonts w:asciiTheme="minorHAnsi" w:hAnsiTheme="minorHAnsi" w:cstheme="minorHAnsi"/>
          <w:b/>
          <w:bCs/>
          <w:sz w:val="24"/>
          <w:szCs w:val="24"/>
        </w:rPr>
        <w:t>PCN:</w:t>
      </w:r>
      <w:r w:rsidRPr="00252D7B">
        <w:rPr>
          <w:rFonts w:asciiTheme="minorHAnsi" w:hAnsiTheme="minorHAnsi" w:cstheme="minorHAnsi"/>
          <w:sz w:val="24"/>
          <w:szCs w:val="24"/>
        </w:rPr>
        <w:t xml:space="preserve"> Plano de Continuidade de Negócio</w:t>
      </w:r>
    </w:p>
    <w:p w14:paraId="52F0F254" w14:textId="77777777" w:rsidR="009D60E7" w:rsidRPr="00252D7B" w:rsidRDefault="009D60E7" w:rsidP="009D60E7">
      <w:pPr>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rPr>
        <w:t>PCS:</w:t>
      </w:r>
      <w:r w:rsidRPr="00252D7B">
        <w:rPr>
          <w:rFonts w:asciiTheme="minorHAnsi" w:hAnsiTheme="minorHAnsi" w:cstheme="minorHAnsi"/>
          <w:sz w:val="24"/>
          <w:szCs w:val="24"/>
        </w:rPr>
        <w:t xml:space="preserve"> Plano de Cargos e Salários</w:t>
      </w:r>
    </w:p>
    <w:p w14:paraId="008D61A0" w14:textId="77777777" w:rsidR="009D60E7" w:rsidRPr="00252D7B" w:rsidRDefault="009D60E7" w:rsidP="009D60E7">
      <w:pPr>
        <w:spacing w:before="120" w:after="120"/>
        <w:jc w:val="both"/>
        <w:rPr>
          <w:rStyle w:val="fontstyle01"/>
          <w:rFonts w:asciiTheme="minorHAnsi" w:hAnsiTheme="minorHAnsi" w:cstheme="minorHAnsi"/>
          <w:sz w:val="24"/>
          <w:szCs w:val="24"/>
        </w:rPr>
      </w:pPr>
      <w:r w:rsidRPr="00252D7B">
        <w:rPr>
          <w:rFonts w:asciiTheme="minorHAnsi" w:hAnsiTheme="minorHAnsi" w:cstheme="minorHAnsi"/>
          <w:b/>
          <w:bCs/>
          <w:sz w:val="24"/>
          <w:szCs w:val="24"/>
        </w:rPr>
        <w:t>PDTFP:</w:t>
      </w:r>
      <w:r w:rsidRPr="00252D7B">
        <w:rPr>
          <w:rFonts w:asciiTheme="minorHAnsi" w:hAnsiTheme="minorHAnsi" w:cstheme="minorHAnsi"/>
          <w:sz w:val="24"/>
          <w:szCs w:val="24"/>
        </w:rPr>
        <w:t xml:space="preserve"> Política para o Desenvolvimento do Transporte Ferroviário de Passageiros</w:t>
      </w:r>
    </w:p>
    <w:p w14:paraId="4AE6FA2F" w14:textId="77777777" w:rsidR="009D60E7" w:rsidRPr="00252D7B" w:rsidRDefault="009D60E7" w:rsidP="009D60E7">
      <w:pPr>
        <w:spacing w:before="120" w:after="120"/>
        <w:jc w:val="both"/>
        <w:rPr>
          <w:rFonts w:asciiTheme="minorHAnsi" w:hAnsiTheme="minorHAnsi" w:cstheme="minorHAnsi"/>
          <w:color w:val="000000"/>
          <w:sz w:val="24"/>
          <w:szCs w:val="24"/>
        </w:rPr>
      </w:pPr>
      <w:r w:rsidRPr="00252D7B">
        <w:rPr>
          <w:rFonts w:asciiTheme="minorHAnsi" w:hAnsiTheme="minorHAnsi" w:cstheme="minorHAnsi"/>
          <w:b/>
          <w:bCs/>
          <w:color w:val="000000"/>
          <w:sz w:val="24"/>
          <w:szCs w:val="24"/>
        </w:rPr>
        <w:t>PDTI</w:t>
      </w:r>
      <w:r w:rsidRPr="00252D7B">
        <w:rPr>
          <w:rFonts w:asciiTheme="minorHAnsi" w:hAnsiTheme="minorHAnsi" w:cstheme="minorHAnsi"/>
          <w:b/>
          <w:bCs/>
          <w:sz w:val="24"/>
          <w:szCs w:val="24"/>
        </w:rPr>
        <w:t>:</w:t>
      </w:r>
      <w:r w:rsidRPr="00252D7B">
        <w:rPr>
          <w:rFonts w:asciiTheme="minorHAnsi" w:hAnsiTheme="minorHAnsi" w:cstheme="minorHAnsi"/>
          <w:sz w:val="24"/>
          <w:szCs w:val="24"/>
        </w:rPr>
        <w:t xml:space="preserve"> </w:t>
      </w:r>
      <w:r w:rsidRPr="00252D7B">
        <w:rPr>
          <w:rFonts w:asciiTheme="minorHAnsi" w:hAnsiTheme="minorHAnsi" w:cstheme="minorHAnsi"/>
          <w:sz w:val="24"/>
          <w:szCs w:val="24"/>
          <w:lang w:eastAsia="pt-BR"/>
        </w:rPr>
        <w:t xml:space="preserve">Plano Diretor de Tecnologia da Informação </w:t>
      </w:r>
      <w:r w:rsidRPr="00252D7B">
        <w:rPr>
          <w:rFonts w:asciiTheme="minorHAnsi" w:hAnsiTheme="minorHAnsi" w:cstheme="minorHAnsi"/>
          <w:sz w:val="24"/>
          <w:szCs w:val="24"/>
        </w:rPr>
        <w:t>da Valec Engenharia, Construções e Ferrovias S.A.</w:t>
      </w:r>
    </w:p>
    <w:p w14:paraId="1A18CCB9" w14:textId="77777777" w:rsidR="009D60E7" w:rsidRPr="00252D7B" w:rsidRDefault="009D60E7" w:rsidP="009D60E7">
      <w:pPr>
        <w:spacing w:before="120" w:after="120"/>
        <w:jc w:val="both"/>
        <w:rPr>
          <w:rFonts w:asciiTheme="minorHAnsi" w:hAnsiTheme="minorHAnsi" w:cstheme="minorHAnsi"/>
          <w:sz w:val="24"/>
          <w:szCs w:val="24"/>
          <w:lang w:eastAsia="pt-BR"/>
        </w:rPr>
      </w:pPr>
      <w:r w:rsidRPr="00252D7B">
        <w:rPr>
          <w:rFonts w:asciiTheme="minorHAnsi" w:hAnsiTheme="minorHAnsi" w:cstheme="minorHAnsi"/>
          <w:b/>
          <w:bCs/>
          <w:sz w:val="24"/>
          <w:szCs w:val="24"/>
          <w:lang w:eastAsia="pt-BR"/>
        </w:rPr>
        <w:t>PDTIC:</w:t>
      </w:r>
      <w:r w:rsidRPr="00252D7B">
        <w:rPr>
          <w:rFonts w:asciiTheme="minorHAnsi" w:hAnsiTheme="minorHAnsi" w:cstheme="minorHAnsi"/>
          <w:sz w:val="24"/>
          <w:szCs w:val="24"/>
          <w:lang w:eastAsia="pt-BR"/>
        </w:rPr>
        <w:t xml:space="preserve"> Plano Diretor de Tecnologia da Informação e Comunicação </w:t>
      </w:r>
      <w:r w:rsidRPr="00252D7B">
        <w:rPr>
          <w:rFonts w:asciiTheme="minorHAnsi" w:hAnsiTheme="minorHAnsi" w:cstheme="minorHAnsi"/>
          <w:sz w:val="24"/>
          <w:szCs w:val="24"/>
        </w:rPr>
        <w:t>da Valec Engenharia, Construções e Ferrovias S.A.</w:t>
      </w:r>
      <w:r w:rsidRPr="00252D7B">
        <w:rPr>
          <w:rFonts w:asciiTheme="minorHAnsi" w:hAnsiTheme="minorHAnsi" w:cstheme="minorHAnsi"/>
          <w:sz w:val="24"/>
          <w:szCs w:val="24"/>
          <w:lang w:eastAsia="pt-BR"/>
        </w:rPr>
        <w:t xml:space="preserve"> </w:t>
      </w:r>
    </w:p>
    <w:p w14:paraId="44728683" w14:textId="77777777" w:rsidR="009D60E7" w:rsidRPr="00252D7B" w:rsidRDefault="009D60E7" w:rsidP="009D60E7">
      <w:pPr>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rPr>
        <w:t>PEA:</w:t>
      </w:r>
      <w:r w:rsidRPr="00252D7B">
        <w:rPr>
          <w:rFonts w:asciiTheme="minorHAnsi" w:hAnsiTheme="minorHAnsi" w:cstheme="minorHAnsi"/>
          <w:sz w:val="24"/>
          <w:szCs w:val="24"/>
        </w:rPr>
        <w:t xml:space="preserve"> Plano Educacional Anual da Valec Engenharia, Construções e Ferrovias S.A.</w:t>
      </w:r>
    </w:p>
    <w:p w14:paraId="789F16FE" w14:textId="77777777" w:rsidR="009D60E7" w:rsidRPr="00252D7B" w:rsidRDefault="009D60E7" w:rsidP="009D60E7">
      <w:pPr>
        <w:spacing w:before="120" w:after="120"/>
        <w:jc w:val="both"/>
        <w:rPr>
          <w:rFonts w:asciiTheme="minorHAnsi" w:hAnsiTheme="minorHAnsi" w:cstheme="minorHAnsi"/>
          <w:color w:val="000000"/>
          <w:sz w:val="24"/>
          <w:szCs w:val="24"/>
        </w:rPr>
      </w:pPr>
      <w:r w:rsidRPr="00252D7B">
        <w:rPr>
          <w:rFonts w:asciiTheme="minorHAnsi" w:hAnsiTheme="minorHAnsi" w:cstheme="minorHAnsi"/>
          <w:b/>
          <w:bCs/>
          <w:color w:val="000000"/>
          <w:sz w:val="24"/>
          <w:szCs w:val="24"/>
        </w:rPr>
        <w:t>PEI:</w:t>
      </w:r>
      <w:r w:rsidRPr="00252D7B">
        <w:rPr>
          <w:rFonts w:asciiTheme="minorHAnsi" w:hAnsiTheme="minorHAnsi" w:cstheme="minorHAnsi"/>
          <w:color w:val="000000"/>
          <w:sz w:val="24"/>
          <w:szCs w:val="24"/>
        </w:rPr>
        <w:t xml:space="preserve"> Planejamento Estratégico Institucional</w:t>
      </w:r>
      <w:r w:rsidRPr="00252D7B">
        <w:rPr>
          <w:rFonts w:asciiTheme="minorHAnsi" w:hAnsiTheme="minorHAnsi" w:cstheme="minorHAnsi"/>
          <w:sz w:val="24"/>
          <w:szCs w:val="24"/>
        </w:rPr>
        <w:t xml:space="preserve"> da Valec Engenharia, Construções e Ferrovias S.A.</w:t>
      </w:r>
    </w:p>
    <w:p w14:paraId="0A421273" w14:textId="77777777" w:rsidR="009D60E7" w:rsidRPr="00252D7B" w:rsidRDefault="009D60E7" w:rsidP="009D60E7">
      <w:pPr>
        <w:spacing w:before="120" w:after="120"/>
        <w:rPr>
          <w:rFonts w:asciiTheme="minorHAnsi" w:hAnsiTheme="minorHAnsi" w:cstheme="minorHAnsi"/>
          <w:sz w:val="24"/>
          <w:szCs w:val="24"/>
          <w:lang w:eastAsia="pt-BR"/>
        </w:rPr>
      </w:pPr>
      <w:r w:rsidRPr="00252D7B">
        <w:rPr>
          <w:rFonts w:asciiTheme="minorHAnsi" w:hAnsiTheme="minorHAnsi" w:cstheme="minorHAnsi"/>
          <w:b/>
          <w:bCs/>
          <w:sz w:val="24"/>
          <w:szCs w:val="24"/>
          <w:lang w:eastAsia="pt-BR"/>
        </w:rPr>
        <w:t>PETIC:</w:t>
      </w:r>
      <w:r w:rsidRPr="00252D7B">
        <w:rPr>
          <w:rFonts w:asciiTheme="minorHAnsi" w:hAnsiTheme="minorHAnsi" w:cstheme="minorHAnsi"/>
          <w:sz w:val="24"/>
          <w:szCs w:val="24"/>
          <w:lang w:eastAsia="pt-BR"/>
        </w:rPr>
        <w:t xml:space="preserve"> Plano Estratégico de Tecnologia da Informação e Comunicação</w:t>
      </w:r>
      <w:r w:rsidRPr="00252D7B">
        <w:rPr>
          <w:rFonts w:asciiTheme="minorHAnsi" w:hAnsiTheme="minorHAnsi" w:cstheme="minorHAnsi"/>
          <w:sz w:val="24"/>
          <w:szCs w:val="24"/>
        </w:rPr>
        <w:t xml:space="preserve"> da Valec Engenharia, Construções e Ferrovias S.A.</w:t>
      </w:r>
    </w:p>
    <w:p w14:paraId="23CA8924" w14:textId="77777777" w:rsidR="009D60E7" w:rsidRPr="00252D7B" w:rsidRDefault="009D60E7" w:rsidP="009D60E7">
      <w:pPr>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rPr>
        <w:t>PIA:</w:t>
      </w:r>
      <w:r w:rsidRPr="00252D7B">
        <w:rPr>
          <w:rFonts w:asciiTheme="minorHAnsi" w:hAnsiTheme="minorHAnsi" w:cstheme="minorHAnsi"/>
          <w:sz w:val="24"/>
          <w:szCs w:val="24"/>
        </w:rPr>
        <w:t xml:space="preserve"> </w:t>
      </w:r>
      <w:r w:rsidRPr="00252D7B">
        <w:rPr>
          <w:rFonts w:asciiTheme="minorHAnsi" w:hAnsiTheme="minorHAnsi" w:cstheme="minorHAnsi"/>
          <w:i/>
          <w:iCs/>
          <w:sz w:val="24"/>
          <w:szCs w:val="24"/>
        </w:rPr>
        <w:t>Privacy Impact Assessment</w:t>
      </w:r>
      <w:r w:rsidRPr="00252D7B">
        <w:rPr>
          <w:rFonts w:asciiTheme="minorHAnsi" w:hAnsiTheme="minorHAnsi" w:cstheme="minorHAnsi"/>
          <w:sz w:val="24"/>
          <w:szCs w:val="24"/>
        </w:rPr>
        <w:t xml:space="preserve"> (Avaliação de Impacto à Privacidade)</w:t>
      </w:r>
    </w:p>
    <w:p w14:paraId="2BFBE8DF" w14:textId="77777777" w:rsidR="009D60E7" w:rsidRPr="00252D7B" w:rsidRDefault="009D60E7" w:rsidP="009D60E7">
      <w:pPr>
        <w:spacing w:before="120" w:after="120"/>
        <w:jc w:val="both"/>
        <w:rPr>
          <w:rFonts w:asciiTheme="minorHAnsi" w:hAnsiTheme="minorHAnsi" w:cstheme="minorHAnsi"/>
          <w:color w:val="000000"/>
          <w:sz w:val="24"/>
          <w:szCs w:val="24"/>
        </w:rPr>
      </w:pPr>
      <w:r w:rsidRPr="00252D7B">
        <w:rPr>
          <w:rFonts w:asciiTheme="minorHAnsi" w:hAnsiTheme="minorHAnsi" w:cstheme="minorHAnsi"/>
          <w:b/>
          <w:bCs/>
          <w:color w:val="000000"/>
          <w:sz w:val="24"/>
          <w:szCs w:val="24"/>
        </w:rPr>
        <w:t>PL:</w:t>
      </w:r>
      <w:r w:rsidRPr="00252D7B">
        <w:rPr>
          <w:rFonts w:asciiTheme="minorHAnsi" w:hAnsiTheme="minorHAnsi" w:cstheme="minorHAnsi"/>
          <w:color w:val="000000"/>
          <w:sz w:val="24"/>
          <w:szCs w:val="24"/>
        </w:rPr>
        <w:t xml:space="preserve"> Projeto de Lei</w:t>
      </w:r>
    </w:p>
    <w:p w14:paraId="7A216EBA" w14:textId="77777777" w:rsidR="009D60E7" w:rsidRPr="00252D7B" w:rsidRDefault="009D60E7" w:rsidP="009D60E7">
      <w:pPr>
        <w:spacing w:before="120" w:after="120"/>
        <w:jc w:val="both"/>
        <w:rPr>
          <w:rFonts w:asciiTheme="minorHAnsi" w:hAnsiTheme="minorHAnsi" w:cstheme="minorHAnsi"/>
          <w:color w:val="000000"/>
          <w:sz w:val="24"/>
          <w:szCs w:val="24"/>
        </w:rPr>
      </w:pPr>
      <w:r w:rsidRPr="00252D7B">
        <w:rPr>
          <w:rFonts w:asciiTheme="minorHAnsi" w:hAnsiTheme="minorHAnsi" w:cstheme="minorHAnsi"/>
          <w:b/>
          <w:bCs/>
          <w:color w:val="000000"/>
          <w:sz w:val="24"/>
          <w:szCs w:val="24"/>
        </w:rPr>
        <w:t>PLOA:</w:t>
      </w:r>
      <w:r w:rsidRPr="00252D7B">
        <w:rPr>
          <w:rFonts w:asciiTheme="minorHAnsi" w:hAnsiTheme="minorHAnsi" w:cstheme="minorHAnsi"/>
          <w:color w:val="000000"/>
          <w:sz w:val="24"/>
          <w:szCs w:val="24"/>
        </w:rPr>
        <w:t xml:space="preserve"> Projeto de Lei Orçamentária Anual</w:t>
      </w:r>
    </w:p>
    <w:p w14:paraId="6FA1CCDB" w14:textId="77777777" w:rsidR="009D60E7" w:rsidRPr="00252D7B" w:rsidRDefault="009D60E7" w:rsidP="009D60E7">
      <w:pPr>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rPr>
        <w:t>PLS:</w:t>
      </w:r>
      <w:r w:rsidRPr="00252D7B">
        <w:rPr>
          <w:rFonts w:asciiTheme="minorHAnsi" w:hAnsiTheme="minorHAnsi" w:cstheme="minorHAnsi"/>
          <w:sz w:val="24"/>
          <w:szCs w:val="24"/>
        </w:rPr>
        <w:t xml:space="preserve"> Plano de Logística Sustentável da Valec Engenharia, Construções e Ferrovias S.A.</w:t>
      </w:r>
    </w:p>
    <w:p w14:paraId="2D3CCDFE" w14:textId="77777777" w:rsidR="009D60E7" w:rsidRPr="00252D7B" w:rsidRDefault="009D60E7" w:rsidP="009D60E7">
      <w:pPr>
        <w:spacing w:before="120" w:after="120"/>
        <w:jc w:val="both"/>
        <w:rPr>
          <w:rFonts w:asciiTheme="minorHAnsi" w:hAnsiTheme="minorHAnsi" w:cstheme="minorHAnsi"/>
          <w:color w:val="000000"/>
          <w:sz w:val="24"/>
          <w:szCs w:val="24"/>
        </w:rPr>
      </w:pPr>
      <w:r w:rsidRPr="00252D7B">
        <w:rPr>
          <w:rFonts w:asciiTheme="minorHAnsi" w:hAnsiTheme="minorHAnsi" w:cstheme="minorHAnsi"/>
          <w:b/>
          <w:bCs/>
          <w:color w:val="000000"/>
          <w:sz w:val="24"/>
          <w:szCs w:val="24"/>
        </w:rPr>
        <w:t>PN:</w:t>
      </w:r>
      <w:r w:rsidRPr="00252D7B">
        <w:rPr>
          <w:rFonts w:asciiTheme="minorHAnsi" w:hAnsiTheme="minorHAnsi" w:cstheme="minorHAnsi"/>
          <w:color w:val="000000"/>
          <w:sz w:val="24"/>
          <w:szCs w:val="24"/>
        </w:rPr>
        <w:t xml:space="preserve"> Plano de Negócios</w:t>
      </w:r>
    </w:p>
    <w:p w14:paraId="10B75A6D" w14:textId="77777777" w:rsidR="009D60E7" w:rsidRPr="00252D7B" w:rsidRDefault="009D60E7" w:rsidP="009D60E7">
      <w:pPr>
        <w:spacing w:before="120" w:after="120"/>
        <w:jc w:val="both"/>
        <w:rPr>
          <w:rFonts w:asciiTheme="minorHAnsi" w:hAnsiTheme="minorHAnsi" w:cstheme="minorHAnsi"/>
          <w:color w:val="000000"/>
          <w:sz w:val="24"/>
          <w:szCs w:val="24"/>
        </w:rPr>
      </w:pPr>
      <w:r w:rsidRPr="00252D7B">
        <w:rPr>
          <w:rFonts w:asciiTheme="minorHAnsi" w:hAnsiTheme="minorHAnsi" w:cstheme="minorHAnsi"/>
          <w:b/>
          <w:bCs/>
          <w:color w:val="000000"/>
          <w:sz w:val="24"/>
          <w:szCs w:val="24"/>
        </w:rPr>
        <w:t>PNL:</w:t>
      </w:r>
      <w:r w:rsidRPr="00252D7B">
        <w:rPr>
          <w:rFonts w:asciiTheme="minorHAnsi" w:hAnsiTheme="minorHAnsi" w:cstheme="minorHAnsi"/>
          <w:color w:val="000000"/>
          <w:sz w:val="24"/>
          <w:szCs w:val="24"/>
        </w:rPr>
        <w:t xml:space="preserve"> Plano Nacional de Logística</w:t>
      </w:r>
    </w:p>
    <w:p w14:paraId="6514B035" w14:textId="77777777" w:rsidR="009D60E7" w:rsidRPr="00252D7B" w:rsidRDefault="009D60E7" w:rsidP="009D60E7">
      <w:pPr>
        <w:spacing w:before="120" w:after="120"/>
        <w:jc w:val="both"/>
        <w:rPr>
          <w:rFonts w:asciiTheme="minorHAnsi" w:hAnsiTheme="minorHAnsi" w:cstheme="minorHAnsi"/>
          <w:color w:val="000000"/>
          <w:sz w:val="24"/>
          <w:szCs w:val="24"/>
        </w:rPr>
      </w:pPr>
      <w:r w:rsidRPr="00252D7B">
        <w:rPr>
          <w:rFonts w:asciiTheme="minorHAnsi" w:hAnsiTheme="minorHAnsi" w:cstheme="minorHAnsi"/>
          <w:b/>
          <w:bCs/>
          <w:color w:val="000000"/>
          <w:sz w:val="24"/>
          <w:szCs w:val="24"/>
        </w:rPr>
        <w:lastRenderedPageBreak/>
        <w:t>PPA:</w:t>
      </w:r>
      <w:r w:rsidRPr="00252D7B">
        <w:rPr>
          <w:rFonts w:asciiTheme="minorHAnsi" w:hAnsiTheme="minorHAnsi" w:cstheme="minorHAnsi"/>
          <w:color w:val="000000"/>
          <w:sz w:val="24"/>
          <w:szCs w:val="24"/>
        </w:rPr>
        <w:t xml:space="preserve"> Plano Plurianual</w:t>
      </w:r>
    </w:p>
    <w:p w14:paraId="65B8CC53" w14:textId="77777777" w:rsidR="009D60E7" w:rsidRPr="00252D7B" w:rsidRDefault="009D60E7" w:rsidP="009D60E7">
      <w:pPr>
        <w:spacing w:before="120" w:after="120"/>
        <w:jc w:val="both"/>
        <w:rPr>
          <w:rFonts w:asciiTheme="minorHAnsi" w:hAnsiTheme="minorHAnsi" w:cstheme="minorHAnsi"/>
          <w:color w:val="000000"/>
          <w:sz w:val="24"/>
          <w:szCs w:val="24"/>
        </w:rPr>
      </w:pPr>
      <w:r w:rsidRPr="00252D7B">
        <w:rPr>
          <w:rFonts w:asciiTheme="minorHAnsi" w:hAnsiTheme="minorHAnsi" w:cstheme="minorHAnsi"/>
          <w:b/>
          <w:bCs/>
          <w:color w:val="000000"/>
          <w:sz w:val="24"/>
          <w:szCs w:val="24"/>
        </w:rPr>
        <w:t>PPI:</w:t>
      </w:r>
      <w:r w:rsidRPr="00252D7B">
        <w:rPr>
          <w:rFonts w:asciiTheme="minorHAnsi" w:hAnsiTheme="minorHAnsi" w:cstheme="minorHAnsi"/>
          <w:color w:val="000000"/>
          <w:sz w:val="24"/>
          <w:szCs w:val="24"/>
        </w:rPr>
        <w:t xml:space="preserve"> Programa de Parcerias de Investimento</w:t>
      </w:r>
    </w:p>
    <w:p w14:paraId="7D837BA4" w14:textId="77777777" w:rsidR="009D60E7" w:rsidRPr="00252D7B" w:rsidRDefault="009D60E7" w:rsidP="009D60E7">
      <w:pPr>
        <w:pStyle w:val="Recuodecorpodetexto"/>
        <w:spacing w:before="120"/>
        <w:ind w:left="0"/>
        <w:jc w:val="both"/>
        <w:rPr>
          <w:rFonts w:asciiTheme="minorHAnsi" w:hAnsiTheme="minorHAnsi" w:cstheme="minorHAnsi"/>
          <w:color w:val="000000"/>
        </w:rPr>
      </w:pPr>
      <w:r w:rsidRPr="00252D7B">
        <w:rPr>
          <w:rFonts w:asciiTheme="minorHAnsi" w:hAnsiTheme="minorHAnsi" w:cstheme="minorHAnsi"/>
          <w:b/>
          <w:bCs/>
          <w:color w:val="000000"/>
        </w:rPr>
        <w:t>PQVT:</w:t>
      </w:r>
      <w:r w:rsidRPr="00252D7B">
        <w:rPr>
          <w:rFonts w:asciiTheme="minorHAnsi" w:hAnsiTheme="minorHAnsi" w:cstheme="minorHAnsi"/>
          <w:color w:val="000000"/>
        </w:rPr>
        <w:t xml:space="preserve"> Política de Qualidade de Vida no Trabalho</w:t>
      </w:r>
      <w:r w:rsidRPr="00252D7B">
        <w:rPr>
          <w:rFonts w:asciiTheme="minorHAnsi" w:hAnsiTheme="minorHAnsi" w:cstheme="minorHAnsi"/>
        </w:rPr>
        <w:t xml:space="preserve"> da Valec Engenharia, Construções e Ferrovias S.A.</w:t>
      </w:r>
    </w:p>
    <w:p w14:paraId="382B4D92" w14:textId="77777777" w:rsidR="009D60E7" w:rsidRPr="00252D7B" w:rsidRDefault="009D60E7" w:rsidP="009D60E7">
      <w:pPr>
        <w:spacing w:before="120" w:after="120"/>
        <w:jc w:val="both"/>
        <w:rPr>
          <w:rFonts w:asciiTheme="minorHAnsi" w:hAnsiTheme="minorHAnsi" w:cstheme="minorHAnsi"/>
          <w:sz w:val="24"/>
          <w:szCs w:val="24"/>
          <w:lang w:eastAsia="pt-BR"/>
        </w:rPr>
      </w:pPr>
      <w:r w:rsidRPr="00252D7B">
        <w:rPr>
          <w:rFonts w:asciiTheme="minorHAnsi" w:hAnsiTheme="minorHAnsi" w:cstheme="minorHAnsi"/>
          <w:b/>
          <w:bCs/>
          <w:sz w:val="24"/>
          <w:szCs w:val="24"/>
          <w:lang w:eastAsia="pt-BR"/>
        </w:rPr>
        <w:t>PRESI</w:t>
      </w:r>
      <w:r w:rsidRPr="00252D7B">
        <w:rPr>
          <w:rFonts w:asciiTheme="minorHAnsi" w:hAnsiTheme="minorHAnsi" w:cstheme="minorHAnsi"/>
          <w:b/>
          <w:bCs/>
          <w:sz w:val="24"/>
          <w:szCs w:val="24"/>
        </w:rPr>
        <w:t>:</w:t>
      </w:r>
      <w:r w:rsidRPr="00252D7B">
        <w:rPr>
          <w:rFonts w:asciiTheme="minorHAnsi" w:hAnsiTheme="minorHAnsi" w:cstheme="minorHAnsi"/>
          <w:sz w:val="24"/>
          <w:szCs w:val="24"/>
        </w:rPr>
        <w:t xml:space="preserve"> Presidência da Valec Engenharia, Construções e Ferrovias S.A.</w:t>
      </w:r>
    </w:p>
    <w:p w14:paraId="704BB1C7" w14:textId="77777777" w:rsidR="009D60E7" w:rsidRPr="00252D7B" w:rsidRDefault="009D60E7" w:rsidP="009D60E7">
      <w:pPr>
        <w:spacing w:before="120" w:after="120"/>
        <w:jc w:val="both"/>
        <w:rPr>
          <w:rFonts w:asciiTheme="minorHAnsi" w:hAnsiTheme="minorHAnsi" w:cstheme="minorHAnsi"/>
          <w:sz w:val="24"/>
          <w:szCs w:val="24"/>
          <w:lang w:eastAsia="pt-BR"/>
        </w:rPr>
      </w:pPr>
      <w:r w:rsidRPr="00252D7B">
        <w:rPr>
          <w:rFonts w:asciiTheme="minorHAnsi" w:hAnsiTheme="minorHAnsi" w:cstheme="minorHAnsi"/>
          <w:b/>
          <w:bCs/>
          <w:sz w:val="24"/>
          <w:szCs w:val="24"/>
          <w:lang w:eastAsia="pt-BR"/>
        </w:rPr>
        <w:t>PROJUR:</w:t>
      </w:r>
      <w:r w:rsidRPr="00252D7B">
        <w:rPr>
          <w:rFonts w:asciiTheme="minorHAnsi" w:hAnsiTheme="minorHAnsi" w:cstheme="minorHAnsi"/>
          <w:sz w:val="24"/>
          <w:szCs w:val="24"/>
        </w:rPr>
        <w:t xml:space="preserve"> Procuradoria Jurídica da Valec Engenharia, Construções e Ferrovias S.A.</w:t>
      </w:r>
    </w:p>
    <w:p w14:paraId="22F01409" w14:textId="77777777" w:rsidR="009D60E7" w:rsidRPr="00252D7B" w:rsidRDefault="009D60E7" w:rsidP="009D60E7">
      <w:pPr>
        <w:spacing w:before="120" w:after="120"/>
        <w:jc w:val="both"/>
        <w:rPr>
          <w:rFonts w:asciiTheme="minorHAnsi" w:hAnsiTheme="minorHAnsi" w:cstheme="minorHAnsi"/>
          <w:sz w:val="24"/>
          <w:szCs w:val="24"/>
          <w:lang w:eastAsia="pt-BR"/>
        </w:rPr>
      </w:pPr>
      <w:r w:rsidRPr="00252D7B">
        <w:rPr>
          <w:rFonts w:asciiTheme="minorHAnsi" w:hAnsiTheme="minorHAnsi" w:cstheme="minorHAnsi"/>
          <w:b/>
          <w:bCs/>
          <w:sz w:val="24"/>
          <w:szCs w:val="24"/>
          <w:lang w:eastAsia="pt-BR"/>
        </w:rPr>
        <w:t>PSI:</w:t>
      </w:r>
      <w:r w:rsidRPr="00252D7B">
        <w:rPr>
          <w:rFonts w:asciiTheme="minorHAnsi" w:hAnsiTheme="minorHAnsi" w:cstheme="minorHAnsi"/>
          <w:sz w:val="24"/>
          <w:szCs w:val="24"/>
          <w:lang w:eastAsia="pt-BR"/>
        </w:rPr>
        <w:t xml:space="preserve"> Política de Segurança da Informação</w:t>
      </w:r>
      <w:r w:rsidRPr="00252D7B">
        <w:rPr>
          <w:rFonts w:asciiTheme="minorHAnsi" w:hAnsiTheme="minorHAnsi" w:cstheme="minorHAnsi"/>
          <w:sz w:val="24"/>
          <w:szCs w:val="24"/>
        </w:rPr>
        <w:t xml:space="preserve"> da Valec Engenharia, Construções e Ferrovias S.A.</w:t>
      </w:r>
    </w:p>
    <w:p w14:paraId="6F3D50BE" w14:textId="77777777" w:rsidR="009D60E7" w:rsidRPr="00252D7B" w:rsidRDefault="009D60E7" w:rsidP="009D60E7">
      <w:pPr>
        <w:pStyle w:val="Recuodecorpodetexto"/>
        <w:spacing w:before="120"/>
        <w:ind w:left="0"/>
        <w:jc w:val="both"/>
        <w:rPr>
          <w:rFonts w:asciiTheme="minorHAnsi" w:hAnsiTheme="minorHAnsi" w:cstheme="minorHAnsi"/>
        </w:rPr>
      </w:pPr>
      <w:r w:rsidRPr="00252D7B">
        <w:rPr>
          <w:rFonts w:asciiTheme="minorHAnsi" w:hAnsiTheme="minorHAnsi" w:cstheme="minorHAnsi"/>
          <w:b/>
        </w:rPr>
        <w:t xml:space="preserve">PTI: </w:t>
      </w:r>
      <w:r w:rsidRPr="00252D7B">
        <w:rPr>
          <w:rFonts w:asciiTheme="minorHAnsi" w:hAnsiTheme="minorHAnsi" w:cstheme="minorHAnsi"/>
          <w:bCs/>
        </w:rPr>
        <w:t>Plano de Trabalho Individual</w:t>
      </w:r>
      <w:r w:rsidRPr="00252D7B">
        <w:rPr>
          <w:rFonts w:asciiTheme="minorHAnsi" w:hAnsiTheme="minorHAnsi" w:cstheme="minorHAnsi"/>
        </w:rPr>
        <w:t>, da Valec Engenharia, Construções e Ferrovias S.A.</w:t>
      </w:r>
    </w:p>
    <w:p w14:paraId="1E4F8110" w14:textId="77777777" w:rsidR="009D60E7" w:rsidRPr="00252D7B" w:rsidRDefault="009D60E7" w:rsidP="009D60E7">
      <w:pPr>
        <w:spacing w:before="120" w:after="120"/>
        <w:jc w:val="both"/>
        <w:rPr>
          <w:rFonts w:asciiTheme="minorHAnsi" w:hAnsiTheme="minorHAnsi" w:cstheme="minorHAnsi"/>
          <w:color w:val="000000"/>
          <w:sz w:val="24"/>
          <w:szCs w:val="24"/>
        </w:rPr>
      </w:pPr>
      <w:r w:rsidRPr="00252D7B">
        <w:rPr>
          <w:rFonts w:asciiTheme="minorHAnsi" w:hAnsiTheme="minorHAnsi" w:cstheme="minorHAnsi"/>
          <w:b/>
          <w:bCs/>
          <w:color w:val="000000"/>
          <w:sz w:val="24"/>
          <w:szCs w:val="24"/>
        </w:rPr>
        <w:t>QVT:</w:t>
      </w:r>
      <w:r w:rsidRPr="00252D7B">
        <w:rPr>
          <w:rFonts w:asciiTheme="minorHAnsi" w:hAnsiTheme="minorHAnsi" w:cstheme="minorHAnsi"/>
          <w:color w:val="000000"/>
          <w:sz w:val="24"/>
          <w:szCs w:val="24"/>
        </w:rPr>
        <w:t xml:space="preserve"> Qualidade de Vida no Trabalho</w:t>
      </w:r>
    </w:p>
    <w:p w14:paraId="6B16F5FC" w14:textId="77777777" w:rsidR="009D60E7" w:rsidRPr="00252D7B" w:rsidRDefault="009D60E7" w:rsidP="009D60E7">
      <w:pPr>
        <w:spacing w:before="120" w:after="120"/>
        <w:jc w:val="both"/>
        <w:rPr>
          <w:rFonts w:asciiTheme="minorHAnsi" w:hAnsiTheme="minorHAnsi" w:cstheme="minorHAnsi"/>
          <w:color w:val="000000"/>
          <w:sz w:val="24"/>
          <w:szCs w:val="24"/>
        </w:rPr>
      </w:pPr>
      <w:r w:rsidRPr="00252D7B">
        <w:rPr>
          <w:rFonts w:asciiTheme="minorHAnsi" w:hAnsiTheme="minorHAnsi" w:cstheme="minorHAnsi"/>
          <w:b/>
          <w:bCs/>
          <w:color w:val="000000"/>
          <w:sz w:val="24"/>
          <w:szCs w:val="24"/>
        </w:rPr>
        <w:t>RAE:</w:t>
      </w:r>
      <w:r w:rsidRPr="00252D7B">
        <w:rPr>
          <w:rFonts w:asciiTheme="minorHAnsi" w:hAnsiTheme="minorHAnsi" w:cstheme="minorHAnsi"/>
          <w:color w:val="000000"/>
          <w:sz w:val="24"/>
          <w:szCs w:val="24"/>
        </w:rPr>
        <w:t xml:space="preserve"> Reunião de Avaliação Estratégica</w:t>
      </w:r>
    </w:p>
    <w:p w14:paraId="6AE7C712" w14:textId="77777777" w:rsidR="009D60E7" w:rsidRPr="00252D7B" w:rsidRDefault="009D60E7" w:rsidP="009D60E7">
      <w:pPr>
        <w:widowControl/>
        <w:autoSpaceDE/>
        <w:autoSpaceDN/>
        <w:spacing w:before="120" w:after="120"/>
        <w:jc w:val="both"/>
        <w:rPr>
          <w:rFonts w:asciiTheme="minorHAnsi" w:eastAsia="Times New Roman" w:hAnsiTheme="minorHAnsi" w:cstheme="minorHAnsi"/>
          <w:color w:val="000000"/>
          <w:sz w:val="24"/>
          <w:szCs w:val="24"/>
          <w:lang w:bidi="ar-SA"/>
        </w:rPr>
      </w:pPr>
      <w:r w:rsidRPr="00252D7B">
        <w:rPr>
          <w:rFonts w:asciiTheme="minorHAnsi" w:eastAsia="Times New Roman" w:hAnsiTheme="minorHAnsi" w:cstheme="minorHAnsi"/>
          <w:b/>
          <w:bCs/>
          <w:color w:val="000000"/>
          <w:sz w:val="24"/>
          <w:szCs w:val="24"/>
          <w:lang w:bidi="ar-SA"/>
        </w:rPr>
        <w:t>RAINT:</w:t>
      </w:r>
      <w:r w:rsidRPr="00252D7B">
        <w:rPr>
          <w:rFonts w:asciiTheme="minorHAnsi" w:eastAsia="Times New Roman" w:hAnsiTheme="minorHAnsi" w:cstheme="minorHAnsi"/>
          <w:color w:val="000000"/>
          <w:sz w:val="24"/>
          <w:szCs w:val="24"/>
          <w:lang w:bidi="ar-SA"/>
        </w:rPr>
        <w:t xml:space="preserve"> Relatório Anual de Auditoria Interna</w:t>
      </w:r>
    </w:p>
    <w:p w14:paraId="58CCE790" w14:textId="02E93343" w:rsidR="009D60E7" w:rsidRDefault="009D60E7" w:rsidP="009D60E7">
      <w:pPr>
        <w:spacing w:before="120" w:after="120"/>
        <w:jc w:val="both"/>
        <w:rPr>
          <w:rFonts w:asciiTheme="minorHAnsi" w:hAnsiTheme="minorHAnsi" w:cstheme="minorHAnsi"/>
          <w:sz w:val="24"/>
          <w:szCs w:val="24"/>
          <w:lang w:eastAsia="pt-BR"/>
        </w:rPr>
      </w:pPr>
      <w:r w:rsidRPr="00252D7B">
        <w:rPr>
          <w:rFonts w:asciiTheme="minorHAnsi" w:hAnsiTheme="minorHAnsi" w:cstheme="minorHAnsi"/>
          <w:b/>
          <w:bCs/>
          <w:sz w:val="24"/>
          <w:szCs w:val="24"/>
          <w:lang w:eastAsia="pt-BR"/>
        </w:rPr>
        <w:t>RAP:</w:t>
      </w:r>
      <w:r w:rsidRPr="00252D7B">
        <w:rPr>
          <w:rFonts w:asciiTheme="minorHAnsi" w:hAnsiTheme="minorHAnsi" w:cstheme="minorHAnsi"/>
          <w:sz w:val="24"/>
          <w:szCs w:val="24"/>
          <w:lang w:eastAsia="pt-BR"/>
        </w:rPr>
        <w:t xml:space="preserve"> Restos a Pagar</w:t>
      </w:r>
    </w:p>
    <w:p w14:paraId="47604723" w14:textId="3ADAC5E8" w:rsidR="006D220D" w:rsidRDefault="006D220D" w:rsidP="009D60E7">
      <w:pPr>
        <w:spacing w:before="120" w:after="120"/>
        <w:jc w:val="both"/>
        <w:rPr>
          <w:rFonts w:asciiTheme="minorHAnsi" w:hAnsiTheme="minorHAnsi" w:cstheme="minorHAnsi"/>
          <w:sz w:val="24"/>
          <w:szCs w:val="24"/>
          <w:lang w:eastAsia="pt-BR"/>
        </w:rPr>
      </w:pPr>
      <w:r w:rsidRPr="006D220D">
        <w:rPr>
          <w:rFonts w:asciiTheme="minorHAnsi" w:hAnsiTheme="minorHAnsi" w:cstheme="minorHAnsi"/>
          <w:b/>
          <w:bCs/>
          <w:sz w:val="24"/>
          <w:szCs w:val="24"/>
          <w:lang w:eastAsia="pt-BR"/>
        </w:rPr>
        <w:t xml:space="preserve">RAT: </w:t>
      </w:r>
      <w:r w:rsidRPr="006D220D">
        <w:rPr>
          <w:rFonts w:asciiTheme="minorHAnsi" w:hAnsiTheme="minorHAnsi" w:cstheme="minorHAnsi"/>
          <w:sz w:val="24"/>
          <w:szCs w:val="24"/>
          <w:lang w:eastAsia="pt-BR"/>
        </w:rPr>
        <w:t>Risco Ambiental do Trabalho</w:t>
      </w:r>
    </w:p>
    <w:p w14:paraId="67B2CA05" w14:textId="27058C4C" w:rsidR="00EC205C" w:rsidRPr="006D220D" w:rsidRDefault="00EC205C" w:rsidP="009D60E7">
      <w:pPr>
        <w:spacing w:before="120" w:after="120"/>
        <w:jc w:val="both"/>
        <w:rPr>
          <w:rFonts w:asciiTheme="minorHAnsi" w:hAnsiTheme="minorHAnsi" w:cstheme="minorHAnsi"/>
          <w:sz w:val="24"/>
          <w:szCs w:val="24"/>
          <w:lang w:eastAsia="pt-BR"/>
        </w:rPr>
      </w:pPr>
      <w:r w:rsidRPr="00EC205C">
        <w:rPr>
          <w:rFonts w:asciiTheme="minorHAnsi" w:hAnsiTheme="minorHAnsi" w:cstheme="minorHAnsi"/>
          <w:b/>
          <w:bCs/>
          <w:sz w:val="24"/>
          <w:szCs w:val="24"/>
          <w:lang w:eastAsia="pt-BR"/>
        </w:rPr>
        <w:t>REIDI:</w:t>
      </w:r>
      <w:r w:rsidRPr="00EC205C">
        <w:rPr>
          <w:rFonts w:asciiTheme="minorHAnsi" w:hAnsiTheme="minorHAnsi" w:cstheme="minorHAnsi"/>
          <w:sz w:val="24"/>
          <w:szCs w:val="24"/>
          <w:lang w:eastAsia="pt-BR"/>
        </w:rPr>
        <w:t xml:space="preserve"> Regime Especial de Incentivo para o Desenvolvimento da Infraestrutura</w:t>
      </w:r>
    </w:p>
    <w:p w14:paraId="47DC5A0D" w14:textId="77777777" w:rsidR="009D60E7" w:rsidRPr="00252D7B" w:rsidRDefault="009D60E7" w:rsidP="009D60E7">
      <w:pPr>
        <w:spacing w:before="120" w:after="120"/>
        <w:jc w:val="both"/>
        <w:rPr>
          <w:rFonts w:asciiTheme="minorHAnsi" w:hAnsiTheme="minorHAnsi" w:cstheme="minorHAnsi"/>
          <w:sz w:val="24"/>
          <w:szCs w:val="24"/>
          <w:lang w:eastAsia="pt-BR"/>
        </w:rPr>
      </w:pPr>
      <w:r w:rsidRPr="00252D7B">
        <w:rPr>
          <w:rFonts w:asciiTheme="minorHAnsi" w:hAnsiTheme="minorHAnsi" w:cstheme="minorHAnsi"/>
          <w:b/>
          <w:bCs/>
          <w:sz w:val="24"/>
          <w:szCs w:val="24"/>
          <w:lang w:eastAsia="pt-BR"/>
        </w:rPr>
        <w:t>RFFSA:</w:t>
      </w:r>
      <w:r w:rsidRPr="00252D7B">
        <w:rPr>
          <w:rFonts w:asciiTheme="minorHAnsi" w:hAnsiTheme="minorHAnsi" w:cstheme="minorHAnsi"/>
        </w:rPr>
        <w:t xml:space="preserve"> </w:t>
      </w:r>
      <w:r w:rsidRPr="00252D7B">
        <w:rPr>
          <w:rFonts w:asciiTheme="minorHAnsi" w:hAnsiTheme="minorHAnsi" w:cstheme="minorHAnsi"/>
          <w:sz w:val="24"/>
          <w:szCs w:val="24"/>
          <w:lang w:eastAsia="pt-BR"/>
        </w:rPr>
        <w:t>Rede Ferroviária Federal S/A</w:t>
      </w:r>
    </w:p>
    <w:p w14:paraId="6B777D49" w14:textId="77777777" w:rsidR="009D60E7" w:rsidRPr="00252D7B" w:rsidRDefault="009D60E7" w:rsidP="009D60E7">
      <w:pPr>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rPr>
        <w:t>RGI:</w:t>
      </w:r>
      <w:r w:rsidRPr="00252D7B">
        <w:rPr>
          <w:rFonts w:asciiTheme="minorHAnsi" w:hAnsiTheme="minorHAnsi" w:cstheme="minorHAnsi"/>
          <w:sz w:val="24"/>
          <w:szCs w:val="24"/>
        </w:rPr>
        <w:t xml:space="preserve"> Relatório de Gestão Integrado</w:t>
      </w:r>
    </w:p>
    <w:p w14:paraId="620E4E2E" w14:textId="77777777" w:rsidR="009D60E7" w:rsidRPr="00252D7B" w:rsidRDefault="009D60E7" w:rsidP="009D60E7">
      <w:pPr>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rPr>
        <w:t>RILC:</w:t>
      </w:r>
      <w:r w:rsidRPr="00252D7B">
        <w:rPr>
          <w:rFonts w:asciiTheme="minorHAnsi" w:hAnsiTheme="minorHAnsi" w:cstheme="minorHAnsi"/>
          <w:sz w:val="24"/>
          <w:szCs w:val="24"/>
        </w:rPr>
        <w:t xml:space="preserve"> Regulamento Interno de Licitações e Contratos da Valec Engenharia, Construções e Ferrovias S.A.</w:t>
      </w:r>
    </w:p>
    <w:p w14:paraId="59DA33DE" w14:textId="77777777" w:rsidR="009D60E7" w:rsidRPr="00252D7B" w:rsidRDefault="009D60E7" w:rsidP="009D60E7">
      <w:pPr>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rPr>
        <w:t>RIPD:</w:t>
      </w:r>
      <w:r w:rsidRPr="00252D7B">
        <w:rPr>
          <w:rFonts w:asciiTheme="minorHAnsi" w:hAnsiTheme="minorHAnsi" w:cstheme="minorHAnsi"/>
          <w:sz w:val="24"/>
          <w:szCs w:val="24"/>
        </w:rPr>
        <w:t xml:space="preserve"> Relatório de Impacto à Proteção de Dados Pessoais</w:t>
      </w:r>
    </w:p>
    <w:p w14:paraId="2304C0D7" w14:textId="77777777" w:rsidR="009D60E7" w:rsidRPr="00252D7B" w:rsidRDefault="009D60E7" w:rsidP="009D60E7">
      <w:pPr>
        <w:spacing w:before="120" w:after="120"/>
        <w:jc w:val="both"/>
        <w:rPr>
          <w:rFonts w:asciiTheme="minorHAnsi" w:hAnsiTheme="minorHAnsi" w:cstheme="minorHAnsi"/>
          <w:color w:val="000000"/>
          <w:sz w:val="24"/>
          <w:szCs w:val="24"/>
        </w:rPr>
      </w:pPr>
      <w:r w:rsidRPr="00252D7B">
        <w:rPr>
          <w:rFonts w:asciiTheme="minorHAnsi" w:hAnsiTheme="minorHAnsi" w:cstheme="minorHAnsi"/>
          <w:b/>
          <w:bCs/>
          <w:color w:val="000000"/>
          <w:sz w:val="24"/>
          <w:szCs w:val="24"/>
        </w:rPr>
        <w:t>SECOE:</w:t>
      </w:r>
      <w:r w:rsidRPr="00252D7B">
        <w:rPr>
          <w:rFonts w:asciiTheme="minorHAnsi" w:hAnsiTheme="minorHAnsi" w:cstheme="minorHAnsi"/>
          <w:color w:val="000000"/>
          <w:sz w:val="24"/>
          <w:szCs w:val="24"/>
        </w:rPr>
        <w:t xml:space="preserve"> Secretaria Executiva da Comissão de Ética</w:t>
      </w:r>
      <w:r w:rsidRPr="00252D7B">
        <w:rPr>
          <w:rFonts w:asciiTheme="minorHAnsi" w:hAnsiTheme="minorHAnsi" w:cstheme="minorHAnsi"/>
          <w:sz w:val="24"/>
          <w:szCs w:val="24"/>
        </w:rPr>
        <w:t xml:space="preserve"> da Valec Engenharia, Construções e Ferrovias S.A.</w:t>
      </w:r>
    </w:p>
    <w:p w14:paraId="0866AEE2" w14:textId="77777777" w:rsidR="009D60E7" w:rsidRPr="00252D7B" w:rsidRDefault="009D60E7" w:rsidP="009D60E7">
      <w:pPr>
        <w:spacing w:before="120" w:after="120"/>
        <w:jc w:val="both"/>
        <w:rPr>
          <w:rFonts w:asciiTheme="minorHAnsi" w:hAnsiTheme="minorHAnsi" w:cstheme="minorHAnsi"/>
          <w:i/>
          <w:iCs/>
          <w:sz w:val="24"/>
          <w:szCs w:val="24"/>
        </w:rPr>
      </w:pPr>
      <w:r w:rsidRPr="00252D7B">
        <w:rPr>
          <w:rFonts w:asciiTheme="minorHAnsi" w:hAnsiTheme="minorHAnsi" w:cstheme="minorHAnsi"/>
          <w:b/>
          <w:bCs/>
          <w:sz w:val="24"/>
          <w:szCs w:val="24"/>
        </w:rPr>
        <w:t>SEGES/MPDG:</w:t>
      </w:r>
      <w:r w:rsidRPr="00252D7B">
        <w:rPr>
          <w:rFonts w:asciiTheme="minorHAnsi" w:hAnsiTheme="minorHAnsi" w:cstheme="minorHAnsi"/>
        </w:rPr>
        <w:t xml:space="preserve"> </w:t>
      </w:r>
      <w:r w:rsidRPr="00252D7B">
        <w:rPr>
          <w:rFonts w:asciiTheme="minorHAnsi" w:hAnsiTheme="minorHAnsi" w:cstheme="minorHAnsi"/>
          <w:sz w:val="24"/>
          <w:szCs w:val="24"/>
        </w:rPr>
        <w:t xml:space="preserve">Secretaria de Gestão do Ministério do Planejamento, Desenvolvimento e Gestão </w:t>
      </w:r>
      <w:r w:rsidRPr="00252D7B">
        <w:rPr>
          <w:rFonts w:asciiTheme="minorHAnsi" w:hAnsiTheme="minorHAnsi" w:cstheme="minorHAnsi"/>
          <w:i/>
          <w:iCs/>
          <w:sz w:val="24"/>
          <w:szCs w:val="24"/>
        </w:rPr>
        <w:t>(vide ME)</w:t>
      </w:r>
    </w:p>
    <w:p w14:paraId="664FBF1C" w14:textId="77777777" w:rsidR="009D60E7" w:rsidRPr="00252D7B" w:rsidRDefault="009D60E7" w:rsidP="009D60E7">
      <w:pPr>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rPr>
        <w:t>SERPRO:</w:t>
      </w:r>
      <w:r w:rsidRPr="00252D7B">
        <w:rPr>
          <w:rFonts w:asciiTheme="minorHAnsi" w:hAnsiTheme="minorHAnsi" w:cstheme="minorHAnsi"/>
          <w:sz w:val="24"/>
          <w:szCs w:val="24"/>
        </w:rPr>
        <w:t xml:space="preserve"> Serviço Federal de Processamento de Dados</w:t>
      </w:r>
    </w:p>
    <w:p w14:paraId="1C63790E" w14:textId="77777777" w:rsidR="009D60E7" w:rsidRPr="00252D7B" w:rsidRDefault="009D60E7" w:rsidP="009D60E7">
      <w:pPr>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rPr>
        <w:t>SGD/ME:</w:t>
      </w:r>
      <w:r w:rsidRPr="00252D7B">
        <w:rPr>
          <w:rFonts w:asciiTheme="minorHAnsi" w:hAnsiTheme="minorHAnsi" w:cstheme="minorHAnsi"/>
        </w:rPr>
        <w:t xml:space="preserve"> </w:t>
      </w:r>
      <w:r w:rsidRPr="00252D7B">
        <w:rPr>
          <w:rFonts w:asciiTheme="minorHAnsi" w:hAnsiTheme="minorHAnsi" w:cstheme="minorHAnsi"/>
          <w:sz w:val="24"/>
          <w:szCs w:val="24"/>
        </w:rPr>
        <w:t>Secretaria de Governo Digital do Ministério da Economia</w:t>
      </w:r>
    </w:p>
    <w:p w14:paraId="2F27C66F" w14:textId="77777777" w:rsidR="009D60E7" w:rsidRPr="00252D7B" w:rsidRDefault="009D60E7" w:rsidP="009D60E7">
      <w:pPr>
        <w:pStyle w:val="Recuodecorpodetexto"/>
        <w:spacing w:before="120"/>
        <w:ind w:left="0"/>
        <w:jc w:val="both"/>
        <w:rPr>
          <w:rFonts w:asciiTheme="minorHAnsi" w:hAnsiTheme="minorHAnsi" w:cstheme="minorHAnsi"/>
          <w:color w:val="000000"/>
        </w:rPr>
      </w:pPr>
      <w:r w:rsidRPr="00252D7B">
        <w:rPr>
          <w:rFonts w:asciiTheme="minorHAnsi" w:hAnsiTheme="minorHAnsi" w:cstheme="minorHAnsi"/>
          <w:b/>
          <w:bCs/>
          <w:color w:val="000000"/>
        </w:rPr>
        <w:t>SIADS:</w:t>
      </w:r>
      <w:r w:rsidRPr="00252D7B">
        <w:rPr>
          <w:rFonts w:asciiTheme="minorHAnsi" w:hAnsiTheme="minorHAnsi" w:cstheme="minorHAnsi"/>
        </w:rPr>
        <w:t xml:space="preserve"> </w:t>
      </w:r>
      <w:r w:rsidRPr="00252D7B">
        <w:rPr>
          <w:rFonts w:asciiTheme="minorHAnsi" w:hAnsiTheme="minorHAnsi" w:cstheme="minorHAnsi"/>
          <w:color w:val="000000"/>
        </w:rPr>
        <w:t>Sistema Integrado de Administração de Serviços</w:t>
      </w:r>
    </w:p>
    <w:p w14:paraId="23F45A95" w14:textId="77777777" w:rsidR="009D60E7" w:rsidRPr="00252D7B" w:rsidRDefault="009D60E7" w:rsidP="009D60E7">
      <w:pPr>
        <w:widowControl/>
        <w:autoSpaceDE/>
        <w:autoSpaceDN/>
        <w:spacing w:before="120" w:after="120"/>
        <w:jc w:val="both"/>
        <w:rPr>
          <w:rFonts w:asciiTheme="minorHAnsi" w:eastAsia="Times New Roman" w:hAnsiTheme="minorHAnsi" w:cstheme="minorHAnsi"/>
          <w:sz w:val="24"/>
          <w:szCs w:val="24"/>
        </w:rPr>
      </w:pPr>
      <w:r w:rsidRPr="00252D7B">
        <w:rPr>
          <w:rFonts w:asciiTheme="minorHAnsi" w:hAnsiTheme="minorHAnsi" w:cstheme="minorHAnsi"/>
          <w:b/>
          <w:bCs/>
          <w:sz w:val="24"/>
          <w:szCs w:val="24"/>
        </w:rPr>
        <w:t>SIAFI:</w:t>
      </w:r>
      <w:r w:rsidRPr="00252D7B">
        <w:rPr>
          <w:rFonts w:asciiTheme="minorHAnsi" w:hAnsiTheme="minorHAnsi" w:cstheme="minorHAnsi"/>
        </w:rPr>
        <w:t xml:space="preserve"> </w:t>
      </w:r>
      <w:r w:rsidRPr="00252D7B">
        <w:rPr>
          <w:rFonts w:asciiTheme="minorHAnsi" w:hAnsiTheme="minorHAnsi" w:cstheme="minorHAnsi"/>
          <w:sz w:val="24"/>
          <w:szCs w:val="24"/>
        </w:rPr>
        <w:t>Sistema Integrado de Administração Financeira do Governo Federal</w:t>
      </w:r>
    </w:p>
    <w:p w14:paraId="7043B9D4" w14:textId="77777777" w:rsidR="009D60E7" w:rsidRPr="00252D7B" w:rsidRDefault="009D60E7" w:rsidP="009D60E7">
      <w:pPr>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rPr>
        <w:t>SIAPE:</w:t>
      </w:r>
      <w:r w:rsidRPr="00252D7B">
        <w:rPr>
          <w:rFonts w:asciiTheme="minorHAnsi" w:hAnsiTheme="minorHAnsi" w:cstheme="minorHAnsi"/>
          <w:sz w:val="24"/>
          <w:szCs w:val="24"/>
        </w:rPr>
        <w:t xml:space="preserve"> Sistema Integrado de Administração de Recursos Humanos</w:t>
      </w:r>
    </w:p>
    <w:p w14:paraId="713CE097" w14:textId="77777777" w:rsidR="009D60E7" w:rsidRPr="00252D7B" w:rsidRDefault="009D60E7" w:rsidP="009D60E7">
      <w:pPr>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rPr>
        <w:t>SIC:</w:t>
      </w:r>
      <w:r w:rsidRPr="00252D7B">
        <w:rPr>
          <w:rFonts w:asciiTheme="minorHAnsi" w:hAnsiTheme="minorHAnsi" w:cstheme="minorHAnsi"/>
          <w:sz w:val="24"/>
          <w:szCs w:val="24"/>
        </w:rPr>
        <w:t xml:space="preserve"> Serviço de Informação ao Cidadão</w:t>
      </w:r>
    </w:p>
    <w:p w14:paraId="4780F452" w14:textId="77777777" w:rsidR="009D60E7" w:rsidRPr="00252D7B" w:rsidRDefault="009D60E7" w:rsidP="009D60E7">
      <w:pPr>
        <w:spacing w:before="120" w:after="120"/>
        <w:rPr>
          <w:rFonts w:asciiTheme="minorHAnsi" w:hAnsiTheme="minorHAnsi" w:cstheme="minorHAnsi"/>
          <w:sz w:val="24"/>
          <w:szCs w:val="24"/>
        </w:rPr>
      </w:pPr>
      <w:r w:rsidRPr="00252D7B">
        <w:rPr>
          <w:rFonts w:asciiTheme="minorHAnsi" w:hAnsiTheme="minorHAnsi" w:cstheme="minorHAnsi"/>
          <w:b/>
          <w:bCs/>
          <w:sz w:val="24"/>
          <w:szCs w:val="24"/>
        </w:rPr>
        <w:t>SICOD:</w:t>
      </w:r>
      <w:r w:rsidRPr="00252D7B">
        <w:rPr>
          <w:rFonts w:asciiTheme="minorHAnsi" w:hAnsiTheme="minorHAnsi" w:cstheme="minorHAnsi"/>
          <w:sz w:val="24"/>
          <w:szCs w:val="24"/>
        </w:rPr>
        <w:t xml:space="preserve"> Sistema de Controle de Desapropriações da Valec Engenharia, Construções e Ferrovias S.A.</w:t>
      </w:r>
    </w:p>
    <w:p w14:paraId="3929C42F" w14:textId="77777777" w:rsidR="009D60E7" w:rsidRPr="00252D7B" w:rsidRDefault="009D60E7" w:rsidP="009D60E7">
      <w:pPr>
        <w:spacing w:before="120" w:after="120"/>
        <w:rPr>
          <w:rFonts w:asciiTheme="minorHAnsi" w:hAnsiTheme="minorHAnsi" w:cstheme="minorHAnsi"/>
          <w:sz w:val="24"/>
          <w:szCs w:val="24"/>
        </w:rPr>
      </w:pPr>
      <w:r w:rsidRPr="00252D7B">
        <w:rPr>
          <w:rFonts w:asciiTheme="minorHAnsi" w:hAnsiTheme="minorHAnsi" w:cstheme="minorHAnsi"/>
          <w:b/>
          <w:bCs/>
          <w:sz w:val="24"/>
          <w:szCs w:val="24"/>
        </w:rPr>
        <w:t>SICPD:</w:t>
      </w:r>
      <w:r w:rsidRPr="00252D7B">
        <w:rPr>
          <w:rFonts w:asciiTheme="minorHAnsi" w:hAnsiTheme="minorHAnsi" w:cstheme="minorHAnsi"/>
          <w:sz w:val="24"/>
          <w:szCs w:val="24"/>
        </w:rPr>
        <w:t xml:space="preserve"> Sistema de Controle de Pagamentos de Desapropriação da Valec Engenharia, Construções e Ferrovias S.A.</w:t>
      </w:r>
    </w:p>
    <w:p w14:paraId="1258031D" w14:textId="77777777" w:rsidR="009D60E7" w:rsidRPr="00252D7B" w:rsidRDefault="009D60E7" w:rsidP="009D60E7">
      <w:pPr>
        <w:pStyle w:val="Recuodecorpodetexto"/>
        <w:spacing w:before="120"/>
        <w:ind w:left="0"/>
        <w:jc w:val="both"/>
        <w:rPr>
          <w:rFonts w:asciiTheme="minorHAnsi" w:hAnsiTheme="minorHAnsi" w:cstheme="minorHAnsi"/>
        </w:rPr>
      </w:pPr>
      <w:r w:rsidRPr="00252D7B">
        <w:rPr>
          <w:rFonts w:asciiTheme="minorHAnsi" w:hAnsiTheme="minorHAnsi" w:cstheme="minorHAnsi"/>
          <w:b/>
          <w:bCs/>
        </w:rPr>
        <w:t>SIGA:</w:t>
      </w:r>
      <w:r w:rsidRPr="00252D7B">
        <w:rPr>
          <w:rFonts w:asciiTheme="minorHAnsi" w:hAnsiTheme="minorHAnsi" w:cstheme="minorHAnsi"/>
        </w:rPr>
        <w:t xml:space="preserve"> Sistema Integrado de Gestão Administrativa da Valec Engenharia, Construções e Ferrovias S.A.</w:t>
      </w:r>
    </w:p>
    <w:p w14:paraId="557C2050" w14:textId="77777777" w:rsidR="009D60E7" w:rsidRPr="00252D7B" w:rsidRDefault="009D60E7" w:rsidP="009D60E7">
      <w:pPr>
        <w:spacing w:before="120" w:after="120"/>
        <w:rPr>
          <w:rFonts w:asciiTheme="minorHAnsi" w:hAnsiTheme="minorHAnsi" w:cstheme="minorHAnsi"/>
          <w:sz w:val="24"/>
          <w:szCs w:val="24"/>
        </w:rPr>
      </w:pPr>
      <w:r w:rsidRPr="00252D7B">
        <w:rPr>
          <w:rFonts w:asciiTheme="minorHAnsi" w:hAnsiTheme="minorHAnsi" w:cstheme="minorHAnsi"/>
          <w:b/>
          <w:bCs/>
          <w:sz w:val="24"/>
          <w:szCs w:val="24"/>
        </w:rPr>
        <w:lastRenderedPageBreak/>
        <w:t>SIGEM:</w:t>
      </w:r>
      <w:r w:rsidRPr="00252D7B">
        <w:rPr>
          <w:rFonts w:asciiTheme="minorHAnsi" w:hAnsiTheme="minorHAnsi" w:cstheme="minorHAnsi"/>
          <w:sz w:val="24"/>
          <w:szCs w:val="24"/>
        </w:rPr>
        <w:t xml:space="preserve"> Sistemas de Gestão de Empreendimentos da Valec Engenharia, Construções e Ferrovias S.A.</w:t>
      </w:r>
    </w:p>
    <w:p w14:paraId="15F0806C" w14:textId="77777777" w:rsidR="009D60E7" w:rsidRPr="00252D7B" w:rsidRDefault="009D60E7" w:rsidP="009D60E7">
      <w:pPr>
        <w:spacing w:before="120" w:after="120"/>
        <w:rPr>
          <w:rFonts w:asciiTheme="minorHAnsi" w:hAnsiTheme="minorHAnsi" w:cstheme="minorHAnsi"/>
          <w:sz w:val="24"/>
          <w:szCs w:val="24"/>
        </w:rPr>
      </w:pPr>
      <w:r w:rsidRPr="00252D7B">
        <w:rPr>
          <w:rFonts w:asciiTheme="minorHAnsi" w:hAnsiTheme="minorHAnsi" w:cstheme="minorHAnsi"/>
          <w:b/>
          <w:bCs/>
          <w:sz w:val="24"/>
          <w:szCs w:val="24"/>
        </w:rPr>
        <w:t>SISAD:</w:t>
      </w:r>
      <w:r w:rsidRPr="00252D7B">
        <w:rPr>
          <w:rFonts w:asciiTheme="minorHAnsi" w:hAnsiTheme="minorHAnsi" w:cstheme="minorHAnsi"/>
          <w:sz w:val="24"/>
          <w:szCs w:val="24"/>
        </w:rPr>
        <w:t xml:space="preserve"> Sistema de Avaliação de Desempenho da Valec Engenharia, Construções e Ferrovias S.A.</w:t>
      </w:r>
    </w:p>
    <w:p w14:paraId="467B5D2A" w14:textId="77777777" w:rsidR="009D60E7" w:rsidRPr="00252D7B" w:rsidRDefault="009D60E7" w:rsidP="009D60E7">
      <w:pPr>
        <w:spacing w:before="120" w:after="120"/>
        <w:rPr>
          <w:rFonts w:asciiTheme="minorHAnsi" w:hAnsiTheme="minorHAnsi" w:cstheme="minorHAnsi"/>
          <w:sz w:val="24"/>
          <w:szCs w:val="24"/>
        </w:rPr>
      </w:pPr>
      <w:r w:rsidRPr="00252D7B">
        <w:rPr>
          <w:rFonts w:asciiTheme="minorHAnsi" w:hAnsiTheme="minorHAnsi" w:cstheme="minorHAnsi"/>
          <w:b/>
          <w:bCs/>
          <w:sz w:val="24"/>
          <w:szCs w:val="24"/>
        </w:rPr>
        <w:t>SISJUR:</w:t>
      </w:r>
      <w:r w:rsidRPr="00252D7B">
        <w:rPr>
          <w:rFonts w:asciiTheme="minorHAnsi" w:hAnsiTheme="minorHAnsi" w:cstheme="minorHAnsi"/>
          <w:sz w:val="24"/>
          <w:szCs w:val="24"/>
        </w:rPr>
        <w:t xml:space="preserve"> Sistema Jurídico da Valec Engenharia, Construções e Ferrovias S.A.</w:t>
      </w:r>
    </w:p>
    <w:p w14:paraId="05B1FB5D" w14:textId="77777777" w:rsidR="009D60E7" w:rsidRPr="00252D7B" w:rsidRDefault="009D60E7" w:rsidP="009D60E7">
      <w:pPr>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rPr>
        <w:t>SISP:</w:t>
      </w:r>
      <w:r w:rsidRPr="00252D7B">
        <w:rPr>
          <w:rFonts w:asciiTheme="minorHAnsi" w:hAnsiTheme="minorHAnsi" w:cstheme="minorHAnsi"/>
        </w:rPr>
        <w:t xml:space="preserve"> </w:t>
      </w:r>
      <w:r w:rsidRPr="00252D7B">
        <w:rPr>
          <w:rFonts w:asciiTheme="minorHAnsi" w:hAnsiTheme="minorHAnsi" w:cstheme="minorHAnsi"/>
          <w:sz w:val="24"/>
          <w:szCs w:val="24"/>
        </w:rPr>
        <w:t>Sistema de Administração dos Recursos de Tecnologia da Informação</w:t>
      </w:r>
    </w:p>
    <w:p w14:paraId="1804CFDE" w14:textId="77777777" w:rsidR="009D60E7" w:rsidRPr="00252D7B" w:rsidRDefault="009D60E7" w:rsidP="009D60E7">
      <w:pPr>
        <w:spacing w:before="120" w:after="120"/>
        <w:jc w:val="both"/>
        <w:rPr>
          <w:rFonts w:asciiTheme="minorHAnsi" w:hAnsiTheme="minorHAnsi" w:cstheme="minorHAnsi"/>
          <w:i/>
          <w:iCs/>
          <w:sz w:val="24"/>
          <w:szCs w:val="24"/>
        </w:rPr>
      </w:pPr>
      <w:r w:rsidRPr="00252D7B">
        <w:rPr>
          <w:rFonts w:asciiTheme="minorHAnsi" w:hAnsiTheme="minorHAnsi" w:cstheme="minorHAnsi"/>
          <w:b/>
          <w:bCs/>
          <w:sz w:val="24"/>
          <w:szCs w:val="24"/>
        </w:rPr>
        <w:t>SLTI/MPOG:</w:t>
      </w:r>
      <w:r w:rsidRPr="00252D7B">
        <w:rPr>
          <w:rFonts w:asciiTheme="minorHAnsi" w:hAnsiTheme="minorHAnsi" w:cstheme="minorHAnsi"/>
        </w:rPr>
        <w:t xml:space="preserve"> </w:t>
      </w:r>
      <w:r w:rsidRPr="00252D7B">
        <w:rPr>
          <w:rFonts w:asciiTheme="minorHAnsi" w:hAnsiTheme="minorHAnsi" w:cstheme="minorHAnsi"/>
          <w:sz w:val="24"/>
          <w:szCs w:val="24"/>
        </w:rPr>
        <w:t xml:space="preserve">Secretaria de Logística e Tecnologia da Informação do Ministério do Planejamento, Orçamento e Gestão </w:t>
      </w:r>
      <w:r w:rsidRPr="00252D7B">
        <w:rPr>
          <w:rFonts w:asciiTheme="minorHAnsi" w:hAnsiTheme="minorHAnsi" w:cstheme="minorHAnsi"/>
          <w:i/>
          <w:iCs/>
          <w:sz w:val="24"/>
          <w:szCs w:val="24"/>
        </w:rPr>
        <w:t>(vide ME)</w:t>
      </w:r>
    </w:p>
    <w:p w14:paraId="0BA72A27" w14:textId="77777777" w:rsidR="009D60E7" w:rsidRPr="00252D7B" w:rsidRDefault="009D60E7" w:rsidP="009D60E7">
      <w:pPr>
        <w:spacing w:before="120" w:after="120"/>
        <w:jc w:val="both"/>
        <w:rPr>
          <w:rFonts w:asciiTheme="minorHAnsi" w:hAnsiTheme="minorHAnsi" w:cstheme="minorHAnsi"/>
          <w:sz w:val="24"/>
          <w:szCs w:val="24"/>
          <w:lang w:eastAsia="pt-BR"/>
        </w:rPr>
      </w:pPr>
      <w:r w:rsidRPr="00252D7B">
        <w:rPr>
          <w:rFonts w:asciiTheme="minorHAnsi" w:hAnsiTheme="minorHAnsi" w:cstheme="minorHAnsi"/>
          <w:b/>
          <w:bCs/>
          <w:sz w:val="24"/>
          <w:szCs w:val="24"/>
          <w:lang w:eastAsia="pt-BR"/>
        </w:rPr>
        <w:t>SQL:</w:t>
      </w:r>
      <w:r w:rsidRPr="00252D7B">
        <w:rPr>
          <w:rFonts w:asciiTheme="minorHAnsi" w:hAnsiTheme="minorHAnsi" w:cstheme="minorHAnsi"/>
        </w:rPr>
        <w:t xml:space="preserve"> </w:t>
      </w:r>
      <w:r w:rsidRPr="00252D7B">
        <w:rPr>
          <w:rFonts w:asciiTheme="minorHAnsi" w:hAnsiTheme="minorHAnsi" w:cstheme="minorHAnsi"/>
          <w:i/>
          <w:iCs/>
          <w:sz w:val="24"/>
          <w:szCs w:val="24"/>
          <w:lang w:eastAsia="pt-BR"/>
        </w:rPr>
        <w:t>Structured Query Language</w:t>
      </w:r>
      <w:r w:rsidRPr="00252D7B">
        <w:rPr>
          <w:rFonts w:asciiTheme="minorHAnsi" w:hAnsiTheme="minorHAnsi" w:cstheme="minorHAnsi"/>
          <w:sz w:val="24"/>
          <w:szCs w:val="24"/>
          <w:lang w:eastAsia="pt-BR"/>
        </w:rPr>
        <w:t xml:space="preserve"> (Linguagem de Consulta Estruturada)</w:t>
      </w:r>
    </w:p>
    <w:p w14:paraId="2708DDFB" w14:textId="77777777" w:rsidR="009D60E7" w:rsidRPr="00252D7B" w:rsidRDefault="009D60E7" w:rsidP="009D60E7">
      <w:pPr>
        <w:spacing w:before="120" w:after="120"/>
        <w:rPr>
          <w:rFonts w:asciiTheme="minorHAnsi" w:hAnsiTheme="minorHAnsi" w:cstheme="minorHAnsi"/>
          <w:sz w:val="24"/>
          <w:szCs w:val="24"/>
        </w:rPr>
      </w:pPr>
      <w:r w:rsidRPr="00252D7B">
        <w:rPr>
          <w:rFonts w:asciiTheme="minorHAnsi" w:hAnsiTheme="minorHAnsi" w:cstheme="minorHAnsi"/>
          <w:b/>
          <w:bCs/>
          <w:sz w:val="24"/>
          <w:szCs w:val="24"/>
        </w:rPr>
        <w:t>SRB:</w:t>
      </w:r>
      <w:r w:rsidRPr="00252D7B">
        <w:rPr>
          <w:rFonts w:asciiTheme="minorHAnsi" w:hAnsiTheme="minorHAnsi" w:cstheme="minorHAnsi"/>
          <w:sz w:val="24"/>
          <w:szCs w:val="24"/>
        </w:rPr>
        <w:t xml:space="preserve"> Sistema de Reembolsos e Benefícios da Valec Engenharia, Construções e Ferrovias S.A.</w:t>
      </w:r>
    </w:p>
    <w:p w14:paraId="1A38A86C" w14:textId="77777777" w:rsidR="009D60E7" w:rsidRPr="00252D7B" w:rsidRDefault="009D60E7" w:rsidP="009D60E7">
      <w:pPr>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rPr>
        <w:t>STA/​CGU:</w:t>
      </w:r>
      <w:r w:rsidRPr="00252D7B">
        <w:rPr>
          <w:rFonts w:asciiTheme="minorHAnsi" w:hAnsiTheme="minorHAnsi" w:cstheme="minorHAnsi"/>
          <w:sz w:val="24"/>
          <w:szCs w:val="24"/>
        </w:rPr>
        <w:t xml:space="preserve"> Sistema de Transparência Ativa da Controladoria-Geral da União</w:t>
      </w:r>
    </w:p>
    <w:p w14:paraId="0AA20098" w14:textId="77777777" w:rsidR="009D60E7" w:rsidRPr="00252D7B" w:rsidRDefault="009D60E7" w:rsidP="009D60E7">
      <w:pPr>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lang w:eastAsia="pt-BR"/>
        </w:rPr>
        <w:t>STN:</w:t>
      </w:r>
      <w:r w:rsidRPr="00252D7B">
        <w:rPr>
          <w:rFonts w:asciiTheme="minorHAnsi" w:hAnsiTheme="minorHAnsi" w:cstheme="minorHAnsi"/>
        </w:rPr>
        <w:t xml:space="preserve"> </w:t>
      </w:r>
      <w:r w:rsidRPr="00252D7B">
        <w:rPr>
          <w:rFonts w:asciiTheme="minorHAnsi" w:hAnsiTheme="minorHAnsi" w:cstheme="minorHAnsi"/>
          <w:sz w:val="24"/>
          <w:szCs w:val="24"/>
          <w:lang w:eastAsia="pt-BR"/>
        </w:rPr>
        <w:t>Secretaria do Tesouro Nacional do Ministério da Economia</w:t>
      </w:r>
    </w:p>
    <w:p w14:paraId="03FD7408" w14:textId="77777777" w:rsidR="009D60E7" w:rsidRPr="00252D7B" w:rsidRDefault="009D60E7" w:rsidP="009D60E7">
      <w:pPr>
        <w:spacing w:before="120" w:after="120"/>
        <w:jc w:val="both"/>
        <w:rPr>
          <w:rFonts w:asciiTheme="minorHAnsi" w:hAnsiTheme="minorHAnsi" w:cstheme="minorHAnsi"/>
          <w:sz w:val="24"/>
          <w:szCs w:val="24"/>
          <w:lang w:eastAsia="pt-BR"/>
        </w:rPr>
      </w:pPr>
      <w:r w:rsidRPr="00252D7B">
        <w:rPr>
          <w:rFonts w:asciiTheme="minorHAnsi" w:hAnsiTheme="minorHAnsi" w:cstheme="minorHAnsi"/>
          <w:b/>
          <w:bCs/>
          <w:sz w:val="24"/>
          <w:szCs w:val="24"/>
          <w:lang w:eastAsia="pt-BR"/>
        </w:rPr>
        <w:t>SUADM:</w:t>
      </w:r>
      <w:r w:rsidRPr="00252D7B">
        <w:rPr>
          <w:rFonts w:asciiTheme="minorHAnsi" w:hAnsiTheme="minorHAnsi" w:cstheme="minorHAnsi"/>
          <w:sz w:val="24"/>
          <w:szCs w:val="24"/>
        </w:rPr>
        <w:t xml:space="preserve"> Superintendência Administrativa da Valec Engenharia, Construções e Ferrovias S.A.</w:t>
      </w:r>
    </w:p>
    <w:p w14:paraId="2D58FBD9" w14:textId="77777777" w:rsidR="009D60E7" w:rsidRPr="00252D7B" w:rsidRDefault="009D60E7" w:rsidP="009D60E7">
      <w:pPr>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rPr>
        <w:t>SUDEM:</w:t>
      </w:r>
      <w:r w:rsidRPr="00252D7B">
        <w:rPr>
          <w:rFonts w:asciiTheme="minorHAnsi" w:hAnsiTheme="minorHAnsi" w:cstheme="minorHAnsi"/>
          <w:sz w:val="24"/>
          <w:szCs w:val="24"/>
        </w:rPr>
        <w:t xml:space="preserve"> Superintendência de Desenvolvimento de Empreendimentos da Valec Engenharia, Construções e Ferrovias S.A.</w:t>
      </w:r>
    </w:p>
    <w:p w14:paraId="49C27C5D" w14:textId="77777777" w:rsidR="009D60E7" w:rsidRPr="00252D7B" w:rsidRDefault="009D60E7" w:rsidP="009D60E7">
      <w:pPr>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rPr>
        <w:t>SUGAT:</w:t>
      </w:r>
      <w:r w:rsidRPr="00252D7B">
        <w:rPr>
          <w:rFonts w:asciiTheme="minorHAnsi" w:hAnsiTheme="minorHAnsi" w:cstheme="minorHAnsi"/>
          <w:sz w:val="24"/>
          <w:szCs w:val="24"/>
        </w:rPr>
        <w:t xml:space="preserve"> Superintendência de Gestão Ambiental e Territorial Integrada da Valec Engenharia, Construções e Ferrovias S.A.</w:t>
      </w:r>
    </w:p>
    <w:p w14:paraId="4529CF08" w14:textId="77777777" w:rsidR="009D60E7" w:rsidRPr="00252D7B" w:rsidRDefault="009D60E7" w:rsidP="009D60E7">
      <w:pPr>
        <w:spacing w:before="120" w:after="120"/>
        <w:jc w:val="both"/>
        <w:rPr>
          <w:rFonts w:asciiTheme="minorHAnsi" w:eastAsia="Times New Roman" w:hAnsiTheme="minorHAnsi" w:cstheme="minorHAnsi"/>
          <w:sz w:val="24"/>
          <w:szCs w:val="24"/>
        </w:rPr>
      </w:pPr>
      <w:r w:rsidRPr="00252D7B">
        <w:rPr>
          <w:rFonts w:asciiTheme="minorHAnsi" w:eastAsia="Times New Roman" w:hAnsiTheme="minorHAnsi" w:cstheme="minorHAnsi"/>
          <w:b/>
          <w:bCs/>
          <w:sz w:val="24"/>
          <w:szCs w:val="24"/>
        </w:rPr>
        <w:t>SUGEP:</w:t>
      </w:r>
      <w:r w:rsidRPr="00252D7B">
        <w:rPr>
          <w:rFonts w:asciiTheme="minorHAnsi" w:eastAsia="Times New Roman" w:hAnsiTheme="minorHAnsi" w:cstheme="minorHAnsi"/>
          <w:sz w:val="24"/>
          <w:szCs w:val="24"/>
        </w:rPr>
        <w:t xml:space="preserve"> Superintendência de Gestão de Pessoas</w:t>
      </w:r>
      <w:r w:rsidRPr="00252D7B">
        <w:rPr>
          <w:rFonts w:asciiTheme="minorHAnsi" w:hAnsiTheme="minorHAnsi" w:cstheme="minorHAnsi"/>
          <w:sz w:val="24"/>
          <w:szCs w:val="24"/>
        </w:rPr>
        <w:t xml:space="preserve"> da Valec Engenharia, Construções e Ferrovias S.A.</w:t>
      </w:r>
    </w:p>
    <w:p w14:paraId="6FF8382D" w14:textId="77777777" w:rsidR="009D60E7" w:rsidRPr="00252D7B" w:rsidRDefault="009D60E7" w:rsidP="009D60E7">
      <w:pPr>
        <w:spacing w:before="120" w:after="120"/>
        <w:jc w:val="both"/>
        <w:rPr>
          <w:rFonts w:asciiTheme="minorHAnsi" w:hAnsiTheme="minorHAnsi" w:cstheme="minorHAnsi"/>
          <w:b/>
          <w:bCs/>
          <w:sz w:val="24"/>
          <w:szCs w:val="24"/>
        </w:rPr>
      </w:pPr>
      <w:r w:rsidRPr="00252D7B">
        <w:rPr>
          <w:rFonts w:asciiTheme="minorHAnsi" w:hAnsiTheme="minorHAnsi" w:cstheme="minorHAnsi"/>
          <w:b/>
          <w:bCs/>
          <w:sz w:val="24"/>
          <w:szCs w:val="24"/>
        </w:rPr>
        <w:t>SUGOP:</w:t>
      </w:r>
      <w:r w:rsidRPr="00252D7B">
        <w:rPr>
          <w:rFonts w:asciiTheme="minorHAnsi" w:hAnsiTheme="minorHAnsi" w:cstheme="minorHAnsi"/>
          <w:sz w:val="24"/>
          <w:szCs w:val="24"/>
        </w:rPr>
        <w:t xml:space="preserve"> Superintendência de Gestão Operacional e Participações da Valec Engenharia, Construções e Ferrovias S.A.</w:t>
      </w:r>
    </w:p>
    <w:p w14:paraId="2090011F" w14:textId="77777777" w:rsidR="009D60E7" w:rsidRPr="00252D7B" w:rsidRDefault="009D60E7" w:rsidP="009D60E7">
      <w:pPr>
        <w:spacing w:before="120" w:after="120"/>
        <w:jc w:val="both"/>
        <w:rPr>
          <w:rFonts w:asciiTheme="minorHAnsi" w:hAnsiTheme="minorHAnsi" w:cstheme="minorHAnsi"/>
          <w:i/>
          <w:iCs/>
          <w:sz w:val="24"/>
          <w:szCs w:val="24"/>
        </w:rPr>
      </w:pPr>
      <w:r w:rsidRPr="00252D7B">
        <w:rPr>
          <w:rFonts w:asciiTheme="minorHAnsi" w:hAnsiTheme="minorHAnsi" w:cstheme="minorHAnsi"/>
          <w:b/>
          <w:bCs/>
          <w:sz w:val="24"/>
          <w:szCs w:val="24"/>
        </w:rPr>
        <w:t>SUINP:</w:t>
      </w:r>
      <w:r w:rsidRPr="00252D7B">
        <w:rPr>
          <w:rFonts w:asciiTheme="minorHAnsi" w:hAnsiTheme="minorHAnsi" w:cstheme="minorHAnsi"/>
          <w:sz w:val="24"/>
          <w:szCs w:val="24"/>
        </w:rPr>
        <w:t xml:space="preserve"> Superintendência de Inteligência e Prospecção da Valec Engenharia, Construções e Ferrovias S.A. </w:t>
      </w:r>
      <w:r w:rsidRPr="00252D7B">
        <w:rPr>
          <w:rFonts w:asciiTheme="minorHAnsi" w:hAnsiTheme="minorHAnsi" w:cstheme="minorHAnsi"/>
          <w:i/>
          <w:iCs/>
          <w:sz w:val="24"/>
          <w:szCs w:val="24"/>
        </w:rPr>
        <w:t>(atual Superintendência de Negócios e Inovação – SUNOV)</w:t>
      </w:r>
    </w:p>
    <w:p w14:paraId="4F87D5F5" w14:textId="77777777" w:rsidR="009D60E7" w:rsidRPr="00252D7B" w:rsidRDefault="009D60E7" w:rsidP="009D60E7">
      <w:pPr>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rPr>
        <w:t>SUINT:</w:t>
      </w:r>
      <w:r w:rsidRPr="00252D7B">
        <w:rPr>
          <w:rFonts w:asciiTheme="minorHAnsi" w:hAnsiTheme="minorHAnsi" w:cstheme="minorHAnsi"/>
          <w:sz w:val="24"/>
          <w:szCs w:val="24"/>
        </w:rPr>
        <w:t xml:space="preserve"> Superintendência de Integridade da Valec Engenharia, Construções e Ferrovias S.A.</w:t>
      </w:r>
    </w:p>
    <w:p w14:paraId="2927EDB9" w14:textId="77777777" w:rsidR="009D60E7" w:rsidRPr="00252D7B" w:rsidRDefault="009D60E7" w:rsidP="009D60E7">
      <w:pPr>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rPr>
        <w:t>SULIC:</w:t>
      </w:r>
      <w:r w:rsidRPr="00252D7B">
        <w:rPr>
          <w:rFonts w:asciiTheme="minorHAnsi" w:hAnsiTheme="minorHAnsi" w:cstheme="minorHAnsi"/>
          <w:sz w:val="24"/>
          <w:szCs w:val="24"/>
        </w:rPr>
        <w:t xml:space="preserve"> Superintendência de Licitações, Contratos e Cadastro da Valec Engenharia, Construções e Ferrovias S.A.</w:t>
      </w:r>
    </w:p>
    <w:p w14:paraId="7BD7A440" w14:textId="77777777" w:rsidR="009D60E7" w:rsidRPr="00252D7B" w:rsidRDefault="009D60E7" w:rsidP="009D60E7">
      <w:pPr>
        <w:spacing w:before="120" w:after="120"/>
        <w:jc w:val="both"/>
        <w:rPr>
          <w:rFonts w:asciiTheme="minorHAnsi" w:hAnsiTheme="minorHAnsi" w:cstheme="minorHAnsi"/>
          <w:i/>
          <w:iCs/>
          <w:sz w:val="24"/>
          <w:szCs w:val="24"/>
        </w:rPr>
      </w:pPr>
      <w:r w:rsidRPr="00252D7B">
        <w:rPr>
          <w:rFonts w:asciiTheme="minorHAnsi" w:hAnsiTheme="minorHAnsi" w:cstheme="minorHAnsi"/>
          <w:b/>
          <w:bCs/>
          <w:sz w:val="24"/>
          <w:szCs w:val="24"/>
        </w:rPr>
        <w:t>SUNEG:</w:t>
      </w:r>
      <w:r w:rsidRPr="00252D7B">
        <w:rPr>
          <w:rFonts w:asciiTheme="minorHAnsi" w:hAnsiTheme="minorHAnsi" w:cstheme="minorHAnsi"/>
          <w:sz w:val="24"/>
          <w:szCs w:val="24"/>
        </w:rPr>
        <w:t xml:space="preserve"> Superintendências de Negócios da Valec Engenharia, Construções e Ferrovias S.A. </w:t>
      </w:r>
      <w:r w:rsidRPr="00252D7B">
        <w:rPr>
          <w:rFonts w:asciiTheme="minorHAnsi" w:hAnsiTheme="minorHAnsi" w:cstheme="minorHAnsi"/>
          <w:i/>
          <w:iCs/>
          <w:sz w:val="24"/>
          <w:szCs w:val="24"/>
        </w:rPr>
        <w:t>(atual Superintendência de Estruturação de Ativos – SUEST)</w:t>
      </w:r>
    </w:p>
    <w:p w14:paraId="1AC5277C" w14:textId="77777777" w:rsidR="009D60E7" w:rsidRPr="00252D7B" w:rsidRDefault="009D60E7" w:rsidP="009D60E7">
      <w:pPr>
        <w:widowControl/>
        <w:autoSpaceDE/>
        <w:autoSpaceDN/>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rPr>
        <w:t>SUPOF:</w:t>
      </w:r>
      <w:r w:rsidRPr="00252D7B">
        <w:rPr>
          <w:rFonts w:asciiTheme="minorHAnsi" w:hAnsiTheme="minorHAnsi" w:cstheme="minorHAnsi"/>
          <w:sz w:val="24"/>
          <w:szCs w:val="24"/>
        </w:rPr>
        <w:t xml:space="preserve"> Superintendência de Orçamento e Finanças da Valec Engenharia, Construções e Ferrovias S.A.</w:t>
      </w:r>
    </w:p>
    <w:p w14:paraId="188879D2" w14:textId="77777777" w:rsidR="009D60E7" w:rsidRPr="00252D7B" w:rsidRDefault="009D60E7" w:rsidP="009D60E7">
      <w:pPr>
        <w:spacing w:before="120" w:after="120"/>
        <w:jc w:val="both"/>
        <w:rPr>
          <w:rFonts w:asciiTheme="minorHAnsi" w:hAnsiTheme="minorHAnsi" w:cstheme="minorHAnsi"/>
          <w:sz w:val="24"/>
          <w:szCs w:val="24"/>
        </w:rPr>
      </w:pPr>
      <w:r w:rsidRPr="00252D7B">
        <w:rPr>
          <w:rFonts w:asciiTheme="minorHAnsi" w:eastAsia="Times New Roman" w:hAnsiTheme="minorHAnsi" w:cstheme="minorHAnsi"/>
          <w:b/>
          <w:bCs/>
          <w:color w:val="000000"/>
          <w:sz w:val="24"/>
          <w:szCs w:val="24"/>
          <w:lang w:eastAsia="pt-BR" w:bidi="ar-SA"/>
        </w:rPr>
        <w:t>SUPRO</w:t>
      </w:r>
      <w:r w:rsidRPr="00252D7B">
        <w:rPr>
          <w:rFonts w:asciiTheme="minorHAnsi" w:hAnsiTheme="minorHAnsi" w:cstheme="minorHAnsi"/>
          <w:b/>
          <w:bCs/>
          <w:sz w:val="24"/>
          <w:szCs w:val="24"/>
        </w:rPr>
        <w:t>:</w:t>
      </w:r>
      <w:r w:rsidRPr="00252D7B">
        <w:rPr>
          <w:rFonts w:asciiTheme="minorHAnsi" w:hAnsiTheme="minorHAnsi" w:cstheme="minorHAnsi"/>
          <w:sz w:val="24"/>
          <w:szCs w:val="24"/>
        </w:rPr>
        <w:t xml:space="preserve"> Superintendência de Projetos, Pesquisas e Custos de Engenharia da Valec Engenharia, Construções e Ferrovias S.A.</w:t>
      </w:r>
    </w:p>
    <w:p w14:paraId="46B6227D" w14:textId="77777777" w:rsidR="009D60E7" w:rsidRPr="00252D7B" w:rsidRDefault="009D60E7" w:rsidP="009D60E7">
      <w:pPr>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rPr>
        <w:t>SUPTI:</w:t>
      </w:r>
      <w:r w:rsidRPr="00252D7B">
        <w:rPr>
          <w:rFonts w:asciiTheme="minorHAnsi" w:hAnsiTheme="minorHAnsi" w:cstheme="minorHAnsi"/>
          <w:sz w:val="24"/>
          <w:szCs w:val="24"/>
        </w:rPr>
        <w:t xml:space="preserve"> Superintendência de Tecnologia da Informação da Valec Engenharia, Construções e Ferrovias S.A.</w:t>
      </w:r>
    </w:p>
    <w:p w14:paraId="5455EDE6" w14:textId="77777777" w:rsidR="009D60E7" w:rsidRPr="00252D7B" w:rsidRDefault="009D60E7" w:rsidP="009D60E7">
      <w:pPr>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rPr>
        <w:t>TCU:</w:t>
      </w:r>
      <w:r w:rsidRPr="00252D7B">
        <w:rPr>
          <w:rFonts w:asciiTheme="minorHAnsi" w:hAnsiTheme="minorHAnsi" w:cstheme="minorHAnsi"/>
          <w:sz w:val="24"/>
          <w:szCs w:val="24"/>
        </w:rPr>
        <w:t xml:space="preserve"> Tribunal de Contas da União</w:t>
      </w:r>
    </w:p>
    <w:p w14:paraId="7F947E3F" w14:textId="77777777" w:rsidR="009D60E7" w:rsidRPr="00252D7B" w:rsidRDefault="009D60E7" w:rsidP="009D60E7">
      <w:pPr>
        <w:spacing w:before="120" w:after="120"/>
        <w:jc w:val="both"/>
        <w:rPr>
          <w:rFonts w:asciiTheme="minorHAnsi" w:hAnsiTheme="minorHAnsi" w:cstheme="minorHAnsi"/>
          <w:sz w:val="24"/>
          <w:szCs w:val="24"/>
        </w:rPr>
      </w:pPr>
      <w:r w:rsidRPr="00252D7B">
        <w:rPr>
          <w:rFonts w:asciiTheme="minorHAnsi" w:hAnsiTheme="minorHAnsi" w:cstheme="minorHAnsi"/>
          <w:b/>
          <w:bCs/>
          <w:color w:val="000000" w:themeColor="text1"/>
          <w:sz w:val="24"/>
          <w:szCs w:val="24"/>
        </w:rPr>
        <w:lastRenderedPageBreak/>
        <w:t>TED:</w:t>
      </w:r>
      <w:r w:rsidRPr="00252D7B">
        <w:rPr>
          <w:rFonts w:asciiTheme="minorHAnsi" w:hAnsiTheme="minorHAnsi" w:cstheme="minorHAnsi"/>
          <w:color w:val="000000" w:themeColor="text1"/>
          <w:sz w:val="24"/>
          <w:szCs w:val="24"/>
        </w:rPr>
        <w:t xml:space="preserve"> Termo de Execução Decentralizada</w:t>
      </w:r>
    </w:p>
    <w:p w14:paraId="7EBC3417" w14:textId="77777777" w:rsidR="009D60E7" w:rsidRPr="00252D7B" w:rsidRDefault="009D60E7" w:rsidP="009D60E7">
      <w:pPr>
        <w:widowControl/>
        <w:autoSpaceDE/>
        <w:autoSpaceDN/>
        <w:spacing w:before="120" w:after="120"/>
        <w:jc w:val="both"/>
        <w:rPr>
          <w:rFonts w:asciiTheme="minorHAnsi" w:eastAsia="Times New Roman" w:hAnsiTheme="minorHAnsi" w:cstheme="minorHAnsi"/>
          <w:color w:val="000000"/>
          <w:sz w:val="24"/>
          <w:szCs w:val="24"/>
          <w:lang w:bidi="ar-SA"/>
        </w:rPr>
      </w:pPr>
      <w:r w:rsidRPr="00252D7B">
        <w:rPr>
          <w:rFonts w:asciiTheme="minorHAnsi" w:eastAsia="Times New Roman" w:hAnsiTheme="minorHAnsi" w:cstheme="minorHAnsi"/>
          <w:b/>
          <w:bCs/>
          <w:color w:val="000000"/>
          <w:sz w:val="24"/>
          <w:szCs w:val="24"/>
          <w:lang w:bidi="ar-SA"/>
        </w:rPr>
        <w:t>TIC:</w:t>
      </w:r>
      <w:r w:rsidRPr="00252D7B">
        <w:rPr>
          <w:rFonts w:asciiTheme="minorHAnsi" w:eastAsia="Times New Roman" w:hAnsiTheme="minorHAnsi" w:cstheme="minorHAnsi"/>
          <w:color w:val="000000"/>
          <w:sz w:val="24"/>
          <w:szCs w:val="24"/>
          <w:lang w:bidi="ar-SA"/>
        </w:rPr>
        <w:t xml:space="preserve"> </w:t>
      </w:r>
      <w:r w:rsidRPr="00252D7B">
        <w:rPr>
          <w:rFonts w:asciiTheme="minorHAnsi" w:hAnsiTheme="minorHAnsi" w:cstheme="minorHAnsi"/>
          <w:sz w:val="24"/>
          <w:szCs w:val="24"/>
          <w:lang w:eastAsia="pt-BR"/>
        </w:rPr>
        <w:t>Tecnologia da Informação e Comunicação</w:t>
      </w:r>
    </w:p>
    <w:p w14:paraId="15274447" w14:textId="77777777" w:rsidR="009D60E7" w:rsidRDefault="009D60E7" w:rsidP="009D60E7">
      <w:pPr>
        <w:widowControl/>
        <w:autoSpaceDE/>
        <w:autoSpaceDN/>
        <w:spacing w:before="120" w:after="120"/>
        <w:jc w:val="both"/>
        <w:rPr>
          <w:rFonts w:asciiTheme="minorHAnsi" w:eastAsia="Times New Roman" w:hAnsiTheme="minorHAnsi" w:cstheme="minorHAnsi"/>
          <w:color w:val="000000"/>
          <w:sz w:val="24"/>
          <w:szCs w:val="24"/>
          <w:lang w:bidi="ar-SA"/>
        </w:rPr>
      </w:pPr>
      <w:r w:rsidRPr="00252D7B">
        <w:rPr>
          <w:rFonts w:asciiTheme="minorHAnsi" w:eastAsia="Times New Roman" w:hAnsiTheme="minorHAnsi" w:cstheme="minorHAnsi"/>
          <w:b/>
          <w:bCs/>
          <w:color w:val="000000"/>
          <w:sz w:val="24"/>
          <w:szCs w:val="24"/>
          <w:lang w:bidi="ar-SA"/>
        </w:rPr>
        <w:t>TLSA:</w:t>
      </w:r>
      <w:r w:rsidRPr="00252D7B">
        <w:rPr>
          <w:rFonts w:asciiTheme="minorHAnsi" w:eastAsia="Times New Roman" w:hAnsiTheme="minorHAnsi" w:cstheme="minorHAnsi"/>
          <w:color w:val="000000"/>
          <w:sz w:val="24"/>
          <w:szCs w:val="24"/>
          <w:lang w:bidi="ar-SA"/>
        </w:rPr>
        <w:t xml:space="preserve"> Transnordestina Logística S.A.</w:t>
      </w:r>
    </w:p>
    <w:p w14:paraId="5FD46F2C" w14:textId="1B6B05F2" w:rsidR="00887F20" w:rsidRDefault="00887F20" w:rsidP="009D60E7">
      <w:pPr>
        <w:widowControl/>
        <w:autoSpaceDE/>
        <w:autoSpaceDN/>
        <w:spacing w:before="120" w:after="120"/>
        <w:jc w:val="both"/>
        <w:rPr>
          <w:rFonts w:asciiTheme="minorHAnsi" w:eastAsia="Times New Roman" w:hAnsiTheme="minorHAnsi" w:cstheme="minorHAnsi"/>
          <w:color w:val="000000"/>
          <w:sz w:val="24"/>
          <w:szCs w:val="24"/>
          <w:lang w:bidi="ar-SA"/>
        </w:rPr>
      </w:pPr>
      <w:r w:rsidRPr="0000724E">
        <w:rPr>
          <w:rFonts w:asciiTheme="minorHAnsi" w:eastAsia="Times New Roman" w:hAnsiTheme="minorHAnsi" w:cstheme="minorHAnsi"/>
          <w:b/>
          <w:bCs/>
          <w:color w:val="000000"/>
          <w:sz w:val="24"/>
          <w:szCs w:val="24"/>
          <w:lang w:bidi="ar-SA"/>
        </w:rPr>
        <w:t>UFPA</w:t>
      </w:r>
      <w:r w:rsidR="0000724E" w:rsidRPr="0000724E">
        <w:rPr>
          <w:rFonts w:asciiTheme="minorHAnsi" w:eastAsia="Times New Roman" w:hAnsiTheme="minorHAnsi" w:cstheme="minorHAnsi"/>
          <w:b/>
          <w:bCs/>
          <w:color w:val="000000"/>
          <w:sz w:val="24"/>
          <w:szCs w:val="24"/>
          <w:lang w:bidi="ar-SA"/>
        </w:rPr>
        <w:t>:</w:t>
      </w:r>
      <w:r w:rsidRPr="00887F20">
        <w:rPr>
          <w:rFonts w:asciiTheme="minorHAnsi" w:eastAsia="Times New Roman" w:hAnsiTheme="minorHAnsi" w:cstheme="minorHAnsi"/>
          <w:color w:val="000000"/>
          <w:sz w:val="24"/>
          <w:szCs w:val="24"/>
          <w:lang w:bidi="ar-SA"/>
        </w:rPr>
        <w:t xml:space="preserve"> Universidade Federal do Pará</w:t>
      </w:r>
    </w:p>
    <w:p w14:paraId="3E8B0074" w14:textId="05617AD2" w:rsidR="00FD3637" w:rsidRPr="00FD3637" w:rsidRDefault="00FD3637" w:rsidP="009D60E7">
      <w:pPr>
        <w:widowControl/>
        <w:autoSpaceDE/>
        <w:autoSpaceDN/>
        <w:spacing w:before="120" w:after="120"/>
        <w:jc w:val="both"/>
        <w:rPr>
          <w:rFonts w:asciiTheme="minorHAnsi" w:eastAsia="Times New Roman" w:hAnsiTheme="minorHAnsi" w:cstheme="minorHAnsi"/>
          <w:color w:val="000000"/>
          <w:sz w:val="24"/>
          <w:szCs w:val="24"/>
          <w:lang w:bidi="ar-SA"/>
        </w:rPr>
      </w:pPr>
      <w:r w:rsidRPr="00FD3637">
        <w:rPr>
          <w:rFonts w:asciiTheme="minorHAnsi" w:eastAsia="Times New Roman" w:hAnsiTheme="minorHAnsi" w:cstheme="minorHAnsi"/>
          <w:b/>
          <w:bCs/>
          <w:color w:val="000000"/>
          <w:sz w:val="24"/>
          <w:szCs w:val="24"/>
          <w:lang w:bidi="ar-SA"/>
        </w:rPr>
        <w:t xml:space="preserve">UFRB: </w:t>
      </w:r>
      <w:r w:rsidRPr="00FD3637">
        <w:rPr>
          <w:rFonts w:asciiTheme="minorHAnsi" w:eastAsia="Times New Roman" w:hAnsiTheme="minorHAnsi" w:cstheme="minorHAnsi"/>
          <w:color w:val="000000"/>
          <w:sz w:val="24"/>
          <w:szCs w:val="24"/>
          <w:lang w:bidi="ar-SA"/>
        </w:rPr>
        <w:t>Universidade Federal do Recôncavo da Bahia</w:t>
      </w:r>
    </w:p>
    <w:p w14:paraId="75A5A417" w14:textId="64959CBF" w:rsidR="009D6411" w:rsidRPr="00252D7B" w:rsidRDefault="009D6411" w:rsidP="009D60E7">
      <w:pPr>
        <w:widowControl/>
        <w:autoSpaceDE/>
        <w:autoSpaceDN/>
        <w:spacing w:before="120" w:after="120"/>
        <w:jc w:val="both"/>
        <w:rPr>
          <w:rFonts w:asciiTheme="minorHAnsi" w:eastAsia="Times New Roman" w:hAnsiTheme="minorHAnsi" w:cstheme="minorHAnsi"/>
          <w:color w:val="000000"/>
          <w:sz w:val="24"/>
          <w:szCs w:val="24"/>
          <w:lang w:bidi="ar-SA"/>
        </w:rPr>
      </w:pPr>
      <w:r w:rsidRPr="00D059B7">
        <w:rPr>
          <w:rFonts w:asciiTheme="minorHAnsi" w:eastAsia="Times New Roman" w:hAnsiTheme="minorHAnsi" w:cstheme="minorHAnsi"/>
          <w:b/>
          <w:bCs/>
          <w:color w:val="000000"/>
          <w:sz w:val="24"/>
          <w:szCs w:val="24"/>
          <w:lang w:bidi="ar-SA"/>
        </w:rPr>
        <w:t>UFRGS:</w:t>
      </w:r>
      <w:r w:rsidRPr="009D6411">
        <w:rPr>
          <w:rFonts w:asciiTheme="minorHAnsi" w:eastAsia="Times New Roman" w:hAnsiTheme="minorHAnsi" w:cstheme="minorHAnsi"/>
          <w:color w:val="000000"/>
          <w:sz w:val="24"/>
          <w:szCs w:val="24"/>
          <w:lang w:bidi="ar-SA"/>
        </w:rPr>
        <w:t xml:space="preserve"> Universidade Federal do Rio Grande do Sul</w:t>
      </w:r>
    </w:p>
    <w:p w14:paraId="1E731D41" w14:textId="77777777" w:rsidR="009D60E7" w:rsidRPr="00252D7B" w:rsidRDefault="009D60E7" w:rsidP="009D60E7">
      <w:pPr>
        <w:spacing w:before="120" w:after="120"/>
        <w:jc w:val="both"/>
        <w:rPr>
          <w:rFonts w:asciiTheme="minorHAnsi" w:hAnsiTheme="minorHAnsi" w:cstheme="minorHAnsi"/>
          <w:color w:val="000000"/>
          <w:sz w:val="24"/>
          <w:szCs w:val="24"/>
        </w:rPr>
      </w:pPr>
      <w:r w:rsidRPr="00252D7B">
        <w:rPr>
          <w:rFonts w:asciiTheme="minorHAnsi" w:hAnsiTheme="minorHAnsi" w:cstheme="minorHAnsi"/>
          <w:b/>
          <w:bCs/>
          <w:color w:val="000000"/>
          <w:sz w:val="24"/>
          <w:szCs w:val="24"/>
        </w:rPr>
        <w:t>UnB:</w:t>
      </w:r>
      <w:r w:rsidRPr="00252D7B">
        <w:rPr>
          <w:rFonts w:asciiTheme="minorHAnsi" w:hAnsiTheme="minorHAnsi" w:cstheme="minorHAnsi"/>
        </w:rPr>
        <w:t xml:space="preserve"> </w:t>
      </w:r>
      <w:r w:rsidRPr="00252D7B">
        <w:rPr>
          <w:rFonts w:asciiTheme="minorHAnsi" w:hAnsiTheme="minorHAnsi" w:cstheme="minorHAnsi"/>
          <w:color w:val="000000"/>
          <w:sz w:val="24"/>
          <w:szCs w:val="24"/>
        </w:rPr>
        <w:t>Universidade de Brasília</w:t>
      </w:r>
    </w:p>
    <w:p w14:paraId="365D128E" w14:textId="77777777" w:rsidR="00502D5A" w:rsidRPr="00252D7B" w:rsidRDefault="00502D5A" w:rsidP="00502D5A">
      <w:pPr>
        <w:rPr>
          <w:rFonts w:asciiTheme="minorHAnsi" w:hAnsiTheme="minorHAnsi" w:cstheme="minorHAnsi"/>
        </w:rPr>
      </w:pPr>
    </w:p>
    <w:p w14:paraId="5E0DBD58" w14:textId="301015B3" w:rsidR="00502D5A" w:rsidRPr="00252D7B" w:rsidRDefault="00502D5A" w:rsidP="00C10CF9">
      <w:pPr>
        <w:widowControl/>
        <w:autoSpaceDE/>
        <w:spacing w:after="160" w:line="276" w:lineRule="auto"/>
        <w:contextualSpacing/>
        <w:jc w:val="both"/>
        <w:rPr>
          <w:rFonts w:asciiTheme="minorHAnsi" w:eastAsia="MS Mincho" w:hAnsiTheme="minorHAnsi" w:cstheme="minorHAnsi"/>
          <w:lang w:eastAsia="pt-BR"/>
        </w:rPr>
      </w:pPr>
      <w:r w:rsidRPr="00252D7B">
        <w:rPr>
          <w:rFonts w:asciiTheme="minorHAnsi" w:hAnsiTheme="minorHAnsi" w:cstheme="minorHAnsi"/>
          <w:b/>
          <w:color w:val="323E4F" w:themeColor="text2" w:themeShade="BF"/>
          <w:w w:val="110"/>
          <w:sz w:val="40"/>
          <w:szCs w:val="40"/>
        </w:rPr>
        <w:br w:type="page"/>
      </w:r>
    </w:p>
    <w:p w14:paraId="19C9B302" w14:textId="77777777" w:rsidR="002E1510" w:rsidRPr="00252D7B" w:rsidRDefault="002E1510" w:rsidP="002E1510">
      <w:pPr>
        <w:pStyle w:val="Ttulo1"/>
        <w:numPr>
          <w:ilvl w:val="0"/>
          <w:numId w:val="0"/>
        </w:numPr>
        <w:rPr>
          <w:rFonts w:asciiTheme="minorHAnsi" w:hAnsiTheme="minorHAnsi" w:cstheme="minorHAnsi"/>
        </w:rPr>
      </w:pPr>
      <w:bookmarkStart w:id="8" w:name="_Toc80736924"/>
      <w:bookmarkStart w:id="9" w:name="_Toc80785660"/>
      <w:bookmarkStart w:id="10" w:name="_Toc103680502"/>
      <w:bookmarkStart w:id="11" w:name="_Toc95830193"/>
      <w:bookmarkStart w:id="12" w:name="_Toc49264411"/>
      <w:bookmarkStart w:id="13" w:name="_Toc49264828"/>
      <w:bookmarkStart w:id="14" w:name="_Toc49264941"/>
      <w:bookmarkStart w:id="15" w:name="_Toc49265034"/>
      <w:bookmarkStart w:id="16" w:name="_Toc49265141"/>
      <w:bookmarkStart w:id="17" w:name="_Toc49276620"/>
      <w:r w:rsidRPr="00252D7B">
        <w:rPr>
          <w:rFonts w:asciiTheme="minorHAnsi" w:hAnsiTheme="minorHAnsi" w:cstheme="minorHAnsi"/>
        </w:rPr>
        <w:lastRenderedPageBreak/>
        <w:t>Determinação da Materialidade das Informações</w:t>
      </w:r>
      <w:bookmarkEnd w:id="8"/>
      <w:bookmarkEnd w:id="9"/>
      <w:bookmarkEnd w:id="10"/>
    </w:p>
    <w:p w14:paraId="69E51A75" w14:textId="77777777" w:rsidR="002E1510" w:rsidRPr="00252D7B" w:rsidRDefault="002E1510" w:rsidP="002E1510">
      <w:pPr>
        <w:spacing w:before="120" w:after="120"/>
        <w:rPr>
          <w:rFonts w:asciiTheme="minorHAnsi" w:hAnsiTheme="minorHAnsi" w:cstheme="minorHAnsi"/>
        </w:rPr>
      </w:pPr>
    </w:p>
    <w:p w14:paraId="3F757B3C" w14:textId="0089742F" w:rsidR="002E1510" w:rsidRPr="00252D7B" w:rsidRDefault="002E1510" w:rsidP="005C791B">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Este trabalho é coordenado pela </w:t>
      </w:r>
      <w:r w:rsidR="004D1A40" w:rsidRPr="00252D7B">
        <w:rPr>
          <w:rFonts w:asciiTheme="minorHAnsi" w:hAnsiTheme="minorHAnsi" w:cstheme="minorHAnsi"/>
          <w:sz w:val="24"/>
          <w:szCs w:val="24"/>
        </w:rPr>
        <w:t>Superintendência de Integridade</w:t>
      </w:r>
      <w:r w:rsidRPr="00252D7B">
        <w:rPr>
          <w:rFonts w:asciiTheme="minorHAnsi" w:hAnsiTheme="minorHAnsi" w:cstheme="minorHAnsi"/>
          <w:sz w:val="24"/>
          <w:szCs w:val="24"/>
        </w:rPr>
        <w:t>, órgão da Presidência da Valec.</w:t>
      </w:r>
      <w:r w:rsidR="00DB57D9" w:rsidRPr="00252D7B">
        <w:rPr>
          <w:rFonts w:asciiTheme="minorHAnsi" w:hAnsiTheme="minorHAnsi" w:cstheme="minorHAnsi"/>
          <w:sz w:val="24"/>
          <w:szCs w:val="24"/>
        </w:rPr>
        <w:t xml:space="preserve"> </w:t>
      </w:r>
      <w:r w:rsidRPr="00252D7B">
        <w:rPr>
          <w:rFonts w:asciiTheme="minorHAnsi" w:hAnsiTheme="minorHAnsi" w:cstheme="minorHAnsi"/>
          <w:sz w:val="24"/>
          <w:szCs w:val="24"/>
        </w:rPr>
        <w:t>A estrutura do documento foi definida com base nas orientações do inciso III e no § 3º do art. 8º da IN-TCU 84/</w:t>
      </w:r>
      <w:r w:rsidR="000C4BF2" w:rsidRPr="00252D7B">
        <w:rPr>
          <w:rFonts w:asciiTheme="minorHAnsi" w:hAnsiTheme="minorHAnsi" w:cstheme="minorHAnsi"/>
          <w:sz w:val="24"/>
          <w:szCs w:val="24"/>
        </w:rPr>
        <w:t>202</w:t>
      </w:r>
      <w:r w:rsidR="005845B4" w:rsidRPr="00252D7B">
        <w:rPr>
          <w:rFonts w:asciiTheme="minorHAnsi" w:hAnsiTheme="minorHAnsi" w:cstheme="minorHAnsi"/>
          <w:sz w:val="24"/>
          <w:szCs w:val="24"/>
        </w:rPr>
        <w:t>0</w:t>
      </w:r>
      <w:r w:rsidRPr="00252D7B">
        <w:rPr>
          <w:rFonts w:asciiTheme="minorHAnsi" w:hAnsiTheme="minorHAnsi" w:cstheme="minorHAnsi"/>
          <w:sz w:val="24"/>
          <w:szCs w:val="24"/>
        </w:rPr>
        <w:t>, detalhado no anexo II da Decisão Normativa TCU 187/</w:t>
      </w:r>
      <w:r w:rsidR="000C4BF2" w:rsidRPr="00252D7B">
        <w:rPr>
          <w:rFonts w:asciiTheme="minorHAnsi" w:hAnsiTheme="minorHAnsi" w:cstheme="minorHAnsi"/>
          <w:sz w:val="24"/>
          <w:szCs w:val="24"/>
        </w:rPr>
        <w:t>202</w:t>
      </w:r>
      <w:r w:rsidR="005845B4" w:rsidRPr="00252D7B">
        <w:rPr>
          <w:rFonts w:asciiTheme="minorHAnsi" w:hAnsiTheme="minorHAnsi" w:cstheme="minorHAnsi"/>
          <w:sz w:val="24"/>
          <w:szCs w:val="24"/>
        </w:rPr>
        <w:t>0</w:t>
      </w:r>
      <w:r w:rsidRPr="00252D7B">
        <w:rPr>
          <w:rFonts w:asciiTheme="minorHAnsi" w:hAnsiTheme="minorHAnsi" w:cstheme="minorHAnsi"/>
          <w:sz w:val="24"/>
          <w:szCs w:val="24"/>
        </w:rPr>
        <w:t>.</w:t>
      </w:r>
      <w:r w:rsidR="00DB57D9" w:rsidRPr="00252D7B">
        <w:rPr>
          <w:rFonts w:asciiTheme="minorHAnsi" w:hAnsiTheme="minorHAnsi" w:cstheme="minorHAnsi"/>
          <w:sz w:val="24"/>
          <w:szCs w:val="24"/>
        </w:rPr>
        <w:t xml:space="preserve"> </w:t>
      </w:r>
      <w:r w:rsidRPr="00252D7B">
        <w:rPr>
          <w:rFonts w:asciiTheme="minorHAnsi" w:hAnsiTheme="minorHAnsi" w:cstheme="minorHAnsi"/>
          <w:sz w:val="24"/>
          <w:szCs w:val="24"/>
        </w:rPr>
        <w:t>São atribuídas às unidades organizacionais a elaboração dos temas que possuem competência.</w:t>
      </w:r>
    </w:p>
    <w:p w14:paraId="56E3E405" w14:textId="6D5BC2BE" w:rsidR="002E1510" w:rsidRPr="00252D7B" w:rsidRDefault="002E1510" w:rsidP="005C791B">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Este documento mostra as principais entregas realizadas pela Valec no exercício de 2021.</w:t>
      </w:r>
      <w:r w:rsidR="00DB57D9" w:rsidRPr="00252D7B">
        <w:rPr>
          <w:rFonts w:asciiTheme="minorHAnsi" w:hAnsiTheme="minorHAnsi" w:cstheme="minorHAnsi"/>
          <w:sz w:val="24"/>
          <w:szCs w:val="24"/>
        </w:rPr>
        <w:t xml:space="preserve"> </w:t>
      </w:r>
      <w:r w:rsidRPr="00252D7B">
        <w:rPr>
          <w:rFonts w:asciiTheme="minorHAnsi" w:hAnsiTheme="minorHAnsi" w:cstheme="minorHAnsi"/>
          <w:sz w:val="24"/>
          <w:szCs w:val="24"/>
        </w:rPr>
        <w:t>A produção de conteúdo é realizada de forma descentralizada com a participação de todas as Diretorias da Valec.</w:t>
      </w:r>
      <w:r w:rsidR="00DB57D9" w:rsidRPr="00252D7B">
        <w:rPr>
          <w:rFonts w:asciiTheme="minorHAnsi" w:hAnsiTheme="minorHAnsi" w:cstheme="minorHAnsi"/>
          <w:sz w:val="24"/>
          <w:szCs w:val="24"/>
        </w:rPr>
        <w:t xml:space="preserve"> </w:t>
      </w:r>
      <w:r w:rsidRPr="00252D7B">
        <w:rPr>
          <w:rFonts w:asciiTheme="minorHAnsi" w:hAnsiTheme="minorHAnsi" w:cstheme="minorHAnsi"/>
          <w:sz w:val="24"/>
          <w:szCs w:val="24"/>
        </w:rPr>
        <w:t>O desenvolvimento deste trabalho é executado como um projeto, organizando-se por atividades (</w:t>
      </w:r>
      <w:r w:rsidR="005E7310" w:rsidRPr="00252D7B">
        <w:rPr>
          <w:rFonts w:asciiTheme="minorHAnsi" w:hAnsiTheme="minorHAnsi" w:cstheme="minorHAnsi"/>
          <w:sz w:val="24"/>
          <w:szCs w:val="24"/>
        </w:rPr>
        <w:t>Figura 1</w:t>
      </w:r>
      <w:r w:rsidRPr="00252D7B">
        <w:rPr>
          <w:rFonts w:asciiTheme="minorHAnsi" w:hAnsiTheme="minorHAnsi" w:cstheme="minorHAnsi"/>
          <w:sz w:val="24"/>
          <w:szCs w:val="24"/>
        </w:rPr>
        <w:t>).</w:t>
      </w:r>
    </w:p>
    <w:p w14:paraId="53D3A8FC" w14:textId="77777777" w:rsidR="00FC6CD1" w:rsidRPr="00252D7B" w:rsidRDefault="00FC6CD1" w:rsidP="00E4638D">
      <w:pPr>
        <w:spacing w:before="120"/>
        <w:rPr>
          <w:rFonts w:asciiTheme="minorHAnsi" w:hAnsiTheme="minorHAnsi" w:cstheme="minorHAnsi"/>
        </w:rPr>
      </w:pPr>
    </w:p>
    <w:p w14:paraId="78B441E6" w14:textId="5EB73B12" w:rsidR="00FC6CD1" w:rsidRPr="00252D7B" w:rsidRDefault="00FC6CD1" w:rsidP="00FC6CD1">
      <w:pPr>
        <w:pStyle w:val="Legenda"/>
        <w:jc w:val="center"/>
        <w:rPr>
          <w:rFonts w:asciiTheme="minorHAnsi" w:hAnsiTheme="minorHAnsi" w:cstheme="minorHAnsi"/>
          <w:sz w:val="20"/>
          <w:szCs w:val="20"/>
        </w:rPr>
      </w:pPr>
      <w:bookmarkStart w:id="18" w:name="_Toc80729760"/>
      <w:bookmarkStart w:id="19" w:name="_Toc80785988"/>
      <w:bookmarkStart w:id="20" w:name="_Toc103680737"/>
      <w:r w:rsidRPr="00252D7B">
        <w:rPr>
          <w:rFonts w:asciiTheme="minorHAnsi" w:hAnsiTheme="minorHAnsi" w:cstheme="minorHAnsi"/>
          <w:sz w:val="20"/>
          <w:szCs w:val="20"/>
        </w:rPr>
        <w:t xml:space="preserve">Figura </w:t>
      </w:r>
      <w:r w:rsidR="00F46BDB" w:rsidRPr="00252D7B">
        <w:rPr>
          <w:rFonts w:asciiTheme="minorHAnsi" w:hAnsiTheme="minorHAnsi" w:cstheme="minorHAnsi"/>
          <w:sz w:val="20"/>
          <w:szCs w:val="20"/>
        </w:rPr>
        <w:fldChar w:fldCharType="begin"/>
      </w:r>
      <w:r w:rsidR="00F46BDB" w:rsidRPr="00252D7B">
        <w:rPr>
          <w:rFonts w:asciiTheme="minorHAnsi" w:hAnsiTheme="minorHAnsi" w:cstheme="minorHAnsi"/>
          <w:sz w:val="20"/>
          <w:szCs w:val="20"/>
        </w:rPr>
        <w:instrText xml:space="preserve"> SEQ Figura \* ARABIC </w:instrText>
      </w:r>
      <w:r w:rsidR="00F46BDB"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1</w:t>
      </w:r>
      <w:r w:rsidR="00F46BDB" w:rsidRPr="00252D7B">
        <w:rPr>
          <w:rFonts w:asciiTheme="minorHAnsi" w:hAnsiTheme="minorHAnsi" w:cstheme="minorHAnsi"/>
          <w:sz w:val="20"/>
          <w:szCs w:val="20"/>
        </w:rPr>
        <w:fldChar w:fldCharType="end"/>
      </w:r>
      <w:r w:rsidRPr="00252D7B">
        <w:rPr>
          <w:rFonts w:asciiTheme="minorHAnsi" w:hAnsiTheme="minorHAnsi" w:cstheme="minorHAnsi"/>
          <w:sz w:val="20"/>
          <w:szCs w:val="20"/>
        </w:rPr>
        <w:t xml:space="preserve"> </w:t>
      </w:r>
      <w:r w:rsidR="000118B9" w:rsidRPr="00252D7B">
        <w:rPr>
          <w:rFonts w:asciiTheme="minorHAnsi" w:hAnsiTheme="minorHAnsi" w:cstheme="minorHAnsi"/>
          <w:sz w:val="20"/>
          <w:szCs w:val="20"/>
        </w:rPr>
        <w:t>–</w:t>
      </w:r>
      <w:r w:rsidRPr="00252D7B">
        <w:rPr>
          <w:rFonts w:asciiTheme="minorHAnsi" w:hAnsiTheme="minorHAnsi" w:cstheme="minorHAnsi"/>
          <w:sz w:val="20"/>
          <w:szCs w:val="20"/>
        </w:rPr>
        <w:t xml:space="preserve"> Estrutura do projeto de elaboração do RGI – exercício 202</w:t>
      </w:r>
      <w:bookmarkEnd w:id="18"/>
      <w:bookmarkEnd w:id="19"/>
      <w:r w:rsidRPr="00252D7B">
        <w:rPr>
          <w:rFonts w:asciiTheme="minorHAnsi" w:hAnsiTheme="minorHAnsi" w:cstheme="minorHAnsi"/>
          <w:sz w:val="20"/>
          <w:szCs w:val="20"/>
        </w:rPr>
        <w:t>1</w:t>
      </w:r>
      <w:bookmarkEnd w:id="20"/>
    </w:p>
    <w:p w14:paraId="077EDE2C" w14:textId="1583E900" w:rsidR="002E1510" w:rsidRPr="00252D7B" w:rsidRDefault="00FD20BE" w:rsidP="002E1510">
      <w:pPr>
        <w:keepNext/>
        <w:jc w:val="center"/>
        <w:rPr>
          <w:rFonts w:asciiTheme="minorHAnsi" w:hAnsiTheme="minorHAnsi" w:cstheme="minorHAnsi"/>
        </w:rPr>
      </w:pPr>
      <w:r w:rsidRPr="00252D7B">
        <w:rPr>
          <w:rFonts w:asciiTheme="minorHAnsi" w:hAnsiTheme="minorHAnsi" w:cstheme="minorHAnsi"/>
          <w:noProof/>
        </w:rPr>
        <w:drawing>
          <wp:inline distT="0" distB="0" distL="0" distR="0" wp14:anchorId="57DBE865" wp14:editId="43919ACC">
            <wp:extent cx="5272645" cy="4494913"/>
            <wp:effectExtent l="0" t="0" r="0" b="1270"/>
            <wp:docPr id="2001982188" name="Imagem 200198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8968" r="26548"/>
                    <a:stretch/>
                  </pic:blipFill>
                  <pic:spPr bwMode="auto">
                    <a:xfrm>
                      <a:off x="0" y="0"/>
                      <a:ext cx="5297100" cy="4515761"/>
                    </a:xfrm>
                    <a:prstGeom prst="rect">
                      <a:avLst/>
                    </a:prstGeom>
                    <a:noFill/>
                    <a:ln>
                      <a:noFill/>
                    </a:ln>
                    <a:extLst>
                      <a:ext uri="{53640926-AAD7-44D8-BBD7-CCE9431645EC}">
                        <a14:shadowObscured xmlns:a14="http://schemas.microsoft.com/office/drawing/2010/main"/>
                      </a:ext>
                    </a:extLst>
                  </pic:spPr>
                </pic:pic>
              </a:graphicData>
            </a:graphic>
          </wp:inline>
        </w:drawing>
      </w:r>
    </w:p>
    <w:p w14:paraId="7C609CF8" w14:textId="77777777" w:rsidR="00FD20BE" w:rsidRPr="00252D7B" w:rsidRDefault="00FD20BE" w:rsidP="00FC6CD1">
      <w:pPr>
        <w:spacing w:before="120" w:after="120"/>
        <w:rPr>
          <w:rFonts w:asciiTheme="minorHAnsi" w:hAnsiTheme="minorHAnsi" w:cstheme="minorHAnsi"/>
          <w:sz w:val="24"/>
          <w:szCs w:val="24"/>
        </w:rPr>
      </w:pPr>
    </w:p>
    <w:p w14:paraId="76A18860" w14:textId="77777777" w:rsidR="00FC6CD1" w:rsidRPr="00252D7B" w:rsidRDefault="00FC6CD1" w:rsidP="00FC6CD1">
      <w:pPr>
        <w:spacing w:before="120" w:after="120"/>
        <w:rPr>
          <w:rFonts w:asciiTheme="minorHAnsi" w:hAnsiTheme="minorHAnsi" w:cstheme="minorHAnsi"/>
        </w:rPr>
      </w:pPr>
    </w:p>
    <w:p w14:paraId="5257E9DB" w14:textId="77777777" w:rsidR="00E4638D" w:rsidRPr="00252D7B" w:rsidRDefault="00E4638D" w:rsidP="00E4638D">
      <w:pPr>
        <w:spacing w:before="120" w:after="120"/>
        <w:rPr>
          <w:rFonts w:asciiTheme="minorHAnsi" w:hAnsiTheme="minorHAnsi" w:cstheme="minorHAnsi"/>
          <w:sz w:val="24"/>
          <w:szCs w:val="24"/>
        </w:rPr>
      </w:pPr>
      <w:bookmarkStart w:id="21" w:name="_Toc80785874"/>
      <w:bookmarkStart w:id="22" w:name="_Toc96706007"/>
    </w:p>
    <w:p w14:paraId="47C8D2A7" w14:textId="1DFBCF09" w:rsidR="00E4638D" w:rsidRPr="00252D7B" w:rsidRDefault="00E4638D" w:rsidP="00E4638D">
      <w:pPr>
        <w:spacing w:before="120" w:after="120"/>
        <w:rPr>
          <w:rFonts w:asciiTheme="minorHAnsi" w:hAnsiTheme="minorHAnsi" w:cstheme="minorHAnsi"/>
          <w:sz w:val="24"/>
          <w:szCs w:val="24"/>
        </w:rPr>
      </w:pPr>
      <w:r w:rsidRPr="00252D7B">
        <w:rPr>
          <w:rFonts w:asciiTheme="minorHAnsi" w:hAnsiTheme="minorHAnsi" w:cstheme="minorHAnsi"/>
          <w:sz w:val="24"/>
          <w:szCs w:val="24"/>
        </w:rPr>
        <w:lastRenderedPageBreak/>
        <w:t>A estrutura do documento foi organizada por afinidade temática com as unidades organizacionais, conforme</w:t>
      </w:r>
      <w:r w:rsidR="007C3150" w:rsidRPr="00252D7B">
        <w:rPr>
          <w:rFonts w:asciiTheme="minorHAnsi" w:hAnsiTheme="minorHAnsi" w:cstheme="minorHAnsi"/>
          <w:sz w:val="24"/>
          <w:szCs w:val="24"/>
        </w:rPr>
        <w:t xml:space="preserve"> </w:t>
      </w:r>
      <w:r w:rsidR="00AD0DDC" w:rsidRPr="00252D7B">
        <w:rPr>
          <w:rFonts w:asciiTheme="minorHAnsi" w:hAnsiTheme="minorHAnsi" w:cstheme="minorHAnsi"/>
          <w:sz w:val="24"/>
          <w:szCs w:val="24"/>
        </w:rPr>
        <w:fldChar w:fldCharType="begin"/>
      </w:r>
      <w:r w:rsidR="00AD0DDC" w:rsidRPr="00252D7B">
        <w:rPr>
          <w:rFonts w:asciiTheme="minorHAnsi" w:hAnsiTheme="minorHAnsi" w:cstheme="minorHAnsi"/>
          <w:sz w:val="24"/>
          <w:szCs w:val="24"/>
        </w:rPr>
        <w:instrText xml:space="preserve"> REF _Ref97563846 \h  \* MERGEFORMAT </w:instrText>
      </w:r>
      <w:r w:rsidR="00AD0DDC" w:rsidRPr="00252D7B">
        <w:rPr>
          <w:rFonts w:asciiTheme="minorHAnsi" w:hAnsiTheme="minorHAnsi" w:cstheme="minorHAnsi"/>
          <w:sz w:val="24"/>
          <w:szCs w:val="24"/>
        </w:rPr>
      </w:r>
      <w:r w:rsidR="00AD0DDC" w:rsidRPr="00252D7B">
        <w:rPr>
          <w:rFonts w:asciiTheme="minorHAnsi" w:hAnsiTheme="minorHAnsi" w:cstheme="minorHAnsi"/>
          <w:sz w:val="24"/>
          <w:szCs w:val="24"/>
        </w:rPr>
        <w:fldChar w:fldCharType="separate"/>
      </w:r>
      <w:r w:rsidR="00C12888" w:rsidRPr="00C12888">
        <w:rPr>
          <w:rFonts w:asciiTheme="minorHAnsi" w:hAnsiTheme="minorHAnsi" w:cstheme="minorHAnsi"/>
          <w:sz w:val="24"/>
          <w:szCs w:val="24"/>
        </w:rPr>
        <w:t>Quadro 1</w:t>
      </w:r>
      <w:r w:rsidR="00AD0DDC" w:rsidRPr="00252D7B">
        <w:rPr>
          <w:rFonts w:asciiTheme="minorHAnsi" w:hAnsiTheme="minorHAnsi" w:cstheme="minorHAnsi"/>
          <w:sz w:val="24"/>
          <w:szCs w:val="24"/>
        </w:rPr>
        <w:fldChar w:fldCharType="end"/>
      </w:r>
      <w:r w:rsidRPr="00252D7B">
        <w:rPr>
          <w:rFonts w:asciiTheme="minorHAnsi" w:hAnsiTheme="minorHAnsi" w:cstheme="minorHAnsi"/>
          <w:sz w:val="24"/>
          <w:szCs w:val="24"/>
        </w:rPr>
        <w:t>.</w:t>
      </w:r>
    </w:p>
    <w:p w14:paraId="7F226DE4" w14:textId="77777777" w:rsidR="00E4638D" w:rsidRPr="00252D7B" w:rsidRDefault="00E4638D" w:rsidP="00E4638D">
      <w:pPr>
        <w:spacing w:before="120"/>
        <w:rPr>
          <w:rFonts w:asciiTheme="minorHAnsi" w:hAnsiTheme="minorHAnsi" w:cstheme="minorHAnsi"/>
          <w:sz w:val="24"/>
          <w:szCs w:val="24"/>
        </w:rPr>
      </w:pPr>
    </w:p>
    <w:p w14:paraId="228ED034" w14:textId="58B71DFD" w:rsidR="00801AC7" w:rsidRPr="00252D7B" w:rsidRDefault="00AD0DDC" w:rsidP="00801AC7">
      <w:pPr>
        <w:pStyle w:val="Legenda"/>
        <w:jc w:val="center"/>
        <w:rPr>
          <w:rFonts w:asciiTheme="minorHAnsi" w:hAnsiTheme="minorHAnsi" w:cstheme="minorHAnsi"/>
          <w:sz w:val="20"/>
          <w:szCs w:val="20"/>
        </w:rPr>
      </w:pPr>
      <w:bookmarkStart w:id="23" w:name="_Ref97563846"/>
      <w:bookmarkStart w:id="24" w:name="_Ref97563844"/>
      <w:bookmarkStart w:id="25" w:name="_Toc103680720"/>
      <w:r w:rsidRPr="00252D7B">
        <w:rPr>
          <w:rFonts w:asciiTheme="minorHAnsi" w:hAnsiTheme="minorHAnsi" w:cstheme="minorHAnsi"/>
          <w:sz w:val="20"/>
          <w:szCs w:val="20"/>
        </w:rPr>
        <w:t xml:space="preserve">Quadro </w:t>
      </w:r>
      <w:r w:rsidRPr="00252D7B">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Quadro \* ARABIC </w:instrText>
      </w:r>
      <w:r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1</w:t>
      </w:r>
      <w:r w:rsidRPr="00252D7B">
        <w:rPr>
          <w:rFonts w:asciiTheme="minorHAnsi" w:hAnsiTheme="minorHAnsi" w:cstheme="minorHAnsi"/>
          <w:sz w:val="20"/>
          <w:szCs w:val="20"/>
        </w:rPr>
        <w:fldChar w:fldCharType="end"/>
      </w:r>
      <w:bookmarkEnd w:id="23"/>
      <w:r w:rsidR="00801AC7" w:rsidRPr="00252D7B">
        <w:rPr>
          <w:rFonts w:asciiTheme="minorHAnsi" w:hAnsiTheme="minorHAnsi" w:cstheme="minorHAnsi"/>
          <w:sz w:val="20"/>
          <w:szCs w:val="20"/>
        </w:rPr>
        <w:t xml:space="preserve"> </w:t>
      </w:r>
      <w:bookmarkStart w:id="26" w:name="_Ref97563845"/>
      <w:r w:rsidR="00801AC7" w:rsidRPr="00252D7B">
        <w:rPr>
          <w:rFonts w:asciiTheme="minorHAnsi" w:hAnsiTheme="minorHAnsi" w:cstheme="minorHAnsi"/>
          <w:sz w:val="20"/>
          <w:szCs w:val="20"/>
        </w:rPr>
        <w:t xml:space="preserve">– </w:t>
      </w:r>
      <w:bookmarkEnd w:id="21"/>
      <w:r w:rsidR="00801AC7" w:rsidRPr="00252D7B">
        <w:rPr>
          <w:rFonts w:asciiTheme="minorHAnsi" w:hAnsiTheme="minorHAnsi" w:cstheme="minorHAnsi"/>
          <w:sz w:val="20"/>
          <w:szCs w:val="20"/>
        </w:rPr>
        <w:t>Estrutura do documento</w:t>
      </w:r>
      <w:bookmarkEnd w:id="22"/>
      <w:bookmarkEnd w:id="24"/>
      <w:bookmarkEnd w:id="25"/>
      <w:bookmarkEnd w:id="26"/>
    </w:p>
    <w:tbl>
      <w:tblPr>
        <w:tblStyle w:val="Tabelacomgrade"/>
        <w:tblW w:w="7797" w:type="dxa"/>
        <w:jc w:val="center"/>
        <w:tblLook w:val="04A0" w:firstRow="1" w:lastRow="0" w:firstColumn="1" w:lastColumn="0" w:noHBand="0" w:noVBand="1"/>
      </w:tblPr>
      <w:tblGrid>
        <w:gridCol w:w="5807"/>
        <w:gridCol w:w="1990"/>
      </w:tblGrid>
      <w:tr w:rsidR="00801AC7" w:rsidRPr="00252D7B" w14:paraId="3DDD1553" w14:textId="77777777" w:rsidTr="0091068B">
        <w:trPr>
          <w:tblHeader/>
          <w:jc w:val="center"/>
        </w:trPr>
        <w:tc>
          <w:tcPr>
            <w:tcW w:w="5807" w:type="dxa"/>
            <w:shd w:val="clear" w:color="auto" w:fill="D9D9D9" w:themeFill="background1" w:themeFillShade="D9"/>
            <w:hideMark/>
          </w:tcPr>
          <w:p w14:paraId="5BD632EE" w14:textId="77777777" w:rsidR="00801AC7" w:rsidRPr="00252D7B" w:rsidRDefault="00801AC7" w:rsidP="00E03684">
            <w:pPr>
              <w:widowControl/>
              <w:autoSpaceDE/>
              <w:autoSpaceDN/>
              <w:jc w:val="center"/>
              <w:rPr>
                <w:rFonts w:asciiTheme="minorHAnsi" w:eastAsia="Times New Roman" w:hAnsiTheme="minorHAnsi" w:cstheme="minorHAnsi"/>
                <w:b/>
                <w:bCs/>
                <w:color w:val="000000"/>
                <w:sz w:val="20"/>
                <w:szCs w:val="20"/>
                <w:lang w:eastAsia="pt-BR" w:bidi="ar-SA"/>
              </w:rPr>
            </w:pPr>
            <w:r w:rsidRPr="00252D7B">
              <w:rPr>
                <w:rFonts w:asciiTheme="minorHAnsi" w:eastAsia="Times New Roman" w:hAnsiTheme="minorHAnsi" w:cstheme="minorHAnsi"/>
                <w:b/>
                <w:bCs/>
                <w:color w:val="000000"/>
                <w:sz w:val="20"/>
                <w:szCs w:val="20"/>
                <w:lang w:eastAsia="pt-BR" w:bidi="ar-SA"/>
              </w:rPr>
              <w:t>Item</w:t>
            </w:r>
          </w:p>
        </w:tc>
        <w:tc>
          <w:tcPr>
            <w:tcW w:w="1990" w:type="dxa"/>
            <w:shd w:val="clear" w:color="auto" w:fill="D9D9D9" w:themeFill="background1" w:themeFillShade="D9"/>
            <w:hideMark/>
          </w:tcPr>
          <w:p w14:paraId="436CBEB6" w14:textId="77777777" w:rsidR="00801AC7" w:rsidRPr="00252D7B" w:rsidRDefault="00801AC7" w:rsidP="00E03684">
            <w:pPr>
              <w:widowControl/>
              <w:autoSpaceDE/>
              <w:autoSpaceDN/>
              <w:jc w:val="center"/>
              <w:rPr>
                <w:rFonts w:asciiTheme="minorHAnsi" w:eastAsia="Times New Roman" w:hAnsiTheme="minorHAnsi" w:cstheme="minorHAnsi"/>
                <w:b/>
                <w:bCs/>
                <w:color w:val="000000"/>
                <w:sz w:val="20"/>
                <w:szCs w:val="20"/>
                <w:lang w:eastAsia="pt-BR" w:bidi="ar-SA"/>
              </w:rPr>
            </w:pPr>
            <w:r w:rsidRPr="00252D7B">
              <w:rPr>
                <w:rFonts w:asciiTheme="minorHAnsi" w:eastAsia="Times New Roman" w:hAnsiTheme="minorHAnsi" w:cstheme="minorHAnsi"/>
                <w:b/>
                <w:bCs/>
                <w:color w:val="000000"/>
                <w:sz w:val="20"/>
                <w:szCs w:val="20"/>
                <w:lang w:eastAsia="pt-BR" w:bidi="ar-SA"/>
              </w:rPr>
              <w:t>Área Responsável</w:t>
            </w:r>
          </w:p>
        </w:tc>
      </w:tr>
      <w:tr w:rsidR="00801AC7" w:rsidRPr="00252D7B" w14:paraId="39E7D45F" w14:textId="77777777" w:rsidTr="00153908">
        <w:trPr>
          <w:jc w:val="center"/>
        </w:trPr>
        <w:tc>
          <w:tcPr>
            <w:tcW w:w="5807" w:type="dxa"/>
            <w:hideMark/>
          </w:tcPr>
          <w:p w14:paraId="6587D662" w14:textId="77777777" w:rsidR="00801AC7" w:rsidRPr="00252D7B" w:rsidRDefault="00801AC7" w:rsidP="00E03684">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Elementos pré-textuais</w:t>
            </w:r>
          </w:p>
        </w:tc>
        <w:tc>
          <w:tcPr>
            <w:tcW w:w="1990" w:type="dxa"/>
            <w:vAlign w:val="center"/>
            <w:hideMark/>
          </w:tcPr>
          <w:p w14:paraId="27386783" w14:textId="77777777" w:rsidR="00801AC7" w:rsidRPr="00252D7B" w:rsidRDefault="00801AC7" w:rsidP="00153908">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GEDIN</w:t>
            </w:r>
          </w:p>
        </w:tc>
      </w:tr>
      <w:tr w:rsidR="00801AC7" w:rsidRPr="00252D7B" w14:paraId="1D8D2AE2" w14:textId="77777777" w:rsidTr="00153908">
        <w:trPr>
          <w:jc w:val="center"/>
        </w:trPr>
        <w:tc>
          <w:tcPr>
            <w:tcW w:w="5807" w:type="dxa"/>
            <w:hideMark/>
          </w:tcPr>
          <w:p w14:paraId="0DCB1ACE" w14:textId="267693B4" w:rsidR="00801AC7" w:rsidRPr="00252D7B" w:rsidRDefault="00801AC7" w:rsidP="00E03684">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Carta d</w:t>
            </w:r>
            <w:r w:rsidR="00F15FAD" w:rsidRPr="00252D7B">
              <w:rPr>
                <w:rFonts w:asciiTheme="minorHAnsi" w:eastAsia="Times New Roman" w:hAnsiTheme="minorHAnsi" w:cstheme="minorHAnsi"/>
                <w:color w:val="000000"/>
                <w:sz w:val="20"/>
                <w:szCs w:val="20"/>
                <w:lang w:eastAsia="pt-BR" w:bidi="ar-SA"/>
              </w:rPr>
              <w:t>o</w:t>
            </w:r>
            <w:r w:rsidRPr="00252D7B">
              <w:rPr>
                <w:rFonts w:asciiTheme="minorHAnsi" w:eastAsia="Times New Roman" w:hAnsiTheme="minorHAnsi" w:cstheme="minorHAnsi"/>
                <w:color w:val="000000"/>
                <w:sz w:val="20"/>
                <w:szCs w:val="20"/>
                <w:lang w:eastAsia="pt-BR" w:bidi="ar-SA"/>
              </w:rPr>
              <w:t xml:space="preserve"> Presidente</w:t>
            </w:r>
          </w:p>
        </w:tc>
        <w:tc>
          <w:tcPr>
            <w:tcW w:w="1990" w:type="dxa"/>
            <w:vAlign w:val="center"/>
            <w:hideMark/>
          </w:tcPr>
          <w:p w14:paraId="43CFFF97" w14:textId="77777777" w:rsidR="00801AC7" w:rsidRPr="00252D7B" w:rsidRDefault="00801AC7" w:rsidP="00153908">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ADMIN</w:t>
            </w:r>
          </w:p>
        </w:tc>
      </w:tr>
      <w:tr w:rsidR="00801AC7" w:rsidRPr="00252D7B" w14:paraId="3F4F03C4" w14:textId="77777777" w:rsidTr="00153908">
        <w:trPr>
          <w:jc w:val="center"/>
        </w:trPr>
        <w:tc>
          <w:tcPr>
            <w:tcW w:w="5807" w:type="dxa"/>
            <w:hideMark/>
          </w:tcPr>
          <w:p w14:paraId="4BB2F093" w14:textId="77777777" w:rsidR="00801AC7" w:rsidRPr="00252D7B" w:rsidRDefault="00801AC7" w:rsidP="00E03684">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b/>
                <w:bCs/>
                <w:color w:val="000000"/>
                <w:sz w:val="20"/>
                <w:szCs w:val="20"/>
                <w:lang w:eastAsia="pt-BR" w:bidi="ar-SA"/>
              </w:rPr>
              <w:t>1. Visão geral organizacional e ambiente externo</w:t>
            </w:r>
          </w:p>
        </w:tc>
        <w:tc>
          <w:tcPr>
            <w:tcW w:w="1990" w:type="dxa"/>
            <w:vAlign w:val="center"/>
            <w:hideMark/>
          </w:tcPr>
          <w:p w14:paraId="2AC41464" w14:textId="0F21D508" w:rsidR="00801AC7" w:rsidRPr="00252D7B" w:rsidRDefault="00801AC7" w:rsidP="00153908">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p>
        </w:tc>
      </w:tr>
      <w:tr w:rsidR="00801AC7" w:rsidRPr="00252D7B" w14:paraId="1A79A9D1" w14:textId="77777777" w:rsidTr="00153908">
        <w:trPr>
          <w:jc w:val="center"/>
        </w:trPr>
        <w:tc>
          <w:tcPr>
            <w:tcW w:w="5807" w:type="dxa"/>
            <w:hideMark/>
          </w:tcPr>
          <w:p w14:paraId="55503BF6" w14:textId="41E55A7A" w:rsidR="00801AC7" w:rsidRPr="00252D7B" w:rsidRDefault="0091068B" w:rsidP="00E03684">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 xml:space="preserve">   </w:t>
            </w:r>
            <w:r w:rsidR="00801AC7" w:rsidRPr="00252D7B">
              <w:rPr>
                <w:rFonts w:asciiTheme="minorHAnsi" w:eastAsia="Times New Roman" w:hAnsiTheme="minorHAnsi" w:cstheme="minorHAnsi"/>
                <w:color w:val="000000"/>
                <w:sz w:val="20"/>
                <w:szCs w:val="20"/>
                <w:lang w:eastAsia="pt-BR" w:bidi="ar-SA"/>
              </w:rPr>
              <w:t>1.1. Competências</w:t>
            </w:r>
          </w:p>
        </w:tc>
        <w:tc>
          <w:tcPr>
            <w:tcW w:w="1990" w:type="dxa"/>
            <w:vAlign w:val="center"/>
            <w:hideMark/>
          </w:tcPr>
          <w:p w14:paraId="02192A55" w14:textId="77777777" w:rsidR="00801AC7" w:rsidRPr="00252D7B" w:rsidRDefault="00801AC7" w:rsidP="00153908">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SUINT</w:t>
            </w:r>
          </w:p>
        </w:tc>
      </w:tr>
      <w:tr w:rsidR="00801AC7" w:rsidRPr="00252D7B" w14:paraId="3E5C908F" w14:textId="77777777" w:rsidTr="00153908">
        <w:trPr>
          <w:jc w:val="center"/>
        </w:trPr>
        <w:tc>
          <w:tcPr>
            <w:tcW w:w="5807" w:type="dxa"/>
            <w:hideMark/>
          </w:tcPr>
          <w:p w14:paraId="48746D7A" w14:textId="349DCED7" w:rsidR="00801AC7" w:rsidRPr="00252D7B" w:rsidRDefault="0091068B" w:rsidP="00E03684">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 xml:space="preserve">   </w:t>
            </w:r>
            <w:r w:rsidR="00801AC7" w:rsidRPr="00252D7B">
              <w:rPr>
                <w:rFonts w:asciiTheme="minorHAnsi" w:eastAsia="Times New Roman" w:hAnsiTheme="minorHAnsi" w:cstheme="minorHAnsi"/>
                <w:color w:val="000000"/>
                <w:sz w:val="20"/>
                <w:szCs w:val="20"/>
                <w:lang w:eastAsia="pt-BR" w:bidi="ar-SA"/>
              </w:rPr>
              <w:t>1.2. Missão e visão</w:t>
            </w:r>
          </w:p>
        </w:tc>
        <w:tc>
          <w:tcPr>
            <w:tcW w:w="1990" w:type="dxa"/>
            <w:vAlign w:val="center"/>
            <w:hideMark/>
          </w:tcPr>
          <w:p w14:paraId="3598B4CB" w14:textId="77777777" w:rsidR="00801AC7" w:rsidRPr="00252D7B" w:rsidRDefault="00801AC7" w:rsidP="00153908">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SUINT</w:t>
            </w:r>
          </w:p>
        </w:tc>
      </w:tr>
      <w:tr w:rsidR="00801AC7" w:rsidRPr="00252D7B" w14:paraId="738B17CE" w14:textId="77777777" w:rsidTr="00153908">
        <w:trPr>
          <w:jc w:val="center"/>
        </w:trPr>
        <w:tc>
          <w:tcPr>
            <w:tcW w:w="5807" w:type="dxa"/>
            <w:hideMark/>
          </w:tcPr>
          <w:p w14:paraId="00229C5D" w14:textId="45C2D2BD" w:rsidR="00801AC7" w:rsidRPr="00252D7B" w:rsidRDefault="0091068B" w:rsidP="00E03684">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 xml:space="preserve">   </w:t>
            </w:r>
            <w:r w:rsidR="00801AC7" w:rsidRPr="00252D7B">
              <w:rPr>
                <w:rFonts w:asciiTheme="minorHAnsi" w:eastAsia="Times New Roman" w:hAnsiTheme="minorHAnsi" w:cstheme="minorHAnsi"/>
                <w:color w:val="000000"/>
                <w:sz w:val="20"/>
                <w:szCs w:val="20"/>
                <w:lang w:eastAsia="pt-BR" w:bidi="ar-SA"/>
              </w:rPr>
              <w:t>1.3. Estrutura organizacional</w:t>
            </w:r>
          </w:p>
        </w:tc>
        <w:tc>
          <w:tcPr>
            <w:tcW w:w="1990" w:type="dxa"/>
            <w:vAlign w:val="center"/>
            <w:hideMark/>
          </w:tcPr>
          <w:p w14:paraId="4AD54A2A" w14:textId="77777777" w:rsidR="00801AC7" w:rsidRPr="00252D7B" w:rsidRDefault="00801AC7" w:rsidP="00153908">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SUINT</w:t>
            </w:r>
          </w:p>
        </w:tc>
      </w:tr>
      <w:tr w:rsidR="00801AC7" w:rsidRPr="00252D7B" w14:paraId="4F570F2F" w14:textId="77777777" w:rsidTr="00153908">
        <w:trPr>
          <w:jc w:val="center"/>
        </w:trPr>
        <w:tc>
          <w:tcPr>
            <w:tcW w:w="5807" w:type="dxa"/>
            <w:hideMark/>
          </w:tcPr>
          <w:p w14:paraId="3A1D2D4D" w14:textId="77777777" w:rsidR="00801AC7" w:rsidRPr="00252D7B" w:rsidRDefault="00801AC7" w:rsidP="00E03684">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   1.4. Modelo de negócio</w:t>
            </w:r>
          </w:p>
        </w:tc>
        <w:tc>
          <w:tcPr>
            <w:tcW w:w="1990" w:type="dxa"/>
            <w:vAlign w:val="center"/>
            <w:hideMark/>
          </w:tcPr>
          <w:p w14:paraId="0C5FB95E" w14:textId="77777777" w:rsidR="00801AC7" w:rsidRPr="00252D7B" w:rsidRDefault="00801AC7" w:rsidP="00153908">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SUINT</w:t>
            </w:r>
          </w:p>
        </w:tc>
      </w:tr>
      <w:tr w:rsidR="00801AC7" w:rsidRPr="00252D7B" w14:paraId="108E718A" w14:textId="77777777" w:rsidTr="00153908">
        <w:trPr>
          <w:jc w:val="center"/>
        </w:trPr>
        <w:tc>
          <w:tcPr>
            <w:tcW w:w="5807" w:type="dxa"/>
            <w:hideMark/>
          </w:tcPr>
          <w:p w14:paraId="59EE5537" w14:textId="77777777" w:rsidR="00801AC7" w:rsidRPr="00252D7B" w:rsidRDefault="00801AC7" w:rsidP="00E03684">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   1.5. Cadeia de valor</w:t>
            </w:r>
          </w:p>
        </w:tc>
        <w:tc>
          <w:tcPr>
            <w:tcW w:w="1990" w:type="dxa"/>
            <w:vAlign w:val="center"/>
            <w:hideMark/>
          </w:tcPr>
          <w:p w14:paraId="27480256" w14:textId="77777777" w:rsidR="00801AC7" w:rsidRPr="00252D7B" w:rsidRDefault="00801AC7" w:rsidP="00153908">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SUINT</w:t>
            </w:r>
          </w:p>
        </w:tc>
      </w:tr>
      <w:tr w:rsidR="00801AC7" w:rsidRPr="00252D7B" w14:paraId="243DC802" w14:textId="77777777" w:rsidTr="00153908">
        <w:trPr>
          <w:jc w:val="center"/>
        </w:trPr>
        <w:tc>
          <w:tcPr>
            <w:tcW w:w="5807" w:type="dxa"/>
            <w:hideMark/>
          </w:tcPr>
          <w:p w14:paraId="43A67BDF" w14:textId="1B2F7928" w:rsidR="00801AC7" w:rsidRPr="00252D7B" w:rsidRDefault="00801AC7" w:rsidP="00E03684">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bookmarkStart w:id="27" w:name="_Toc94012441"/>
            <w:r w:rsidRPr="00252D7B">
              <w:rPr>
                <w:rFonts w:asciiTheme="minorHAnsi" w:eastAsia="Times New Roman" w:hAnsiTheme="minorHAnsi" w:cstheme="minorHAnsi"/>
                <w:color w:val="000000"/>
                <w:sz w:val="20"/>
                <w:szCs w:val="20"/>
                <w:lang w:eastAsia="pt-BR" w:bidi="ar-SA"/>
              </w:rPr>
              <w:t>   1.6. Empreendimento ferroviários</w:t>
            </w:r>
            <w:bookmarkEnd w:id="27"/>
          </w:p>
        </w:tc>
        <w:tc>
          <w:tcPr>
            <w:tcW w:w="1990" w:type="dxa"/>
            <w:vAlign w:val="center"/>
            <w:hideMark/>
          </w:tcPr>
          <w:p w14:paraId="64EAF173" w14:textId="77777777" w:rsidR="00801AC7" w:rsidRPr="00252D7B" w:rsidRDefault="00801AC7" w:rsidP="00153908">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DINEG/DIREM</w:t>
            </w:r>
          </w:p>
        </w:tc>
      </w:tr>
      <w:tr w:rsidR="00801AC7" w:rsidRPr="00252D7B" w14:paraId="10672DDF" w14:textId="77777777" w:rsidTr="00153908">
        <w:trPr>
          <w:jc w:val="center"/>
        </w:trPr>
        <w:tc>
          <w:tcPr>
            <w:tcW w:w="5807" w:type="dxa"/>
            <w:hideMark/>
          </w:tcPr>
          <w:p w14:paraId="712EB889" w14:textId="3E16E37C" w:rsidR="00801AC7" w:rsidRPr="00252D7B" w:rsidRDefault="00801AC7" w:rsidP="00153908">
            <w:pPr>
              <w:widowControl/>
              <w:autoSpaceDE/>
              <w:autoSpaceDN/>
              <w:spacing w:before="100" w:beforeAutospacing="1" w:after="100" w:afterAutospacing="1"/>
              <w:ind w:left="169"/>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1.7. Cenário nacional e internacional do modal ferroviário</w:t>
            </w:r>
          </w:p>
        </w:tc>
        <w:tc>
          <w:tcPr>
            <w:tcW w:w="1990" w:type="dxa"/>
            <w:vAlign w:val="center"/>
            <w:hideMark/>
          </w:tcPr>
          <w:p w14:paraId="286A485F" w14:textId="77777777" w:rsidR="00801AC7" w:rsidRPr="00252D7B" w:rsidRDefault="00801AC7" w:rsidP="00153908">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DINEG/DIREM</w:t>
            </w:r>
          </w:p>
        </w:tc>
      </w:tr>
      <w:tr w:rsidR="00801AC7" w:rsidRPr="00252D7B" w14:paraId="1780D6C1" w14:textId="77777777" w:rsidTr="00153908">
        <w:trPr>
          <w:jc w:val="center"/>
        </w:trPr>
        <w:tc>
          <w:tcPr>
            <w:tcW w:w="5807" w:type="dxa"/>
            <w:hideMark/>
          </w:tcPr>
          <w:p w14:paraId="615770D1" w14:textId="77777777" w:rsidR="00801AC7" w:rsidRPr="00252D7B" w:rsidRDefault="00801AC7" w:rsidP="00E03684">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   1.8. Capital social e participação em outras sociedades</w:t>
            </w:r>
          </w:p>
        </w:tc>
        <w:tc>
          <w:tcPr>
            <w:tcW w:w="1990" w:type="dxa"/>
            <w:vAlign w:val="center"/>
            <w:hideMark/>
          </w:tcPr>
          <w:p w14:paraId="728FF397" w14:textId="77777777" w:rsidR="00801AC7" w:rsidRPr="00252D7B" w:rsidRDefault="00801AC7" w:rsidP="00153908">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DINEG</w:t>
            </w:r>
          </w:p>
        </w:tc>
      </w:tr>
      <w:tr w:rsidR="00801AC7" w:rsidRPr="00252D7B" w14:paraId="7F7E1D0D" w14:textId="77777777" w:rsidTr="00153908">
        <w:trPr>
          <w:jc w:val="center"/>
        </w:trPr>
        <w:tc>
          <w:tcPr>
            <w:tcW w:w="5807" w:type="dxa"/>
            <w:hideMark/>
          </w:tcPr>
          <w:p w14:paraId="44BB56FF" w14:textId="1517F79C" w:rsidR="00801AC7" w:rsidRPr="00252D7B" w:rsidRDefault="00801AC7" w:rsidP="00E03684">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b/>
                <w:bCs/>
                <w:color w:val="000000"/>
                <w:sz w:val="20"/>
                <w:szCs w:val="20"/>
                <w:lang w:eastAsia="pt-BR" w:bidi="ar-SA"/>
              </w:rPr>
              <w:t>2. Riscos, oportunidades e perspectivas</w:t>
            </w:r>
          </w:p>
        </w:tc>
        <w:tc>
          <w:tcPr>
            <w:tcW w:w="1990" w:type="dxa"/>
            <w:vAlign w:val="center"/>
            <w:hideMark/>
          </w:tcPr>
          <w:p w14:paraId="620546E8" w14:textId="77777777" w:rsidR="00801AC7" w:rsidRPr="00252D7B" w:rsidRDefault="00801AC7" w:rsidP="00153908">
            <w:pPr>
              <w:widowControl/>
              <w:autoSpaceDE/>
              <w:autoSpaceDN/>
              <w:spacing w:before="100" w:beforeAutospacing="1" w:after="100" w:afterAutospacing="1"/>
              <w:jc w:val="center"/>
              <w:rPr>
                <w:rFonts w:asciiTheme="minorHAnsi" w:eastAsia="Times New Roman" w:hAnsiTheme="minorHAnsi" w:cstheme="minorHAnsi"/>
                <w:b/>
                <w:bCs/>
                <w:color w:val="000000"/>
                <w:sz w:val="20"/>
                <w:szCs w:val="20"/>
                <w:lang w:eastAsia="pt-BR" w:bidi="ar-SA"/>
              </w:rPr>
            </w:pPr>
            <w:r w:rsidRPr="00252D7B">
              <w:rPr>
                <w:rFonts w:asciiTheme="minorHAnsi" w:eastAsia="Times New Roman" w:hAnsiTheme="minorHAnsi" w:cstheme="minorHAnsi"/>
                <w:b/>
                <w:bCs/>
                <w:color w:val="000000"/>
                <w:sz w:val="20"/>
                <w:szCs w:val="20"/>
                <w:lang w:eastAsia="pt-BR" w:bidi="ar-SA"/>
              </w:rPr>
              <w:t>SUINT</w:t>
            </w:r>
          </w:p>
        </w:tc>
      </w:tr>
      <w:tr w:rsidR="00801AC7" w:rsidRPr="00252D7B" w14:paraId="28077E08" w14:textId="77777777" w:rsidTr="00153908">
        <w:trPr>
          <w:jc w:val="center"/>
        </w:trPr>
        <w:tc>
          <w:tcPr>
            <w:tcW w:w="5807" w:type="dxa"/>
            <w:shd w:val="clear" w:color="auto" w:fill="auto"/>
          </w:tcPr>
          <w:p w14:paraId="242D75B5" w14:textId="77777777" w:rsidR="00801AC7" w:rsidRPr="00252D7B" w:rsidRDefault="00801AC7" w:rsidP="00E03684">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   2.1 Programa de integridade</w:t>
            </w:r>
          </w:p>
        </w:tc>
        <w:tc>
          <w:tcPr>
            <w:tcW w:w="1990" w:type="dxa"/>
            <w:shd w:val="clear" w:color="auto" w:fill="auto"/>
            <w:vAlign w:val="center"/>
          </w:tcPr>
          <w:p w14:paraId="7F096F80" w14:textId="77777777" w:rsidR="00801AC7" w:rsidRPr="00252D7B" w:rsidRDefault="00801AC7" w:rsidP="00153908">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SUINT</w:t>
            </w:r>
          </w:p>
        </w:tc>
      </w:tr>
      <w:tr w:rsidR="00801AC7" w:rsidRPr="00252D7B" w14:paraId="0DF4DDF7" w14:textId="77777777" w:rsidTr="00153908">
        <w:trPr>
          <w:jc w:val="center"/>
        </w:trPr>
        <w:tc>
          <w:tcPr>
            <w:tcW w:w="5807" w:type="dxa"/>
            <w:shd w:val="clear" w:color="auto" w:fill="auto"/>
          </w:tcPr>
          <w:p w14:paraId="427ACE8D" w14:textId="77777777" w:rsidR="00801AC7" w:rsidRPr="00252D7B" w:rsidRDefault="00801AC7" w:rsidP="00E03684">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   2.2 Gestão de riscos e controles internos</w:t>
            </w:r>
          </w:p>
        </w:tc>
        <w:tc>
          <w:tcPr>
            <w:tcW w:w="1990" w:type="dxa"/>
            <w:shd w:val="clear" w:color="auto" w:fill="auto"/>
            <w:vAlign w:val="center"/>
          </w:tcPr>
          <w:p w14:paraId="7C52C24C" w14:textId="77777777" w:rsidR="00801AC7" w:rsidRPr="00252D7B" w:rsidRDefault="00801AC7" w:rsidP="00153908">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SUINT</w:t>
            </w:r>
          </w:p>
        </w:tc>
      </w:tr>
      <w:tr w:rsidR="00801AC7" w:rsidRPr="00252D7B" w14:paraId="708F1AF5" w14:textId="77777777" w:rsidTr="00153908">
        <w:trPr>
          <w:jc w:val="center"/>
        </w:trPr>
        <w:tc>
          <w:tcPr>
            <w:tcW w:w="5807" w:type="dxa"/>
            <w:shd w:val="clear" w:color="auto" w:fill="auto"/>
            <w:hideMark/>
          </w:tcPr>
          <w:p w14:paraId="05F4060E" w14:textId="1FA21DFF" w:rsidR="00801AC7" w:rsidRPr="00252D7B" w:rsidRDefault="00801AC7" w:rsidP="00E03684">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b/>
                <w:bCs/>
                <w:color w:val="000000"/>
                <w:sz w:val="20"/>
                <w:szCs w:val="20"/>
                <w:lang w:eastAsia="pt-BR" w:bidi="ar-SA"/>
              </w:rPr>
              <w:t>3. Governança e estratégia</w:t>
            </w:r>
          </w:p>
        </w:tc>
        <w:tc>
          <w:tcPr>
            <w:tcW w:w="1990" w:type="dxa"/>
            <w:shd w:val="clear" w:color="auto" w:fill="auto"/>
            <w:vAlign w:val="center"/>
            <w:hideMark/>
          </w:tcPr>
          <w:p w14:paraId="7D98F8D6" w14:textId="1FF6443D" w:rsidR="00801AC7" w:rsidRPr="00252D7B" w:rsidRDefault="00801AC7" w:rsidP="00153908">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w:t>
            </w:r>
          </w:p>
        </w:tc>
      </w:tr>
      <w:tr w:rsidR="00801AC7" w:rsidRPr="00252D7B" w14:paraId="26DEBE89" w14:textId="77777777" w:rsidTr="00153908">
        <w:trPr>
          <w:jc w:val="center"/>
        </w:trPr>
        <w:tc>
          <w:tcPr>
            <w:tcW w:w="5807" w:type="dxa"/>
            <w:shd w:val="clear" w:color="auto" w:fill="auto"/>
            <w:hideMark/>
          </w:tcPr>
          <w:p w14:paraId="3D0A1487" w14:textId="77777777" w:rsidR="00801AC7" w:rsidRPr="00252D7B" w:rsidRDefault="00801AC7" w:rsidP="00E03684">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   3.1. Estrutura de governança</w:t>
            </w:r>
          </w:p>
        </w:tc>
        <w:tc>
          <w:tcPr>
            <w:tcW w:w="1990" w:type="dxa"/>
            <w:shd w:val="clear" w:color="auto" w:fill="auto"/>
            <w:vAlign w:val="center"/>
            <w:hideMark/>
          </w:tcPr>
          <w:p w14:paraId="46C24BB2" w14:textId="77777777" w:rsidR="00801AC7" w:rsidRPr="00252D7B" w:rsidRDefault="00801AC7" w:rsidP="00153908">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SUINT</w:t>
            </w:r>
          </w:p>
        </w:tc>
      </w:tr>
      <w:tr w:rsidR="00801AC7" w:rsidRPr="00252D7B" w14:paraId="456DBC43" w14:textId="77777777" w:rsidTr="00153908">
        <w:trPr>
          <w:jc w:val="center"/>
        </w:trPr>
        <w:tc>
          <w:tcPr>
            <w:tcW w:w="5807" w:type="dxa"/>
            <w:shd w:val="clear" w:color="auto" w:fill="auto"/>
            <w:hideMark/>
          </w:tcPr>
          <w:p w14:paraId="4A406390" w14:textId="77777777" w:rsidR="00801AC7" w:rsidRPr="00252D7B" w:rsidRDefault="00801AC7" w:rsidP="00E03684">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   3.2. Planejamento estratégico institucional</w:t>
            </w:r>
          </w:p>
        </w:tc>
        <w:tc>
          <w:tcPr>
            <w:tcW w:w="1990" w:type="dxa"/>
            <w:shd w:val="clear" w:color="auto" w:fill="auto"/>
            <w:vAlign w:val="center"/>
            <w:hideMark/>
          </w:tcPr>
          <w:p w14:paraId="23386454" w14:textId="77777777" w:rsidR="00801AC7" w:rsidRPr="00252D7B" w:rsidRDefault="00801AC7" w:rsidP="00153908">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SUINT</w:t>
            </w:r>
          </w:p>
        </w:tc>
      </w:tr>
      <w:tr w:rsidR="00801AC7" w:rsidRPr="00252D7B" w14:paraId="2988537B" w14:textId="77777777" w:rsidTr="00153908">
        <w:trPr>
          <w:jc w:val="center"/>
        </w:trPr>
        <w:tc>
          <w:tcPr>
            <w:tcW w:w="5807" w:type="dxa"/>
            <w:shd w:val="clear" w:color="auto" w:fill="auto"/>
            <w:hideMark/>
          </w:tcPr>
          <w:p w14:paraId="1DDC36B3" w14:textId="77777777" w:rsidR="00801AC7" w:rsidRPr="00252D7B" w:rsidRDefault="00801AC7" w:rsidP="00E03684">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   3.3. Planos de curto prazo - ano 2021</w:t>
            </w:r>
          </w:p>
        </w:tc>
        <w:tc>
          <w:tcPr>
            <w:tcW w:w="1990" w:type="dxa"/>
            <w:shd w:val="clear" w:color="auto" w:fill="auto"/>
            <w:vAlign w:val="center"/>
            <w:hideMark/>
          </w:tcPr>
          <w:p w14:paraId="242B3B22" w14:textId="77777777" w:rsidR="00801AC7" w:rsidRPr="00252D7B" w:rsidRDefault="00801AC7" w:rsidP="00153908">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SUINT</w:t>
            </w:r>
          </w:p>
        </w:tc>
      </w:tr>
      <w:tr w:rsidR="00801AC7" w:rsidRPr="00252D7B" w14:paraId="3D9B149A" w14:textId="77777777" w:rsidTr="00153908">
        <w:trPr>
          <w:jc w:val="center"/>
        </w:trPr>
        <w:tc>
          <w:tcPr>
            <w:tcW w:w="5807" w:type="dxa"/>
            <w:shd w:val="clear" w:color="auto" w:fill="auto"/>
            <w:hideMark/>
          </w:tcPr>
          <w:p w14:paraId="6DF75E23" w14:textId="77777777" w:rsidR="00801AC7" w:rsidRPr="00252D7B" w:rsidRDefault="00801AC7" w:rsidP="00E03684">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   3.4. Gestão de mercado e inovação</w:t>
            </w:r>
          </w:p>
        </w:tc>
        <w:tc>
          <w:tcPr>
            <w:tcW w:w="1990" w:type="dxa"/>
            <w:shd w:val="clear" w:color="auto" w:fill="auto"/>
            <w:vAlign w:val="center"/>
            <w:hideMark/>
          </w:tcPr>
          <w:p w14:paraId="45E3575B" w14:textId="77777777" w:rsidR="00801AC7" w:rsidRPr="00252D7B" w:rsidRDefault="00801AC7" w:rsidP="00153908">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DINEG</w:t>
            </w:r>
          </w:p>
        </w:tc>
      </w:tr>
      <w:tr w:rsidR="00801AC7" w:rsidRPr="00252D7B" w14:paraId="1E549A2D" w14:textId="77777777" w:rsidTr="00153908">
        <w:trPr>
          <w:jc w:val="center"/>
        </w:trPr>
        <w:tc>
          <w:tcPr>
            <w:tcW w:w="5807" w:type="dxa"/>
            <w:shd w:val="clear" w:color="auto" w:fill="auto"/>
            <w:hideMark/>
          </w:tcPr>
          <w:p w14:paraId="017229EC" w14:textId="4B2E987E" w:rsidR="00801AC7" w:rsidRPr="00252D7B" w:rsidRDefault="00801AC7" w:rsidP="00E03684">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b/>
                <w:bCs/>
                <w:color w:val="000000"/>
                <w:sz w:val="20"/>
                <w:szCs w:val="20"/>
                <w:lang w:eastAsia="pt-BR" w:bidi="ar-SA"/>
              </w:rPr>
              <w:t>4. Resultados da gestão</w:t>
            </w:r>
          </w:p>
        </w:tc>
        <w:tc>
          <w:tcPr>
            <w:tcW w:w="1990" w:type="dxa"/>
            <w:shd w:val="clear" w:color="auto" w:fill="auto"/>
            <w:vAlign w:val="center"/>
            <w:hideMark/>
          </w:tcPr>
          <w:p w14:paraId="13BEEB46" w14:textId="45A491B4" w:rsidR="00801AC7" w:rsidRPr="00252D7B" w:rsidRDefault="00801AC7" w:rsidP="00153908">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w:t>
            </w:r>
          </w:p>
        </w:tc>
      </w:tr>
      <w:tr w:rsidR="00801AC7" w:rsidRPr="00252D7B" w14:paraId="5D88B520" w14:textId="77777777" w:rsidTr="00153908">
        <w:trPr>
          <w:jc w:val="center"/>
        </w:trPr>
        <w:tc>
          <w:tcPr>
            <w:tcW w:w="5807" w:type="dxa"/>
            <w:shd w:val="clear" w:color="auto" w:fill="auto"/>
            <w:hideMark/>
          </w:tcPr>
          <w:p w14:paraId="2EAB62BD" w14:textId="77777777" w:rsidR="00801AC7" w:rsidRPr="00252D7B" w:rsidRDefault="00801AC7" w:rsidP="00E03684">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   4.1. Desempenho estratégico</w:t>
            </w:r>
          </w:p>
        </w:tc>
        <w:tc>
          <w:tcPr>
            <w:tcW w:w="1990" w:type="dxa"/>
            <w:shd w:val="clear" w:color="auto" w:fill="auto"/>
            <w:vAlign w:val="center"/>
            <w:hideMark/>
          </w:tcPr>
          <w:p w14:paraId="7FF7B932" w14:textId="77777777" w:rsidR="00801AC7" w:rsidRPr="00252D7B" w:rsidRDefault="00801AC7" w:rsidP="00153908">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SUINT</w:t>
            </w:r>
          </w:p>
        </w:tc>
      </w:tr>
      <w:tr w:rsidR="00801AC7" w:rsidRPr="00252D7B" w14:paraId="675F2809" w14:textId="77777777" w:rsidTr="00153908">
        <w:trPr>
          <w:jc w:val="center"/>
        </w:trPr>
        <w:tc>
          <w:tcPr>
            <w:tcW w:w="5807" w:type="dxa"/>
            <w:shd w:val="clear" w:color="auto" w:fill="auto"/>
            <w:hideMark/>
          </w:tcPr>
          <w:p w14:paraId="60997BE4" w14:textId="77777777" w:rsidR="00801AC7" w:rsidRPr="00252D7B" w:rsidRDefault="00801AC7" w:rsidP="00E03684">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   4.2. Gestão orçamentária e financeira</w:t>
            </w:r>
          </w:p>
        </w:tc>
        <w:tc>
          <w:tcPr>
            <w:tcW w:w="1990" w:type="dxa"/>
            <w:shd w:val="clear" w:color="auto" w:fill="auto"/>
            <w:vAlign w:val="center"/>
            <w:hideMark/>
          </w:tcPr>
          <w:p w14:paraId="7B32CFE9" w14:textId="77777777" w:rsidR="00801AC7" w:rsidRPr="00252D7B" w:rsidRDefault="00801AC7" w:rsidP="00153908">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DIRAF</w:t>
            </w:r>
          </w:p>
        </w:tc>
      </w:tr>
      <w:tr w:rsidR="00801AC7" w:rsidRPr="00252D7B" w14:paraId="1F065E4F" w14:textId="77777777" w:rsidTr="00153908">
        <w:trPr>
          <w:jc w:val="center"/>
        </w:trPr>
        <w:tc>
          <w:tcPr>
            <w:tcW w:w="5807" w:type="dxa"/>
            <w:shd w:val="clear" w:color="auto" w:fill="auto"/>
            <w:hideMark/>
          </w:tcPr>
          <w:p w14:paraId="488FCDFE" w14:textId="77777777" w:rsidR="00801AC7" w:rsidRPr="00252D7B" w:rsidRDefault="00801AC7" w:rsidP="00E03684">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   4.3. Gestão de custos</w:t>
            </w:r>
          </w:p>
        </w:tc>
        <w:tc>
          <w:tcPr>
            <w:tcW w:w="1990" w:type="dxa"/>
            <w:shd w:val="clear" w:color="auto" w:fill="auto"/>
            <w:vAlign w:val="center"/>
            <w:hideMark/>
          </w:tcPr>
          <w:p w14:paraId="4FDE5241" w14:textId="77777777" w:rsidR="00801AC7" w:rsidRPr="00252D7B" w:rsidRDefault="00801AC7" w:rsidP="00153908">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DIRAF</w:t>
            </w:r>
          </w:p>
        </w:tc>
      </w:tr>
      <w:tr w:rsidR="00801AC7" w:rsidRPr="00252D7B" w14:paraId="25869A5A" w14:textId="77777777" w:rsidTr="00153908">
        <w:trPr>
          <w:jc w:val="center"/>
        </w:trPr>
        <w:tc>
          <w:tcPr>
            <w:tcW w:w="5807" w:type="dxa"/>
            <w:shd w:val="clear" w:color="auto" w:fill="auto"/>
            <w:hideMark/>
          </w:tcPr>
          <w:p w14:paraId="525CB63E" w14:textId="77777777" w:rsidR="00801AC7" w:rsidRPr="00252D7B" w:rsidRDefault="00801AC7" w:rsidP="00E03684">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   4.4. Gestão de pessoas</w:t>
            </w:r>
          </w:p>
        </w:tc>
        <w:tc>
          <w:tcPr>
            <w:tcW w:w="1990" w:type="dxa"/>
            <w:shd w:val="clear" w:color="auto" w:fill="auto"/>
            <w:vAlign w:val="center"/>
            <w:hideMark/>
          </w:tcPr>
          <w:p w14:paraId="49C8558B" w14:textId="77777777" w:rsidR="00801AC7" w:rsidRPr="00252D7B" w:rsidRDefault="00801AC7" w:rsidP="00153908">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DIRAF</w:t>
            </w:r>
          </w:p>
        </w:tc>
      </w:tr>
      <w:tr w:rsidR="00801AC7" w:rsidRPr="00252D7B" w14:paraId="427D4616" w14:textId="77777777" w:rsidTr="00153908">
        <w:trPr>
          <w:jc w:val="center"/>
        </w:trPr>
        <w:tc>
          <w:tcPr>
            <w:tcW w:w="5807" w:type="dxa"/>
            <w:shd w:val="clear" w:color="auto" w:fill="auto"/>
            <w:hideMark/>
          </w:tcPr>
          <w:p w14:paraId="37DC34E7" w14:textId="77777777" w:rsidR="00801AC7" w:rsidRPr="00252D7B" w:rsidRDefault="00801AC7" w:rsidP="00E03684">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   4.5. Gestão de licitações e contratos</w:t>
            </w:r>
          </w:p>
        </w:tc>
        <w:tc>
          <w:tcPr>
            <w:tcW w:w="1990" w:type="dxa"/>
            <w:shd w:val="clear" w:color="auto" w:fill="auto"/>
            <w:vAlign w:val="center"/>
            <w:hideMark/>
          </w:tcPr>
          <w:p w14:paraId="15E66354" w14:textId="77777777" w:rsidR="00801AC7" w:rsidRPr="00252D7B" w:rsidRDefault="00801AC7" w:rsidP="00153908">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DIRAF</w:t>
            </w:r>
          </w:p>
        </w:tc>
      </w:tr>
      <w:tr w:rsidR="00801AC7" w:rsidRPr="00252D7B" w14:paraId="57053E59" w14:textId="77777777" w:rsidTr="00153908">
        <w:trPr>
          <w:jc w:val="center"/>
        </w:trPr>
        <w:tc>
          <w:tcPr>
            <w:tcW w:w="5807" w:type="dxa"/>
            <w:shd w:val="clear" w:color="auto" w:fill="auto"/>
            <w:hideMark/>
          </w:tcPr>
          <w:p w14:paraId="5AF69926" w14:textId="77777777" w:rsidR="00801AC7" w:rsidRPr="00252D7B" w:rsidRDefault="00801AC7" w:rsidP="00E03684">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   4.6. Gestão patrimonial e de infraestrutura</w:t>
            </w:r>
          </w:p>
        </w:tc>
        <w:tc>
          <w:tcPr>
            <w:tcW w:w="1990" w:type="dxa"/>
            <w:shd w:val="clear" w:color="auto" w:fill="auto"/>
            <w:vAlign w:val="center"/>
            <w:hideMark/>
          </w:tcPr>
          <w:p w14:paraId="415E3ADE" w14:textId="77777777" w:rsidR="00801AC7" w:rsidRPr="00252D7B" w:rsidRDefault="00801AC7" w:rsidP="00153908">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DIRAF</w:t>
            </w:r>
          </w:p>
        </w:tc>
      </w:tr>
      <w:tr w:rsidR="00801AC7" w:rsidRPr="00252D7B" w14:paraId="4C55CBB4" w14:textId="77777777" w:rsidTr="00153908">
        <w:trPr>
          <w:jc w:val="center"/>
        </w:trPr>
        <w:tc>
          <w:tcPr>
            <w:tcW w:w="5807" w:type="dxa"/>
            <w:shd w:val="clear" w:color="auto" w:fill="auto"/>
            <w:hideMark/>
          </w:tcPr>
          <w:p w14:paraId="7F35C527" w14:textId="77777777" w:rsidR="00801AC7" w:rsidRPr="00252D7B" w:rsidRDefault="00801AC7" w:rsidP="00E03684">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   4.7. Gestão tecnologia da informação e comunicação</w:t>
            </w:r>
          </w:p>
        </w:tc>
        <w:tc>
          <w:tcPr>
            <w:tcW w:w="1990" w:type="dxa"/>
            <w:shd w:val="clear" w:color="auto" w:fill="auto"/>
            <w:vAlign w:val="center"/>
            <w:hideMark/>
          </w:tcPr>
          <w:p w14:paraId="4CD96DCA" w14:textId="77777777" w:rsidR="00801AC7" w:rsidRPr="00252D7B" w:rsidRDefault="00801AC7" w:rsidP="00153908">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DIRAF</w:t>
            </w:r>
          </w:p>
        </w:tc>
      </w:tr>
      <w:tr w:rsidR="00801AC7" w:rsidRPr="00252D7B" w14:paraId="2842D16F" w14:textId="77777777" w:rsidTr="00153908">
        <w:trPr>
          <w:jc w:val="center"/>
        </w:trPr>
        <w:tc>
          <w:tcPr>
            <w:tcW w:w="5807" w:type="dxa"/>
            <w:shd w:val="clear" w:color="auto" w:fill="auto"/>
            <w:hideMark/>
          </w:tcPr>
          <w:p w14:paraId="127492C2" w14:textId="77777777" w:rsidR="00801AC7" w:rsidRPr="00252D7B" w:rsidRDefault="00801AC7" w:rsidP="00E03684">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   4.8. Sustentabilidade ambiental</w:t>
            </w:r>
          </w:p>
        </w:tc>
        <w:tc>
          <w:tcPr>
            <w:tcW w:w="1990" w:type="dxa"/>
            <w:shd w:val="clear" w:color="auto" w:fill="auto"/>
            <w:vAlign w:val="center"/>
            <w:hideMark/>
          </w:tcPr>
          <w:p w14:paraId="1D2ED234" w14:textId="77777777" w:rsidR="00801AC7" w:rsidRPr="00252D7B" w:rsidRDefault="00801AC7" w:rsidP="00153908">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DIREM</w:t>
            </w:r>
          </w:p>
        </w:tc>
      </w:tr>
      <w:tr w:rsidR="00801AC7" w:rsidRPr="00252D7B" w14:paraId="68907DF8" w14:textId="77777777" w:rsidTr="00153908">
        <w:trPr>
          <w:jc w:val="center"/>
        </w:trPr>
        <w:tc>
          <w:tcPr>
            <w:tcW w:w="5807" w:type="dxa"/>
            <w:shd w:val="clear" w:color="auto" w:fill="auto"/>
            <w:hideMark/>
          </w:tcPr>
          <w:p w14:paraId="2669602C" w14:textId="77777777" w:rsidR="00801AC7" w:rsidRPr="00252D7B" w:rsidRDefault="00801AC7" w:rsidP="00E03684">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   4.9. Gestão da comunicação com a sociedade</w:t>
            </w:r>
          </w:p>
        </w:tc>
        <w:tc>
          <w:tcPr>
            <w:tcW w:w="1990" w:type="dxa"/>
            <w:shd w:val="clear" w:color="auto" w:fill="auto"/>
            <w:vAlign w:val="center"/>
            <w:hideMark/>
          </w:tcPr>
          <w:p w14:paraId="339B5173" w14:textId="77777777" w:rsidR="00801AC7" w:rsidRPr="00252D7B" w:rsidRDefault="00801AC7" w:rsidP="00153908">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OUVIR</w:t>
            </w:r>
          </w:p>
        </w:tc>
      </w:tr>
      <w:tr w:rsidR="00801AC7" w:rsidRPr="00252D7B" w14:paraId="0AC9CC1E" w14:textId="77777777" w:rsidTr="00153908">
        <w:trPr>
          <w:jc w:val="center"/>
        </w:trPr>
        <w:tc>
          <w:tcPr>
            <w:tcW w:w="5807" w:type="dxa"/>
            <w:shd w:val="clear" w:color="auto" w:fill="auto"/>
            <w:hideMark/>
          </w:tcPr>
          <w:p w14:paraId="0A3D8118" w14:textId="071ADBAE" w:rsidR="00801AC7" w:rsidRPr="00252D7B" w:rsidRDefault="00801AC7" w:rsidP="00E03684">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b/>
                <w:bCs/>
                <w:color w:val="000000"/>
                <w:sz w:val="20"/>
                <w:szCs w:val="20"/>
                <w:lang w:eastAsia="pt-BR" w:bidi="ar-SA"/>
              </w:rPr>
              <w:t>5. Informações Orçamentárias, Financeiras e Contábeis</w:t>
            </w:r>
          </w:p>
        </w:tc>
        <w:tc>
          <w:tcPr>
            <w:tcW w:w="1990" w:type="dxa"/>
            <w:shd w:val="clear" w:color="auto" w:fill="auto"/>
            <w:vAlign w:val="center"/>
            <w:hideMark/>
          </w:tcPr>
          <w:p w14:paraId="748E1BB4" w14:textId="77777777" w:rsidR="00801AC7" w:rsidRPr="00252D7B" w:rsidRDefault="00801AC7" w:rsidP="00153908">
            <w:pPr>
              <w:widowControl/>
              <w:autoSpaceDE/>
              <w:autoSpaceDN/>
              <w:spacing w:before="100" w:beforeAutospacing="1" w:after="100" w:afterAutospacing="1"/>
              <w:jc w:val="center"/>
              <w:rPr>
                <w:rFonts w:asciiTheme="minorHAnsi" w:eastAsia="Times New Roman" w:hAnsiTheme="minorHAnsi" w:cstheme="minorHAnsi"/>
                <w:b/>
                <w:bCs/>
                <w:color w:val="000000"/>
                <w:sz w:val="20"/>
                <w:szCs w:val="20"/>
                <w:lang w:eastAsia="pt-BR" w:bidi="ar-SA"/>
              </w:rPr>
            </w:pPr>
            <w:r w:rsidRPr="00252D7B">
              <w:rPr>
                <w:rFonts w:asciiTheme="minorHAnsi" w:eastAsia="Times New Roman" w:hAnsiTheme="minorHAnsi" w:cstheme="minorHAnsi"/>
                <w:b/>
                <w:bCs/>
                <w:color w:val="000000"/>
                <w:sz w:val="20"/>
                <w:szCs w:val="20"/>
                <w:lang w:eastAsia="pt-BR" w:bidi="ar-SA"/>
              </w:rPr>
              <w:t>DIRAF</w:t>
            </w:r>
          </w:p>
        </w:tc>
      </w:tr>
      <w:tr w:rsidR="00801AC7" w:rsidRPr="00252D7B" w14:paraId="1DAC7408" w14:textId="77777777" w:rsidTr="00153908">
        <w:trPr>
          <w:jc w:val="center"/>
        </w:trPr>
        <w:tc>
          <w:tcPr>
            <w:tcW w:w="5807" w:type="dxa"/>
            <w:shd w:val="clear" w:color="auto" w:fill="auto"/>
            <w:hideMark/>
          </w:tcPr>
          <w:p w14:paraId="7AA85AF5" w14:textId="57A95FD5" w:rsidR="00801AC7" w:rsidRPr="00252D7B" w:rsidRDefault="00801AC7" w:rsidP="00E03684">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Anexos</w:t>
            </w:r>
          </w:p>
        </w:tc>
        <w:tc>
          <w:tcPr>
            <w:tcW w:w="1990" w:type="dxa"/>
            <w:shd w:val="clear" w:color="auto" w:fill="auto"/>
            <w:vAlign w:val="center"/>
            <w:hideMark/>
          </w:tcPr>
          <w:p w14:paraId="27B674D2" w14:textId="77777777" w:rsidR="00801AC7" w:rsidRPr="00252D7B" w:rsidRDefault="00801AC7" w:rsidP="00153908">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Todas as áreas</w:t>
            </w:r>
          </w:p>
        </w:tc>
      </w:tr>
    </w:tbl>
    <w:p w14:paraId="14889F27" w14:textId="77777777" w:rsidR="00F8631D" w:rsidRPr="00252D7B" w:rsidRDefault="00F8631D">
      <w:pPr>
        <w:widowControl/>
        <w:autoSpaceDE/>
        <w:autoSpaceDN/>
        <w:spacing w:after="160" w:line="259" w:lineRule="auto"/>
        <w:rPr>
          <w:rFonts w:asciiTheme="minorHAnsi" w:hAnsiTheme="minorHAnsi" w:cstheme="minorHAnsi"/>
        </w:rPr>
      </w:pPr>
    </w:p>
    <w:p w14:paraId="64971BE2" w14:textId="7A010779" w:rsidR="002E1510" w:rsidRPr="00252D7B" w:rsidRDefault="002E1510">
      <w:pPr>
        <w:widowControl/>
        <w:autoSpaceDE/>
        <w:autoSpaceDN/>
        <w:spacing w:after="160" w:line="259" w:lineRule="auto"/>
        <w:rPr>
          <w:rFonts w:asciiTheme="minorHAnsi" w:hAnsiTheme="minorHAnsi" w:cstheme="minorHAnsi"/>
          <w:color w:val="000000"/>
          <w:sz w:val="24"/>
          <w:szCs w:val="24"/>
          <w:lang w:bidi="ar-SA"/>
        </w:rPr>
      </w:pPr>
      <w:r w:rsidRPr="00252D7B">
        <w:rPr>
          <w:rFonts w:asciiTheme="minorHAnsi" w:hAnsiTheme="minorHAnsi" w:cstheme="minorHAnsi"/>
        </w:rPr>
        <w:br w:type="page"/>
      </w:r>
    </w:p>
    <w:p w14:paraId="720A9C60" w14:textId="2BCCA307" w:rsidR="00502D5A" w:rsidRPr="00252D7B" w:rsidRDefault="005C0C13" w:rsidP="000E14BE">
      <w:pPr>
        <w:pStyle w:val="Ttulo1"/>
        <w:ind w:left="0" w:firstLine="0"/>
        <w:rPr>
          <w:rFonts w:asciiTheme="minorHAnsi" w:hAnsiTheme="minorHAnsi" w:cstheme="minorHAnsi"/>
        </w:rPr>
      </w:pPr>
      <w:bookmarkStart w:id="28" w:name="_Toc103680503"/>
      <w:r w:rsidRPr="00252D7B">
        <w:rPr>
          <w:rFonts w:asciiTheme="minorHAnsi" w:hAnsiTheme="minorHAnsi" w:cstheme="minorHAnsi"/>
        </w:rPr>
        <w:lastRenderedPageBreak/>
        <w:t>VISÃO GERAL ORGANIZACIONAL E AMBIENTE EXTERNO</w:t>
      </w:r>
      <w:bookmarkEnd w:id="11"/>
      <w:bookmarkEnd w:id="28"/>
    </w:p>
    <w:p w14:paraId="71F57EB3" w14:textId="538E9738" w:rsidR="00502D5A" w:rsidRPr="00252D7B" w:rsidRDefault="005C0C13" w:rsidP="00F100A9">
      <w:pPr>
        <w:pStyle w:val="Ttulo2"/>
      </w:pPr>
      <w:bookmarkStart w:id="29" w:name="_Toc95830194"/>
      <w:bookmarkStart w:id="30" w:name="_Toc103680504"/>
      <w:bookmarkEnd w:id="12"/>
      <w:bookmarkEnd w:id="13"/>
      <w:bookmarkEnd w:id="14"/>
      <w:bookmarkEnd w:id="15"/>
      <w:bookmarkEnd w:id="16"/>
      <w:bookmarkEnd w:id="17"/>
      <w:r w:rsidRPr="00252D7B">
        <w:t>Competências</w:t>
      </w:r>
      <w:bookmarkEnd w:id="29"/>
      <w:bookmarkEnd w:id="30"/>
    </w:p>
    <w:p w14:paraId="1583E0DD" w14:textId="498F3BC7" w:rsidR="00F8631D" w:rsidRPr="00252D7B" w:rsidRDefault="00F8631D" w:rsidP="00153908">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A Valec Engenharia, Construções e Ferrovias S.A. é uma empresa pública, sob a forma de sociedade por ações, vinculada ao Ministério da Infraestrutura, nos termos previstos na </w:t>
      </w:r>
      <w:hyperlink r:id="rId17" w:tgtFrame="_blank" w:history="1">
        <w:r w:rsidRPr="00252D7B">
          <w:rPr>
            <w:rFonts w:asciiTheme="minorHAnsi" w:hAnsiTheme="minorHAnsi" w:cstheme="minorHAnsi"/>
            <w:sz w:val="24"/>
            <w:szCs w:val="24"/>
          </w:rPr>
          <w:t>Lei n° 11.772, de 17 de setembro de 2008</w:t>
        </w:r>
      </w:hyperlink>
      <w:r w:rsidRPr="00252D7B">
        <w:rPr>
          <w:rFonts w:asciiTheme="minorHAnsi" w:hAnsiTheme="minorHAnsi" w:cstheme="minorHAnsi"/>
          <w:sz w:val="24"/>
          <w:szCs w:val="24"/>
        </w:rPr>
        <w:t>.</w:t>
      </w:r>
    </w:p>
    <w:p w14:paraId="7F563C3F" w14:textId="77777777" w:rsidR="00F8631D" w:rsidRPr="00252D7B" w:rsidRDefault="00F8631D" w:rsidP="00153908">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É organizada sob a forma de sociedade anônima de capital fechado, controlada pela União e vinculada ao Ministério de Infraestrutura. Está sujeita ao regime jurídico das empresas privadas, inclusive quanto aos direitos e obrigações civis, comerciais, trabalhistas e tributárias.</w:t>
      </w:r>
    </w:p>
    <w:p w14:paraId="2A524568" w14:textId="77777777" w:rsidR="00F8631D" w:rsidRPr="00252D7B" w:rsidRDefault="00F8631D" w:rsidP="00153908">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Tem por função social a construção e exploração de infraestrutura ferroviária.</w:t>
      </w:r>
    </w:p>
    <w:p w14:paraId="313D7ED3" w14:textId="4F1B2271" w:rsidR="00F8631D" w:rsidRPr="00252D7B" w:rsidRDefault="00F8631D" w:rsidP="00153908">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De acordo com o art. 9° da Lei em referência, compete à Valec, em conformidade com as diretrizes do Ministério da Infraestrutura:</w:t>
      </w:r>
    </w:p>
    <w:p w14:paraId="1F37288A" w14:textId="77777777" w:rsidR="00F8631D" w:rsidRPr="00252D7B" w:rsidRDefault="00F8631D" w:rsidP="00674AB7">
      <w:pPr>
        <w:pStyle w:val="PargrafodaLista"/>
        <w:numPr>
          <w:ilvl w:val="0"/>
          <w:numId w:val="4"/>
        </w:numPr>
        <w:spacing w:before="145"/>
        <w:ind w:left="993" w:right="-1"/>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Administrar os programas de operação da infraestrutura ferroviária, nas ferrovias a ela outorgadas;</w:t>
      </w:r>
    </w:p>
    <w:p w14:paraId="221AFF57" w14:textId="77777777" w:rsidR="00F8631D" w:rsidRPr="00252D7B" w:rsidRDefault="00F8631D" w:rsidP="00674AB7">
      <w:pPr>
        <w:pStyle w:val="PargrafodaLista"/>
        <w:numPr>
          <w:ilvl w:val="0"/>
          <w:numId w:val="4"/>
        </w:numPr>
        <w:spacing w:before="145"/>
        <w:ind w:left="993" w:right="-1"/>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Coordenar, executar, controlar, revisar, fiscalizar e administrar obras de infraestrutura ferroviária que lhes forem outorgadas; </w:t>
      </w:r>
    </w:p>
    <w:p w14:paraId="00C271D8" w14:textId="77777777" w:rsidR="00F8631D" w:rsidRPr="00252D7B" w:rsidRDefault="00F8631D" w:rsidP="00674AB7">
      <w:pPr>
        <w:pStyle w:val="PargrafodaLista"/>
        <w:numPr>
          <w:ilvl w:val="0"/>
          <w:numId w:val="4"/>
        </w:numPr>
        <w:spacing w:before="145"/>
        <w:ind w:left="993" w:right="-1"/>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Desenvolver estudos e projetos de obras de infraestrutura ferroviária; </w:t>
      </w:r>
    </w:p>
    <w:p w14:paraId="3E9618A7" w14:textId="77777777" w:rsidR="00F8631D" w:rsidRPr="00252D7B" w:rsidRDefault="00F8631D" w:rsidP="00674AB7">
      <w:pPr>
        <w:pStyle w:val="PargrafodaLista"/>
        <w:numPr>
          <w:ilvl w:val="0"/>
          <w:numId w:val="4"/>
        </w:numPr>
        <w:spacing w:before="145"/>
        <w:ind w:left="993" w:right="-1"/>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Construir, operar e explorar estradas de ferro, sistemas acessórios de armazenagem, transferência e manuseio de produtos e bens a serem transportados e, ainda, instalações e sistemas de interligação de estradas de ferro com outras modalidades de transportes; </w:t>
      </w:r>
    </w:p>
    <w:p w14:paraId="1F3C8674" w14:textId="77777777" w:rsidR="00F8631D" w:rsidRPr="00252D7B" w:rsidRDefault="00F8631D" w:rsidP="00674AB7">
      <w:pPr>
        <w:pStyle w:val="PargrafodaLista"/>
        <w:numPr>
          <w:ilvl w:val="0"/>
          <w:numId w:val="4"/>
        </w:numPr>
        <w:spacing w:before="145"/>
        <w:ind w:left="993" w:right="-1"/>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Promover o desenvolvimento dos sistemas de transporte de cargas sobre trilhos, objetivando seu aprimoramento e a absorção de novas tecnologias; </w:t>
      </w:r>
    </w:p>
    <w:p w14:paraId="6FFECF87" w14:textId="77777777" w:rsidR="00F8631D" w:rsidRPr="00252D7B" w:rsidRDefault="00F8631D" w:rsidP="00674AB7">
      <w:pPr>
        <w:pStyle w:val="PargrafodaLista"/>
        <w:numPr>
          <w:ilvl w:val="0"/>
          <w:numId w:val="4"/>
        </w:numPr>
        <w:spacing w:before="145"/>
        <w:ind w:left="993" w:right="-1"/>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Celebrar contratos e convênios com órgãos nacionais da administração direta ou indireta, com empresas privadas e com órgãos internacionais para prestação de serviços técnicos especializados; </w:t>
      </w:r>
    </w:p>
    <w:p w14:paraId="524A7948" w14:textId="77777777" w:rsidR="00F8631D" w:rsidRPr="00252D7B" w:rsidRDefault="00F8631D" w:rsidP="00674AB7">
      <w:pPr>
        <w:pStyle w:val="PargrafodaLista"/>
        <w:numPr>
          <w:ilvl w:val="0"/>
          <w:numId w:val="4"/>
        </w:numPr>
        <w:spacing w:before="145"/>
        <w:ind w:left="993" w:right="-1"/>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Exercer outras atividades inerentes às suas finalidades, conforme previsão em seu Estatuto social; e </w:t>
      </w:r>
    </w:p>
    <w:p w14:paraId="2F3DA6B0" w14:textId="56F8D82C" w:rsidR="00502D5A" w:rsidRPr="00252D7B" w:rsidRDefault="00F8631D" w:rsidP="00674AB7">
      <w:pPr>
        <w:pStyle w:val="PargrafodaLista"/>
        <w:numPr>
          <w:ilvl w:val="0"/>
          <w:numId w:val="4"/>
        </w:numPr>
        <w:spacing w:before="145"/>
        <w:ind w:left="993" w:right="-1"/>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Participar minoritariamente do capital de empresas que tenham por objeto construir e operar a EF 232, de que trata o item 3.2.2 - Relação Descritiva das Ferrovias do Plano Nacional de Viação, do </w:t>
      </w:r>
      <w:hyperlink r:id="rId18" w:anchor="anexo" w:tgtFrame="_blank" w:history="1">
        <w:r w:rsidRPr="00252D7B">
          <w:rPr>
            <w:rStyle w:val="jsgrdq"/>
            <w:rFonts w:asciiTheme="minorHAnsi" w:hAnsiTheme="minorHAnsi" w:cstheme="minorHAnsi"/>
            <w:sz w:val="24"/>
            <w:szCs w:val="24"/>
          </w:rPr>
          <w:t>Anexo da Lei no 5.917, de 10 de setembro de 1973</w:t>
        </w:r>
      </w:hyperlink>
      <w:r w:rsidRPr="00252D7B">
        <w:rPr>
          <w:rStyle w:val="jsgrdq"/>
          <w:rFonts w:asciiTheme="minorHAnsi" w:hAnsiTheme="minorHAnsi" w:cstheme="minorHAnsi"/>
          <w:sz w:val="24"/>
          <w:szCs w:val="24"/>
        </w:rPr>
        <w:t>, com as alterações introduzidas por esta Lei. (</w:t>
      </w:r>
      <w:hyperlink r:id="rId19" w:anchor="art43" w:tgtFrame="_blank" w:history="1">
        <w:r w:rsidRPr="00252D7B">
          <w:rPr>
            <w:rStyle w:val="jsgrdq"/>
            <w:rFonts w:asciiTheme="minorHAnsi" w:hAnsiTheme="minorHAnsi" w:cstheme="minorHAnsi"/>
            <w:sz w:val="24"/>
            <w:szCs w:val="24"/>
          </w:rPr>
          <w:t>Incluído pela Lei nº 12.058, de 2009</w:t>
        </w:r>
      </w:hyperlink>
      <w:r w:rsidRPr="00252D7B">
        <w:rPr>
          <w:rStyle w:val="jsgrdq"/>
          <w:rFonts w:asciiTheme="minorHAnsi" w:hAnsiTheme="minorHAnsi" w:cstheme="minorHAnsi"/>
          <w:sz w:val="24"/>
          <w:szCs w:val="24"/>
        </w:rPr>
        <w:t>).</w:t>
      </w:r>
    </w:p>
    <w:p w14:paraId="545619F8" w14:textId="70EFBC67" w:rsidR="00F8631D" w:rsidRPr="00252D7B" w:rsidRDefault="00F8631D" w:rsidP="00F8631D">
      <w:pPr>
        <w:pStyle w:val="PargrafodaLista"/>
        <w:spacing w:before="145"/>
        <w:ind w:left="1429" w:right="-44"/>
        <w:contextualSpacing w:val="0"/>
        <w:jc w:val="both"/>
        <w:rPr>
          <w:rFonts w:asciiTheme="minorHAnsi" w:hAnsiTheme="minorHAnsi" w:cstheme="minorHAnsi"/>
        </w:rPr>
      </w:pPr>
    </w:p>
    <w:p w14:paraId="54A584F7" w14:textId="77777777" w:rsidR="000E14BE" w:rsidRPr="00252D7B" w:rsidRDefault="000E14BE" w:rsidP="00F8631D">
      <w:pPr>
        <w:pStyle w:val="PargrafodaLista"/>
        <w:spacing w:before="145"/>
        <w:ind w:left="1429" w:right="-44"/>
        <w:contextualSpacing w:val="0"/>
        <w:jc w:val="both"/>
        <w:rPr>
          <w:rFonts w:asciiTheme="minorHAnsi" w:hAnsiTheme="minorHAnsi" w:cstheme="minorHAnsi"/>
        </w:rPr>
      </w:pPr>
    </w:p>
    <w:p w14:paraId="097F4DD0" w14:textId="77777777" w:rsidR="00CD720D" w:rsidRPr="00252D7B" w:rsidRDefault="00CD720D">
      <w:pPr>
        <w:widowControl/>
        <w:autoSpaceDE/>
        <w:autoSpaceDN/>
        <w:spacing w:after="160" w:line="259" w:lineRule="auto"/>
        <w:rPr>
          <w:rFonts w:asciiTheme="minorHAnsi" w:hAnsiTheme="minorHAnsi" w:cstheme="minorHAnsi"/>
          <w:bCs/>
          <w:color w:val="0070C0"/>
          <w:sz w:val="32"/>
          <w:szCs w:val="28"/>
        </w:rPr>
      </w:pPr>
      <w:bookmarkStart w:id="31" w:name="_Toc80785663"/>
      <w:r w:rsidRPr="00252D7B">
        <w:rPr>
          <w:rFonts w:asciiTheme="minorHAnsi" w:hAnsiTheme="minorHAnsi" w:cstheme="minorHAnsi"/>
        </w:rPr>
        <w:br w:type="page"/>
      </w:r>
    </w:p>
    <w:p w14:paraId="168D0777" w14:textId="51035FCE" w:rsidR="00F8631D" w:rsidRPr="00252D7B" w:rsidRDefault="00F8631D" w:rsidP="00212E62">
      <w:pPr>
        <w:pStyle w:val="Ttulo3"/>
        <w:numPr>
          <w:ilvl w:val="2"/>
          <w:numId w:val="5"/>
        </w:numPr>
        <w:tabs>
          <w:tab w:val="num" w:pos="360"/>
        </w:tabs>
        <w:rPr>
          <w:rFonts w:asciiTheme="minorHAnsi" w:hAnsiTheme="minorHAnsi" w:cstheme="minorHAnsi"/>
        </w:rPr>
      </w:pPr>
      <w:bookmarkStart w:id="32" w:name="_Toc103680505"/>
      <w:r w:rsidRPr="00252D7B">
        <w:rPr>
          <w:rFonts w:asciiTheme="minorHAnsi" w:hAnsiTheme="minorHAnsi" w:cstheme="minorHAnsi"/>
        </w:rPr>
        <w:lastRenderedPageBreak/>
        <w:t>Principais normas direcionadores de atuação da Valec</w:t>
      </w:r>
      <w:bookmarkEnd w:id="31"/>
      <w:bookmarkEnd w:id="32"/>
    </w:p>
    <w:p w14:paraId="3B6426AA" w14:textId="77777777" w:rsidR="00F8631D" w:rsidRPr="00252D7B" w:rsidRDefault="00F8631D" w:rsidP="00F10C3B">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Compõem a legislação referente à Valec:</w:t>
      </w:r>
    </w:p>
    <w:p w14:paraId="0C2C17B6" w14:textId="238A04CD" w:rsidR="00F8631D" w:rsidRPr="00252D7B" w:rsidRDefault="008A3D44" w:rsidP="00674AB7">
      <w:pPr>
        <w:pStyle w:val="PargrafodaLista"/>
        <w:numPr>
          <w:ilvl w:val="0"/>
          <w:numId w:val="4"/>
        </w:numPr>
        <w:spacing w:before="145"/>
        <w:ind w:left="993" w:right="-1"/>
        <w:contextualSpacing w:val="0"/>
        <w:jc w:val="both"/>
        <w:rPr>
          <w:rStyle w:val="jsgrdq"/>
          <w:rFonts w:asciiTheme="minorHAnsi" w:hAnsiTheme="minorHAnsi" w:cstheme="minorHAnsi"/>
          <w:sz w:val="24"/>
          <w:szCs w:val="24"/>
        </w:rPr>
      </w:pPr>
      <w:hyperlink r:id="rId20" w:tgtFrame="_blank" w:history="1">
        <w:r w:rsidR="00F8631D" w:rsidRPr="00252D7B">
          <w:rPr>
            <w:rStyle w:val="jsgrdq"/>
            <w:rFonts w:asciiTheme="minorHAnsi" w:hAnsiTheme="minorHAnsi" w:cstheme="minorHAnsi"/>
            <w:b/>
            <w:bCs/>
            <w:sz w:val="24"/>
            <w:szCs w:val="24"/>
          </w:rPr>
          <w:t>Decreto nº 8875, de 11 de outubro de 2016</w:t>
        </w:r>
      </w:hyperlink>
      <w:r w:rsidR="00F8631D" w:rsidRPr="00252D7B">
        <w:rPr>
          <w:rStyle w:val="jsgrdq"/>
          <w:rFonts w:asciiTheme="minorHAnsi" w:hAnsiTheme="minorHAnsi" w:cstheme="minorHAnsi"/>
          <w:b/>
          <w:bCs/>
          <w:sz w:val="24"/>
          <w:szCs w:val="24"/>
        </w:rPr>
        <w:t> </w:t>
      </w:r>
      <w:r w:rsidR="00674AB7" w:rsidRPr="00252D7B">
        <w:rPr>
          <w:rStyle w:val="jsgrdq"/>
          <w:rFonts w:asciiTheme="minorHAnsi" w:hAnsiTheme="minorHAnsi" w:cstheme="minorHAnsi"/>
          <w:b/>
          <w:bCs/>
          <w:sz w:val="24"/>
          <w:szCs w:val="24"/>
        </w:rPr>
        <w:t>–</w:t>
      </w:r>
      <w:r w:rsidR="00F8631D" w:rsidRPr="00252D7B">
        <w:rPr>
          <w:rStyle w:val="jsgrdq"/>
          <w:rFonts w:asciiTheme="minorHAnsi" w:hAnsiTheme="minorHAnsi" w:cstheme="minorHAnsi"/>
          <w:sz w:val="24"/>
          <w:szCs w:val="24"/>
        </w:rPr>
        <w:t xml:space="preserve"> Revoga o Decreto nº 8.129, de 23 de outubro de 2013, que institui a política de livre acesso ao Subsistema Ferroviário Federal e dispõe sobre a atuação da Valec - Engenharia, Construções e Ferrovias S.A. para o desenvolvimento dos sistemas de transportes ferroviário;</w:t>
      </w:r>
    </w:p>
    <w:p w14:paraId="12964D54" w14:textId="00E6E6C5" w:rsidR="00F8631D" w:rsidRPr="00252D7B" w:rsidRDefault="008A3D44" w:rsidP="00674AB7">
      <w:pPr>
        <w:pStyle w:val="PargrafodaLista"/>
        <w:numPr>
          <w:ilvl w:val="0"/>
          <w:numId w:val="4"/>
        </w:numPr>
        <w:spacing w:before="145"/>
        <w:ind w:left="993" w:right="-1"/>
        <w:contextualSpacing w:val="0"/>
        <w:jc w:val="both"/>
        <w:rPr>
          <w:rStyle w:val="jsgrdq"/>
          <w:rFonts w:asciiTheme="minorHAnsi" w:hAnsiTheme="minorHAnsi" w:cstheme="minorHAnsi"/>
          <w:sz w:val="24"/>
          <w:szCs w:val="24"/>
        </w:rPr>
      </w:pPr>
      <w:hyperlink r:id="rId21" w:tgtFrame="_blank" w:history="1">
        <w:r w:rsidR="00F8631D" w:rsidRPr="00252D7B">
          <w:rPr>
            <w:rStyle w:val="jsgrdq"/>
            <w:rFonts w:asciiTheme="minorHAnsi" w:hAnsiTheme="minorHAnsi" w:cstheme="minorHAnsi"/>
            <w:b/>
            <w:bCs/>
            <w:sz w:val="24"/>
            <w:szCs w:val="24"/>
          </w:rPr>
          <w:t>Decreto nº 8134, de 28 de outubro de 2013</w:t>
        </w:r>
      </w:hyperlink>
      <w:r w:rsidR="00F8631D" w:rsidRPr="00252D7B">
        <w:rPr>
          <w:rStyle w:val="jsgrdq"/>
          <w:rFonts w:asciiTheme="minorHAnsi" w:hAnsiTheme="minorHAnsi" w:cstheme="minorHAnsi"/>
          <w:b/>
          <w:bCs/>
          <w:sz w:val="24"/>
          <w:szCs w:val="24"/>
        </w:rPr>
        <w:t> </w:t>
      </w:r>
      <w:r w:rsidR="00674AB7" w:rsidRPr="00252D7B">
        <w:rPr>
          <w:rStyle w:val="jsgrdq"/>
          <w:rFonts w:asciiTheme="minorHAnsi" w:hAnsiTheme="minorHAnsi" w:cstheme="minorHAnsi"/>
          <w:b/>
          <w:bCs/>
          <w:sz w:val="24"/>
          <w:szCs w:val="24"/>
        </w:rPr>
        <w:t>–</w:t>
      </w:r>
      <w:r w:rsidR="00F8631D" w:rsidRPr="00252D7B">
        <w:rPr>
          <w:rStyle w:val="jsgrdq"/>
          <w:rFonts w:asciiTheme="minorHAnsi" w:hAnsiTheme="minorHAnsi" w:cstheme="minorHAnsi"/>
          <w:sz w:val="24"/>
          <w:szCs w:val="24"/>
        </w:rPr>
        <w:t xml:space="preserve"> Estrutura a Valec - Engenharia, Construções e Ferrovias S.A. para a execução das atividades de desenvolvimento dos sistemas de transporte ferroviário e aprova o Estatuto Social da empresa;</w:t>
      </w:r>
    </w:p>
    <w:p w14:paraId="2B214970" w14:textId="352FD32E" w:rsidR="00F8631D" w:rsidRPr="00252D7B" w:rsidRDefault="008A3D44" w:rsidP="00674AB7">
      <w:pPr>
        <w:pStyle w:val="PargrafodaLista"/>
        <w:numPr>
          <w:ilvl w:val="0"/>
          <w:numId w:val="4"/>
        </w:numPr>
        <w:spacing w:before="145"/>
        <w:ind w:left="993" w:right="-1"/>
        <w:contextualSpacing w:val="0"/>
        <w:jc w:val="both"/>
        <w:rPr>
          <w:rStyle w:val="jsgrdq"/>
          <w:rFonts w:asciiTheme="minorHAnsi" w:hAnsiTheme="minorHAnsi" w:cstheme="minorHAnsi"/>
          <w:sz w:val="24"/>
          <w:szCs w:val="24"/>
        </w:rPr>
      </w:pPr>
      <w:hyperlink r:id="rId22" w:tgtFrame="_blank" w:history="1">
        <w:r w:rsidR="00F8631D" w:rsidRPr="00252D7B">
          <w:rPr>
            <w:rStyle w:val="jsgrdq"/>
            <w:rFonts w:asciiTheme="minorHAnsi" w:hAnsiTheme="minorHAnsi" w:cstheme="minorHAnsi"/>
            <w:b/>
            <w:bCs/>
            <w:sz w:val="24"/>
            <w:szCs w:val="24"/>
          </w:rPr>
          <w:t>Decreto nº 8129, de 23 de outubro de 2013</w:t>
        </w:r>
      </w:hyperlink>
      <w:r w:rsidR="00F8631D" w:rsidRPr="00252D7B">
        <w:rPr>
          <w:rStyle w:val="jsgrdq"/>
          <w:rFonts w:asciiTheme="minorHAnsi" w:hAnsiTheme="minorHAnsi" w:cstheme="minorHAnsi"/>
          <w:b/>
          <w:bCs/>
          <w:sz w:val="24"/>
          <w:szCs w:val="24"/>
        </w:rPr>
        <w:t> </w:t>
      </w:r>
      <w:r w:rsidR="00674AB7" w:rsidRPr="00252D7B">
        <w:rPr>
          <w:rStyle w:val="jsgrdq"/>
          <w:rFonts w:asciiTheme="minorHAnsi" w:hAnsiTheme="minorHAnsi" w:cstheme="minorHAnsi"/>
          <w:b/>
          <w:bCs/>
          <w:sz w:val="24"/>
          <w:szCs w:val="24"/>
        </w:rPr>
        <w:t>–</w:t>
      </w:r>
      <w:r w:rsidR="00F8631D" w:rsidRPr="00252D7B">
        <w:rPr>
          <w:rStyle w:val="jsgrdq"/>
          <w:rFonts w:asciiTheme="minorHAnsi" w:hAnsiTheme="minorHAnsi" w:cstheme="minorHAnsi"/>
          <w:sz w:val="24"/>
          <w:szCs w:val="24"/>
        </w:rPr>
        <w:t xml:space="preserve"> Institui a política de livre acesso ao Subsistema Ferroviário Federal; dispõe sobre a atuação da Valec - Engenharia, Construções e Ferrovias S.A., para o desenvolvimento dos sistemas de transporte ferroviário; e dá outras providências;</w:t>
      </w:r>
    </w:p>
    <w:p w14:paraId="370B10D3" w14:textId="06C56DB9" w:rsidR="00F8631D" w:rsidRPr="00252D7B" w:rsidRDefault="008A3D44" w:rsidP="00674AB7">
      <w:pPr>
        <w:pStyle w:val="PargrafodaLista"/>
        <w:numPr>
          <w:ilvl w:val="0"/>
          <w:numId w:val="4"/>
        </w:numPr>
        <w:spacing w:before="145"/>
        <w:ind w:left="993" w:right="-1"/>
        <w:contextualSpacing w:val="0"/>
        <w:jc w:val="both"/>
        <w:rPr>
          <w:rStyle w:val="jsgrdq"/>
          <w:rFonts w:asciiTheme="minorHAnsi" w:hAnsiTheme="minorHAnsi" w:cstheme="minorHAnsi"/>
          <w:sz w:val="24"/>
          <w:szCs w:val="24"/>
        </w:rPr>
      </w:pPr>
      <w:hyperlink r:id="rId23" w:tgtFrame="_blank" w:history="1">
        <w:r w:rsidR="00F8631D" w:rsidRPr="00252D7B">
          <w:rPr>
            <w:rStyle w:val="jsgrdq"/>
            <w:rFonts w:asciiTheme="minorHAnsi" w:hAnsiTheme="minorHAnsi" w:cstheme="minorHAnsi"/>
            <w:b/>
            <w:bCs/>
            <w:sz w:val="24"/>
            <w:szCs w:val="24"/>
          </w:rPr>
          <w:t>Lei nº 11.772, de 17 de setembro de 2008</w:t>
        </w:r>
      </w:hyperlink>
      <w:r w:rsidR="00F8631D" w:rsidRPr="00252D7B">
        <w:rPr>
          <w:rStyle w:val="jsgrdq"/>
          <w:rFonts w:asciiTheme="minorHAnsi" w:hAnsiTheme="minorHAnsi" w:cstheme="minorHAnsi"/>
          <w:b/>
          <w:bCs/>
          <w:sz w:val="24"/>
          <w:szCs w:val="24"/>
        </w:rPr>
        <w:t> </w:t>
      </w:r>
      <w:r w:rsidR="00C72D79" w:rsidRPr="00252D7B">
        <w:rPr>
          <w:rStyle w:val="jsgrdq"/>
          <w:rFonts w:asciiTheme="minorHAnsi" w:hAnsiTheme="minorHAnsi" w:cstheme="minorHAnsi"/>
          <w:b/>
          <w:bCs/>
          <w:sz w:val="24"/>
          <w:szCs w:val="24"/>
        </w:rPr>
        <w:t>–</w:t>
      </w:r>
      <w:r w:rsidR="00F8631D" w:rsidRPr="00252D7B">
        <w:rPr>
          <w:rStyle w:val="jsgrdq"/>
          <w:rFonts w:asciiTheme="minorHAnsi" w:hAnsiTheme="minorHAnsi" w:cstheme="minorHAnsi"/>
          <w:sz w:val="24"/>
          <w:szCs w:val="24"/>
        </w:rPr>
        <w:t xml:space="preserve"> Dispõe sobre a reestruturação da Valec Engenharia, Construções e Ferrovias S.A; e</w:t>
      </w:r>
    </w:p>
    <w:p w14:paraId="3E913EE7" w14:textId="5F0F014C" w:rsidR="00F8631D" w:rsidRPr="00252D7B" w:rsidRDefault="008A3D44" w:rsidP="00674AB7">
      <w:pPr>
        <w:pStyle w:val="PargrafodaLista"/>
        <w:numPr>
          <w:ilvl w:val="0"/>
          <w:numId w:val="4"/>
        </w:numPr>
        <w:spacing w:before="145"/>
        <w:ind w:left="993" w:right="-1"/>
        <w:contextualSpacing w:val="0"/>
        <w:jc w:val="both"/>
        <w:rPr>
          <w:rStyle w:val="jsgrdq"/>
          <w:rFonts w:asciiTheme="minorHAnsi" w:hAnsiTheme="minorHAnsi" w:cstheme="minorHAnsi"/>
          <w:sz w:val="24"/>
          <w:szCs w:val="24"/>
        </w:rPr>
      </w:pPr>
      <w:hyperlink r:id="rId24" w:tgtFrame="_blank" w:history="1">
        <w:r w:rsidR="00F8631D" w:rsidRPr="00252D7B">
          <w:rPr>
            <w:rStyle w:val="jsgrdq"/>
            <w:rFonts w:asciiTheme="minorHAnsi" w:hAnsiTheme="minorHAnsi" w:cstheme="minorHAnsi"/>
            <w:b/>
            <w:bCs/>
            <w:sz w:val="24"/>
            <w:szCs w:val="24"/>
          </w:rPr>
          <w:t>Lei nº 11.297, de 9 de maio de 2006</w:t>
        </w:r>
      </w:hyperlink>
      <w:r w:rsidR="00F8631D" w:rsidRPr="00252D7B">
        <w:rPr>
          <w:rStyle w:val="jsgrdq"/>
          <w:rFonts w:asciiTheme="minorHAnsi" w:hAnsiTheme="minorHAnsi" w:cstheme="minorHAnsi"/>
          <w:b/>
          <w:bCs/>
          <w:sz w:val="24"/>
          <w:szCs w:val="24"/>
        </w:rPr>
        <w:t> </w:t>
      </w:r>
      <w:r w:rsidR="00C72D79" w:rsidRPr="00252D7B">
        <w:rPr>
          <w:rStyle w:val="jsgrdq"/>
          <w:rFonts w:asciiTheme="minorHAnsi" w:hAnsiTheme="minorHAnsi" w:cstheme="minorHAnsi"/>
          <w:b/>
          <w:bCs/>
          <w:sz w:val="24"/>
          <w:szCs w:val="24"/>
        </w:rPr>
        <w:t>–</w:t>
      </w:r>
      <w:r w:rsidR="00F8631D" w:rsidRPr="00252D7B">
        <w:rPr>
          <w:rStyle w:val="jsgrdq"/>
          <w:rFonts w:asciiTheme="minorHAnsi" w:hAnsiTheme="minorHAnsi" w:cstheme="minorHAnsi"/>
          <w:sz w:val="24"/>
          <w:szCs w:val="24"/>
        </w:rPr>
        <w:t xml:space="preserve"> Acrescenta e altera dispositivos na Lei no 5.917, de 10 de setembro de 1973, que aprova o Plano Nacional de Viação; revoga o art. 3o da Medida Provisória no 2.217-3, de 4 de setembro de 2001; e dá outras providências.</w:t>
      </w:r>
    </w:p>
    <w:p w14:paraId="6526EBFF" w14:textId="77777777" w:rsidR="00F8631D" w:rsidRPr="00252D7B" w:rsidRDefault="00F8631D" w:rsidP="00F10C3B">
      <w:pPr>
        <w:pStyle w:val="PargrafodaLista"/>
        <w:ind w:left="1429"/>
        <w:jc w:val="both"/>
        <w:rPr>
          <w:rStyle w:val="jsgrdq"/>
          <w:rFonts w:asciiTheme="minorHAnsi" w:hAnsiTheme="minorHAnsi" w:cstheme="minorHAnsi"/>
          <w:sz w:val="24"/>
          <w:szCs w:val="24"/>
        </w:rPr>
      </w:pPr>
    </w:p>
    <w:p w14:paraId="3279A6FF" w14:textId="77777777" w:rsidR="005054C4" w:rsidRPr="00252D7B" w:rsidRDefault="005054C4" w:rsidP="00F10C3B">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Compõem os principais normativos internos da Valec:</w:t>
      </w:r>
    </w:p>
    <w:p w14:paraId="184AC30F" w14:textId="77777777" w:rsidR="00F10C3B" w:rsidRPr="00252D7B" w:rsidRDefault="005054C4" w:rsidP="00674AB7">
      <w:pPr>
        <w:pStyle w:val="PargrafodaLista"/>
        <w:numPr>
          <w:ilvl w:val="0"/>
          <w:numId w:val="4"/>
        </w:numPr>
        <w:spacing w:before="145"/>
        <w:ind w:left="993" w:right="-1"/>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Estatuto social:</w:t>
      </w:r>
    </w:p>
    <w:p w14:paraId="00085F61" w14:textId="5DB1B3CF" w:rsidR="005054C4" w:rsidRPr="00252D7B" w:rsidRDefault="008A3D44" w:rsidP="00F10C3B">
      <w:pPr>
        <w:spacing w:before="145"/>
        <w:ind w:left="633" w:right="-44" w:firstLine="75"/>
        <w:jc w:val="both"/>
        <w:rPr>
          <w:rStyle w:val="jsgrdq"/>
          <w:rFonts w:asciiTheme="minorHAnsi" w:hAnsiTheme="minorHAnsi" w:cstheme="minorHAnsi"/>
          <w:sz w:val="24"/>
          <w:szCs w:val="24"/>
        </w:rPr>
      </w:pPr>
      <w:hyperlink r:id="rId25" w:history="1">
        <w:r w:rsidR="00137D89" w:rsidRPr="00252D7B">
          <w:rPr>
            <w:rStyle w:val="Hyperlink"/>
            <w:rFonts w:asciiTheme="minorHAnsi" w:hAnsiTheme="minorHAnsi" w:cstheme="minorHAnsi"/>
            <w:sz w:val="24"/>
            <w:szCs w:val="24"/>
          </w:rPr>
          <w:t>https://www.valec.gov.br/documentos/EstatutoSocial</w:t>
        </w:r>
        <w:r w:rsidR="00610C91" w:rsidRPr="00252D7B">
          <w:rPr>
            <w:rStyle w:val="Hyperlink"/>
            <w:rFonts w:asciiTheme="minorHAnsi" w:hAnsiTheme="minorHAnsi" w:cstheme="minorHAnsi"/>
            <w:sz w:val="24"/>
            <w:szCs w:val="24"/>
          </w:rPr>
          <w:t>Valec</w:t>
        </w:r>
        <w:r w:rsidR="00137D89" w:rsidRPr="00252D7B">
          <w:rPr>
            <w:rStyle w:val="Hyperlink"/>
            <w:rFonts w:asciiTheme="minorHAnsi" w:hAnsiTheme="minorHAnsi" w:cstheme="minorHAnsi"/>
            <w:sz w:val="24"/>
            <w:szCs w:val="24"/>
          </w:rPr>
          <w:t>.pdf</w:t>
        </w:r>
      </w:hyperlink>
      <w:r w:rsidR="005054C4" w:rsidRPr="00252D7B">
        <w:rPr>
          <w:rStyle w:val="jsgrdq"/>
          <w:rFonts w:asciiTheme="minorHAnsi" w:hAnsiTheme="minorHAnsi" w:cstheme="minorHAnsi"/>
          <w:sz w:val="24"/>
          <w:szCs w:val="24"/>
        </w:rPr>
        <w:t xml:space="preserve"> </w:t>
      </w:r>
    </w:p>
    <w:p w14:paraId="44CF31CE" w14:textId="77777777" w:rsidR="00F10C3B" w:rsidRPr="00252D7B" w:rsidRDefault="005054C4" w:rsidP="00674AB7">
      <w:pPr>
        <w:pStyle w:val="PargrafodaLista"/>
        <w:numPr>
          <w:ilvl w:val="0"/>
          <w:numId w:val="4"/>
        </w:numPr>
        <w:spacing w:before="145"/>
        <w:ind w:left="993" w:right="-1"/>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Regimento Interno:</w:t>
      </w:r>
    </w:p>
    <w:p w14:paraId="5C3FBE70" w14:textId="054C03A4" w:rsidR="005054C4" w:rsidRPr="00252D7B" w:rsidRDefault="008A3D44" w:rsidP="00F10C3B">
      <w:pPr>
        <w:spacing w:before="145"/>
        <w:ind w:left="633" w:right="-44"/>
        <w:jc w:val="both"/>
        <w:rPr>
          <w:rStyle w:val="jsgrdq"/>
          <w:rFonts w:asciiTheme="minorHAnsi" w:hAnsiTheme="minorHAnsi" w:cstheme="minorHAnsi"/>
          <w:sz w:val="24"/>
          <w:szCs w:val="24"/>
        </w:rPr>
      </w:pPr>
      <w:hyperlink r:id="rId26" w:history="1">
        <w:r w:rsidR="00F10C3B" w:rsidRPr="00252D7B">
          <w:rPr>
            <w:rStyle w:val="Hyperlink"/>
            <w:rFonts w:asciiTheme="minorHAnsi" w:hAnsiTheme="minorHAnsi" w:cstheme="minorHAnsi"/>
            <w:sz w:val="24"/>
            <w:szCs w:val="24"/>
          </w:rPr>
          <w:t>https://www.valec.gov.br/documentos/RegimentoInterno</w:t>
        </w:r>
        <w:r w:rsidR="00610C91" w:rsidRPr="00252D7B">
          <w:rPr>
            <w:rStyle w:val="Hyperlink"/>
            <w:rFonts w:asciiTheme="minorHAnsi" w:hAnsiTheme="minorHAnsi" w:cstheme="minorHAnsi"/>
            <w:sz w:val="24"/>
            <w:szCs w:val="24"/>
          </w:rPr>
          <w:t>Valec</w:t>
        </w:r>
        <w:r w:rsidR="00F10C3B" w:rsidRPr="00252D7B">
          <w:rPr>
            <w:rStyle w:val="Hyperlink"/>
            <w:rFonts w:asciiTheme="minorHAnsi" w:hAnsiTheme="minorHAnsi" w:cstheme="minorHAnsi"/>
            <w:sz w:val="24"/>
            <w:szCs w:val="24"/>
          </w:rPr>
          <w:t>.pdf</w:t>
        </w:r>
      </w:hyperlink>
      <w:r w:rsidR="005054C4" w:rsidRPr="00252D7B">
        <w:rPr>
          <w:rStyle w:val="jsgrdq"/>
          <w:rFonts w:asciiTheme="minorHAnsi" w:hAnsiTheme="minorHAnsi" w:cstheme="minorHAnsi"/>
          <w:sz w:val="24"/>
          <w:szCs w:val="24"/>
        </w:rPr>
        <w:t xml:space="preserve"> </w:t>
      </w:r>
    </w:p>
    <w:p w14:paraId="2806158E" w14:textId="77777777" w:rsidR="00F10C3B" w:rsidRPr="00252D7B" w:rsidRDefault="005054C4" w:rsidP="00674AB7">
      <w:pPr>
        <w:pStyle w:val="PargrafodaLista"/>
        <w:numPr>
          <w:ilvl w:val="0"/>
          <w:numId w:val="4"/>
        </w:numPr>
        <w:spacing w:before="145"/>
        <w:ind w:left="993" w:right="-1"/>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Regimento Interno do Comitê de Auditoria (COAUD):</w:t>
      </w:r>
    </w:p>
    <w:p w14:paraId="1479C35B" w14:textId="50344C38" w:rsidR="005054C4" w:rsidRPr="00252D7B" w:rsidRDefault="008A3D44" w:rsidP="00F10C3B">
      <w:pPr>
        <w:spacing w:before="145"/>
        <w:ind w:left="633" w:right="-44"/>
        <w:jc w:val="both"/>
        <w:rPr>
          <w:rStyle w:val="jsgrdq"/>
          <w:rFonts w:asciiTheme="minorHAnsi" w:hAnsiTheme="minorHAnsi" w:cstheme="minorHAnsi"/>
          <w:sz w:val="24"/>
          <w:szCs w:val="24"/>
        </w:rPr>
      </w:pPr>
      <w:hyperlink r:id="rId27" w:history="1">
        <w:r w:rsidR="00F10C3B" w:rsidRPr="00252D7B">
          <w:rPr>
            <w:rStyle w:val="Hyperlink"/>
            <w:rFonts w:asciiTheme="minorHAnsi" w:hAnsiTheme="minorHAnsi" w:cstheme="minorHAnsi"/>
            <w:sz w:val="24"/>
            <w:szCs w:val="24"/>
          </w:rPr>
          <w:t>https://www.valec.gov.br/documentos/auditoria/comite/Regimento-Interno-do-Comit%C3%AA-de-Auditoria-COAUD.pdf</w:t>
        </w:r>
      </w:hyperlink>
      <w:r w:rsidR="005054C4" w:rsidRPr="00252D7B">
        <w:rPr>
          <w:rStyle w:val="jsgrdq"/>
          <w:rFonts w:asciiTheme="minorHAnsi" w:hAnsiTheme="minorHAnsi" w:cstheme="minorHAnsi"/>
          <w:sz w:val="24"/>
          <w:szCs w:val="24"/>
        </w:rPr>
        <w:t xml:space="preserve"> </w:t>
      </w:r>
    </w:p>
    <w:p w14:paraId="3E870898" w14:textId="77777777" w:rsidR="00F10C3B" w:rsidRPr="00252D7B" w:rsidRDefault="005054C4" w:rsidP="00674AB7">
      <w:pPr>
        <w:pStyle w:val="PargrafodaLista"/>
        <w:numPr>
          <w:ilvl w:val="0"/>
          <w:numId w:val="4"/>
        </w:numPr>
        <w:spacing w:before="145"/>
        <w:ind w:left="993" w:right="-1"/>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Normativos de Auditoria Interna:</w:t>
      </w:r>
    </w:p>
    <w:p w14:paraId="1E48340E" w14:textId="015CEF8B" w:rsidR="005054C4" w:rsidRPr="00252D7B" w:rsidRDefault="008A3D44" w:rsidP="00F10C3B">
      <w:pPr>
        <w:spacing w:before="145"/>
        <w:ind w:left="633" w:right="-44"/>
        <w:jc w:val="both"/>
        <w:rPr>
          <w:rStyle w:val="jsgrdq"/>
          <w:rFonts w:asciiTheme="minorHAnsi" w:hAnsiTheme="minorHAnsi" w:cstheme="minorHAnsi"/>
          <w:sz w:val="24"/>
          <w:szCs w:val="24"/>
        </w:rPr>
      </w:pPr>
      <w:hyperlink r:id="rId28" w:history="1">
        <w:r w:rsidR="005054C4" w:rsidRPr="00252D7B">
          <w:rPr>
            <w:rStyle w:val="Hyperlink"/>
            <w:rFonts w:asciiTheme="minorHAnsi" w:hAnsiTheme="minorHAnsi" w:cstheme="minorHAnsi"/>
            <w:sz w:val="24"/>
            <w:szCs w:val="24"/>
          </w:rPr>
          <w:t>https://www.valec.gov.br/a-valec/auditorias/auditoria-interna</w:t>
        </w:r>
      </w:hyperlink>
      <w:r w:rsidR="005054C4" w:rsidRPr="00252D7B">
        <w:rPr>
          <w:rStyle w:val="jsgrdq"/>
          <w:rFonts w:asciiTheme="minorHAnsi" w:hAnsiTheme="minorHAnsi" w:cstheme="minorHAnsi"/>
          <w:sz w:val="24"/>
          <w:szCs w:val="24"/>
        </w:rPr>
        <w:t xml:space="preserve"> </w:t>
      </w:r>
    </w:p>
    <w:p w14:paraId="312078CB" w14:textId="77777777" w:rsidR="00F10C3B" w:rsidRPr="00252D7B" w:rsidRDefault="005054C4" w:rsidP="00674AB7">
      <w:pPr>
        <w:pStyle w:val="PargrafodaLista"/>
        <w:numPr>
          <w:ilvl w:val="0"/>
          <w:numId w:val="4"/>
        </w:numPr>
        <w:spacing w:before="145"/>
        <w:ind w:left="993" w:right="-1"/>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Políticas:</w:t>
      </w:r>
    </w:p>
    <w:p w14:paraId="5301C730" w14:textId="655E49E3" w:rsidR="005054C4" w:rsidRPr="00252D7B" w:rsidRDefault="008A3D44" w:rsidP="00F10C3B">
      <w:pPr>
        <w:spacing w:before="145"/>
        <w:ind w:left="633" w:right="-44"/>
        <w:jc w:val="both"/>
        <w:rPr>
          <w:rStyle w:val="jsgrdq"/>
          <w:rFonts w:asciiTheme="minorHAnsi" w:hAnsiTheme="minorHAnsi" w:cstheme="minorHAnsi"/>
          <w:sz w:val="24"/>
          <w:szCs w:val="24"/>
        </w:rPr>
      </w:pPr>
      <w:hyperlink r:id="rId29" w:history="1">
        <w:r w:rsidR="005054C4" w:rsidRPr="00252D7B">
          <w:rPr>
            <w:rStyle w:val="Hyperlink"/>
            <w:rFonts w:asciiTheme="minorHAnsi" w:hAnsiTheme="minorHAnsi" w:cstheme="minorHAnsi"/>
            <w:sz w:val="24"/>
            <w:szCs w:val="24"/>
          </w:rPr>
          <w:t>https://www.valec.gov.br/a-valec/governanca/politicas</w:t>
        </w:r>
      </w:hyperlink>
    </w:p>
    <w:p w14:paraId="381B9E19" w14:textId="77777777" w:rsidR="00F8631D" w:rsidRPr="00252D7B" w:rsidRDefault="00F8631D" w:rsidP="00F8631D">
      <w:pPr>
        <w:pStyle w:val="PargrafodaLista"/>
        <w:spacing w:before="145"/>
        <w:ind w:left="1429" w:right="-44"/>
        <w:contextualSpacing w:val="0"/>
        <w:jc w:val="both"/>
        <w:rPr>
          <w:rFonts w:asciiTheme="minorHAnsi" w:hAnsiTheme="minorHAnsi" w:cstheme="minorHAnsi"/>
        </w:rPr>
      </w:pPr>
    </w:p>
    <w:p w14:paraId="47F88F8D" w14:textId="77777777" w:rsidR="00C55A04" w:rsidRPr="00252D7B" w:rsidRDefault="00C55A04" w:rsidP="00F8631D">
      <w:pPr>
        <w:pStyle w:val="PargrafodaLista"/>
        <w:spacing w:before="145"/>
        <w:ind w:left="1429" w:right="-44"/>
        <w:contextualSpacing w:val="0"/>
        <w:jc w:val="both"/>
        <w:rPr>
          <w:rFonts w:asciiTheme="minorHAnsi" w:hAnsiTheme="minorHAnsi" w:cstheme="minorHAnsi"/>
        </w:rPr>
      </w:pPr>
    </w:p>
    <w:p w14:paraId="752B75C8" w14:textId="77777777" w:rsidR="00C55A04" w:rsidRPr="00252D7B" w:rsidRDefault="00C55A04" w:rsidP="00F8631D">
      <w:pPr>
        <w:pStyle w:val="PargrafodaLista"/>
        <w:spacing w:before="145"/>
        <w:ind w:left="1429" w:right="-44"/>
        <w:contextualSpacing w:val="0"/>
        <w:jc w:val="both"/>
        <w:rPr>
          <w:rFonts w:asciiTheme="minorHAnsi" w:hAnsiTheme="minorHAnsi" w:cstheme="minorHAnsi"/>
        </w:rPr>
      </w:pPr>
    </w:p>
    <w:p w14:paraId="271ACEDD" w14:textId="77777777" w:rsidR="0039675C" w:rsidRPr="00252D7B" w:rsidRDefault="0039675C" w:rsidP="00F100A9">
      <w:pPr>
        <w:pStyle w:val="Ttulo2"/>
      </w:pPr>
      <w:bookmarkStart w:id="33" w:name="_Toc95830195"/>
      <w:bookmarkStart w:id="34" w:name="_Toc96705898"/>
      <w:bookmarkStart w:id="35" w:name="_Toc103680506"/>
      <w:r w:rsidRPr="00252D7B">
        <w:rPr>
          <w:noProof/>
        </w:rPr>
        <w:lastRenderedPageBreak/>
        <mc:AlternateContent>
          <mc:Choice Requires="wps">
            <w:drawing>
              <wp:anchor distT="0" distB="0" distL="114300" distR="114300" simplePos="0" relativeHeight="251661824" behindDoc="0" locked="0" layoutInCell="1" allowOverlap="1" wp14:anchorId="606B2C58" wp14:editId="0A911120">
                <wp:simplePos x="0" y="0"/>
                <wp:positionH relativeFrom="column">
                  <wp:posOffset>178435</wp:posOffset>
                </wp:positionH>
                <wp:positionV relativeFrom="paragraph">
                  <wp:posOffset>443865</wp:posOffset>
                </wp:positionV>
                <wp:extent cx="5379720" cy="762000"/>
                <wp:effectExtent l="0" t="0" r="0" b="0"/>
                <wp:wrapTopAndBottom/>
                <wp:docPr id="69" name="Retângulo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9720" cy="762000"/>
                        </a:xfrm>
                        <a:prstGeom prst="rect">
                          <a:avLst/>
                        </a:prstGeom>
                        <a:solidFill>
                          <a:srgbClr val="7CA1CE"/>
                        </a:solidFill>
                        <a:ln w="25400" cap="flat" cmpd="sng" algn="ctr">
                          <a:noFill/>
                          <a:prstDash val="solid"/>
                        </a:ln>
                        <a:effectLst/>
                      </wps:spPr>
                      <wps:txbx>
                        <w:txbxContent>
                          <w:p w14:paraId="0EBC0CC7" w14:textId="77777777" w:rsidR="00CF6464" w:rsidRPr="00AD7AE0" w:rsidRDefault="00CF6464" w:rsidP="0039675C">
                            <w:pPr>
                              <w:jc w:val="center"/>
                              <w:rPr>
                                <w:color w:val="FFFFFF"/>
                              </w:rPr>
                            </w:pPr>
                            <w:r w:rsidRPr="00AD7AE0">
                              <w:rPr>
                                <w:b/>
                                <w:bCs/>
                                <w:color w:val="FFFFFF"/>
                              </w:rPr>
                              <w:t>Missão:</w:t>
                            </w:r>
                            <w:r w:rsidRPr="00AD7AE0">
                              <w:rPr>
                                <w:color w:val="FFFFFF"/>
                              </w:rPr>
                              <w:t xml:space="preserve"> Contribuir para aprimorar a logística no Brasil de forma sustentável, competitiva e integrada, executando seus empreendimentos com efetividade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B2C58" id="Retângulo 69" o:spid="_x0000_s1026" style="position:absolute;left:0;text-align:left;margin-left:14.05pt;margin-top:34.95pt;width:423.6pt;height:60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" fillcolor="#7ca1ce" stroked="f" strokeweight="2pt">
                <v:textbox>
                  <w:txbxContent>
                    <w:p w14:paraId="0EBC0CC7" w14:textId="77777777" w:rsidR="00CF6464" w:rsidRPr="00AD7AE0" w:rsidRDefault="00CF6464" w:rsidP="0039675C">
                      <w:pPr>
                        <w:jc w:val="center"/>
                        <w:rPr>
                          <w:color w:val="FFFFFF"/>
                        </w:rPr>
                      </w:pPr>
                      <w:r w:rsidRPr="00AD7AE0">
                        <w:rPr>
                          <w:b/>
                          <w:bCs/>
                          <w:color w:val="FFFFFF"/>
                        </w:rPr>
                        <w:t>Missão:</w:t>
                      </w:r>
                      <w:r w:rsidRPr="00AD7AE0">
                        <w:rPr>
                          <w:color w:val="FFFFFF"/>
                        </w:rPr>
                        <w:t xml:space="preserve"> Contribuir para aprimorar a logística no Brasil de forma sustentável, competitiva e integrada, executando seus empreendimentos com efetividade</w:t>
                      </w:r>
                    </w:p>
                  </w:txbxContent>
                </v:textbox>
                <w10:wrap type="topAndBottom"/>
              </v:rect>
            </w:pict>
          </mc:Fallback>
        </mc:AlternateContent>
      </w:r>
      <w:r w:rsidRPr="00252D7B">
        <w:t>Missão e visão</w:t>
      </w:r>
      <w:bookmarkEnd w:id="33"/>
      <w:bookmarkEnd w:id="34"/>
      <w:bookmarkEnd w:id="35"/>
    </w:p>
    <w:p w14:paraId="3D3CC07A" w14:textId="6D45719D" w:rsidR="00C202BB" w:rsidRPr="00252D7B" w:rsidRDefault="0039675C" w:rsidP="00FA3D29">
      <w:pPr>
        <w:pStyle w:val="Legenda"/>
        <w:jc w:val="center"/>
        <w:rPr>
          <w:rFonts w:asciiTheme="minorHAnsi" w:hAnsiTheme="minorHAnsi" w:cstheme="minorHAnsi"/>
          <w:sz w:val="20"/>
          <w:szCs w:val="20"/>
        </w:rPr>
      </w:pPr>
      <w:r w:rsidRPr="00FA3D29">
        <w:rPr>
          <w:rFonts w:asciiTheme="minorHAnsi" w:hAnsiTheme="minorHAnsi" w:cstheme="minorHAnsi"/>
          <w:noProof/>
          <w:sz w:val="20"/>
          <w:szCs w:val="20"/>
        </w:rPr>
        <mc:AlternateContent>
          <mc:Choice Requires="wps">
            <w:drawing>
              <wp:anchor distT="0" distB="0" distL="114300" distR="114300" simplePos="0" relativeHeight="251670016" behindDoc="0" locked="0" layoutInCell="1" allowOverlap="1" wp14:anchorId="7A4AB457" wp14:editId="1EF564E5">
                <wp:simplePos x="0" y="0"/>
                <wp:positionH relativeFrom="column">
                  <wp:posOffset>171450</wp:posOffset>
                </wp:positionH>
                <wp:positionV relativeFrom="paragraph">
                  <wp:posOffset>963295</wp:posOffset>
                </wp:positionV>
                <wp:extent cx="5387340" cy="757555"/>
                <wp:effectExtent l="0" t="0" r="3810" b="4445"/>
                <wp:wrapTopAndBottom/>
                <wp:docPr id="70" name="Retângulo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7340" cy="757555"/>
                        </a:xfrm>
                        <a:prstGeom prst="rect">
                          <a:avLst/>
                        </a:prstGeom>
                        <a:solidFill>
                          <a:srgbClr val="7CA1CE"/>
                        </a:solidFill>
                        <a:ln w="25400" cap="flat" cmpd="sng" algn="ctr">
                          <a:noFill/>
                          <a:prstDash val="solid"/>
                        </a:ln>
                        <a:effectLst/>
                      </wps:spPr>
                      <wps:txbx>
                        <w:txbxContent>
                          <w:p w14:paraId="5F42F76C" w14:textId="77777777" w:rsidR="00CF6464" w:rsidRPr="00015EB4" w:rsidRDefault="00CF6464" w:rsidP="0039675C">
                            <w:pPr>
                              <w:jc w:val="center"/>
                              <w:rPr>
                                <w:color w:val="FFFFFF" w:themeColor="background1"/>
                              </w:rPr>
                            </w:pPr>
                            <w:r w:rsidRPr="00015EB4">
                              <w:rPr>
                                <w:b/>
                                <w:bCs/>
                                <w:color w:val="FFFFFF" w:themeColor="background1"/>
                              </w:rPr>
                              <w:t>Visão:</w:t>
                            </w:r>
                            <w:r w:rsidRPr="00015EB4">
                              <w:rPr>
                                <w:color w:val="FFFFFF" w:themeColor="background1"/>
                              </w:rPr>
                              <w:t xml:space="preserve"> Tornar-se uma empresa pública moderna, inovadora, confiável e ser reconhecida pela sociedade e pelos órgãos de controle como instituição que realiza e entrega empreendimentos prioritários de infraestrutura até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AB457" id="Retângulo 70" o:spid="_x0000_s1027" style="position:absolute;left:0;text-align:left;margin-left:13.5pt;margin-top:75.85pt;width:424.2pt;height:59.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" fillcolor="#7ca1ce" stroked="f" strokeweight="2pt">
                <v:textbox>
                  <w:txbxContent>
                    <w:p w14:paraId="5F42F76C" w14:textId="77777777" w:rsidR="00CF6464" w:rsidRPr="00015EB4" w:rsidRDefault="00CF6464" w:rsidP="0039675C">
                      <w:pPr>
                        <w:jc w:val="center"/>
                        <w:rPr>
                          <w:color w:val="FFFFFF" w:themeColor="background1"/>
                        </w:rPr>
                      </w:pPr>
                      <w:r w:rsidRPr="00015EB4">
                        <w:rPr>
                          <w:b/>
                          <w:bCs/>
                          <w:color w:val="FFFFFF" w:themeColor="background1"/>
                        </w:rPr>
                        <w:t>Visão:</w:t>
                      </w:r>
                      <w:r w:rsidRPr="00015EB4">
                        <w:rPr>
                          <w:color w:val="FFFFFF" w:themeColor="background1"/>
                        </w:rPr>
                        <w:t xml:space="preserve"> Tornar-se uma empresa pública moderna, inovadora, confiável e ser reconhecida pela sociedade e pelos órgãos de controle como instituição que realiza e entrega empreendimentos prioritários de infraestrutura até 2024.</w:t>
                      </w:r>
                    </w:p>
                  </w:txbxContent>
                </v:textbox>
                <w10:wrap type="topAndBottom"/>
              </v:rect>
            </w:pict>
          </mc:Fallback>
        </mc:AlternateContent>
      </w:r>
      <w:r w:rsidRPr="00252D7B">
        <w:rPr>
          <w:rFonts w:asciiTheme="minorHAnsi" w:hAnsiTheme="minorHAnsi" w:cstheme="minorHAnsi"/>
          <w:sz w:val="20"/>
          <w:szCs w:val="20"/>
        </w:rPr>
        <w:t xml:space="preserve">Fonte: </w:t>
      </w:r>
      <w:hyperlink r:id="rId30" w:history="1">
        <w:r w:rsidRPr="00252D7B">
          <w:rPr>
            <w:rFonts w:asciiTheme="minorHAnsi" w:hAnsiTheme="minorHAnsi" w:cstheme="minorHAnsi"/>
            <w:sz w:val="20"/>
            <w:szCs w:val="20"/>
          </w:rPr>
          <w:t>https://www.valec.gov.br/a-valec/governanca/assessoria-de-governanca/planejamento-estrategico</w:t>
        </w:r>
      </w:hyperlink>
      <w:r w:rsidR="00C202BB" w:rsidRPr="00252D7B">
        <w:rPr>
          <w:rFonts w:asciiTheme="minorHAnsi" w:hAnsiTheme="minorHAnsi" w:cstheme="minorHAnsi"/>
          <w:sz w:val="20"/>
          <w:szCs w:val="20"/>
        </w:rPr>
        <w:t xml:space="preserve"> </w:t>
      </w:r>
    </w:p>
    <w:p w14:paraId="3C78FB6A" w14:textId="29EBE473" w:rsidR="00154CB4" w:rsidRPr="00252D7B" w:rsidRDefault="00154CB4" w:rsidP="00CF6DA7">
      <w:pPr>
        <w:rPr>
          <w:rFonts w:asciiTheme="minorHAnsi" w:hAnsiTheme="minorHAnsi" w:cstheme="minorHAnsi"/>
          <w:sz w:val="20"/>
          <w:szCs w:val="20"/>
        </w:rPr>
      </w:pPr>
    </w:p>
    <w:p w14:paraId="59A7E81E" w14:textId="77777777" w:rsidR="00154CB4" w:rsidRPr="00252D7B" w:rsidRDefault="00154CB4" w:rsidP="00CF6DA7">
      <w:pPr>
        <w:rPr>
          <w:rFonts w:asciiTheme="minorHAnsi" w:hAnsiTheme="minorHAnsi" w:cstheme="minorHAnsi"/>
          <w:sz w:val="20"/>
          <w:szCs w:val="20"/>
        </w:rPr>
      </w:pPr>
    </w:p>
    <w:p w14:paraId="43E0E50E" w14:textId="77777777" w:rsidR="00C202BB" w:rsidRPr="00252D7B" w:rsidRDefault="00C202BB" w:rsidP="00F100A9">
      <w:pPr>
        <w:pStyle w:val="Ttulo2"/>
      </w:pPr>
      <w:bookmarkStart w:id="36" w:name="_Toc95830196"/>
      <w:bookmarkStart w:id="37" w:name="_Toc96705899"/>
      <w:bookmarkStart w:id="38" w:name="_Toc103680507"/>
      <w:r w:rsidRPr="00252D7B">
        <w:t>Estrutura organizacional</w:t>
      </w:r>
      <w:bookmarkEnd w:id="36"/>
      <w:bookmarkEnd w:id="37"/>
      <w:bookmarkEnd w:id="38"/>
    </w:p>
    <w:p w14:paraId="25C03456" w14:textId="77777777" w:rsidR="00C202BB" w:rsidRPr="00252D7B" w:rsidRDefault="00C202BB" w:rsidP="00C202BB">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A Estrutura organizacional é um instrumento da área da gestão que busca organizar a empresa no que se refere a atividades e recursos necessários, de forma eficiente, para o cumprimento dos objetivos estratégicos. </w:t>
      </w:r>
    </w:p>
    <w:p w14:paraId="59A49072" w14:textId="77777777" w:rsidR="00C202BB" w:rsidRPr="00252D7B" w:rsidRDefault="00C202BB" w:rsidP="00C202BB">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Assim sendo, em 2021, algumas mudanças significativas foram realizadas na estrutura da empresa, destacando-se:</w:t>
      </w:r>
    </w:p>
    <w:p w14:paraId="19465104" w14:textId="40F50404" w:rsidR="00C202BB" w:rsidRPr="00252D7B" w:rsidRDefault="00C202BB" w:rsidP="00A573E7">
      <w:pPr>
        <w:pStyle w:val="PargrafodaLista"/>
        <w:numPr>
          <w:ilvl w:val="0"/>
          <w:numId w:val="4"/>
        </w:numPr>
        <w:spacing w:before="145"/>
        <w:ind w:left="993" w:right="-1"/>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 xml:space="preserve">A Diretoria de Engenharia </w:t>
      </w:r>
      <w:r w:rsidR="00A573E7" w:rsidRPr="00252D7B">
        <w:rPr>
          <w:rStyle w:val="jsgrdq"/>
          <w:rFonts w:asciiTheme="minorHAnsi" w:hAnsiTheme="minorHAnsi" w:cstheme="minorHAnsi"/>
          <w:sz w:val="24"/>
          <w:szCs w:val="24"/>
        </w:rPr>
        <w:t>–</w:t>
      </w:r>
      <w:r w:rsidRPr="00252D7B">
        <w:rPr>
          <w:rStyle w:val="jsgrdq"/>
          <w:rFonts w:asciiTheme="minorHAnsi" w:hAnsiTheme="minorHAnsi" w:cstheme="minorHAnsi"/>
          <w:sz w:val="24"/>
          <w:szCs w:val="24"/>
        </w:rPr>
        <w:t xml:space="preserve"> DIREN transformou-se em Diretoria de Empreendimentos - DIREM, adequando também, suas Superintendências e Gerências à mudança (Resolução </w:t>
      </w:r>
      <w:r w:rsidR="00610C91" w:rsidRPr="00252D7B">
        <w:rPr>
          <w:rStyle w:val="jsgrdq"/>
          <w:rFonts w:asciiTheme="minorHAnsi" w:hAnsiTheme="minorHAnsi" w:cstheme="minorHAnsi"/>
          <w:sz w:val="24"/>
          <w:szCs w:val="24"/>
        </w:rPr>
        <w:t>Valec</w:t>
      </w:r>
      <w:r w:rsidRPr="00252D7B">
        <w:rPr>
          <w:rStyle w:val="jsgrdq"/>
          <w:rFonts w:asciiTheme="minorHAnsi" w:hAnsiTheme="minorHAnsi" w:cstheme="minorHAnsi"/>
          <w:sz w:val="24"/>
          <w:szCs w:val="24"/>
        </w:rPr>
        <w:t xml:space="preserve"> nº 4/2021/CONSAD-</w:t>
      </w:r>
      <w:r w:rsidR="00610C91" w:rsidRPr="00252D7B">
        <w:rPr>
          <w:rStyle w:val="jsgrdq"/>
          <w:rFonts w:asciiTheme="minorHAnsi" w:hAnsiTheme="minorHAnsi" w:cstheme="minorHAnsi"/>
          <w:sz w:val="24"/>
          <w:szCs w:val="24"/>
        </w:rPr>
        <w:t>Valec</w:t>
      </w:r>
      <w:r w:rsidRPr="00252D7B">
        <w:rPr>
          <w:rStyle w:val="jsgrdq"/>
          <w:rFonts w:asciiTheme="minorHAnsi" w:hAnsiTheme="minorHAnsi" w:cstheme="minorHAnsi"/>
          <w:sz w:val="24"/>
          <w:szCs w:val="24"/>
        </w:rPr>
        <w:t>);</w:t>
      </w:r>
    </w:p>
    <w:p w14:paraId="399EB3A3" w14:textId="1D4318EA" w:rsidR="00C202BB" w:rsidRPr="00252D7B" w:rsidRDefault="00C202BB" w:rsidP="00A573E7">
      <w:pPr>
        <w:pStyle w:val="PargrafodaLista"/>
        <w:numPr>
          <w:ilvl w:val="0"/>
          <w:numId w:val="4"/>
        </w:numPr>
        <w:spacing w:before="145"/>
        <w:ind w:left="993" w:right="-1"/>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 xml:space="preserve">Foi instituído o Comitê de Pessoas, Elegibilidade, Sucessão e Remuneração - COELE (Resolução </w:t>
      </w:r>
      <w:r w:rsidR="00610C91" w:rsidRPr="00252D7B">
        <w:rPr>
          <w:rStyle w:val="jsgrdq"/>
          <w:rFonts w:asciiTheme="minorHAnsi" w:hAnsiTheme="minorHAnsi" w:cstheme="minorHAnsi"/>
          <w:sz w:val="24"/>
          <w:szCs w:val="24"/>
        </w:rPr>
        <w:t>Valec</w:t>
      </w:r>
      <w:r w:rsidRPr="00252D7B">
        <w:rPr>
          <w:rStyle w:val="jsgrdq"/>
          <w:rFonts w:asciiTheme="minorHAnsi" w:hAnsiTheme="minorHAnsi" w:cstheme="minorHAnsi"/>
          <w:sz w:val="24"/>
          <w:szCs w:val="24"/>
        </w:rPr>
        <w:t xml:space="preserve"> nº 7/2021/CONSAD-</w:t>
      </w:r>
      <w:r w:rsidR="00610C91" w:rsidRPr="00252D7B">
        <w:rPr>
          <w:rStyle w:val="jsgrdq"/>
          <w:rFonts w:asciiTheme="minorHAnsi" w:hAnsiTheme="minorHAnsi" w:cstheme="minorHAnsi"/>
          <w:sz w:val="24"/>
          <w:szCs w:val="24"/>
        </w:rPr>
        <w:t>Valec</w:t>
      </w:r>
      <w:r w:rsidRPr="00252D7B">
        <w:rPr>
          <w:rStyle w:val="jsgrdq"/>
          <w:rFonts w:asciiTheme="minorHAnsi" w:hAnsiTheme="minorHAnsi" w:cstheme="minorHAnsi"/>
          <w:sz w:val="24"/>
          <w:szCs w:val="24"/>
        </w:rPr>
        <w:t>);</w:t>
      </w:r>
    </w:p>
    <w:p w14:paraId="185E3C00" w14:textId="77777777" w:rsidR="00C202BB" w:rsidRPr="00252D7B" w:rsidRDefault="00C202BB" w:rsidP="00A573E7">
      <w:pPr>
        <w:pStyle w:val="PargrafodaLista"/>
        <w:numPr>
          <w:ilvl w:val="0"/>
          <w:numId w:val="4"/>
        </w:numPr>
        <w:spacing w:before="145"/>
        <w:ind w:left="993" w:right="-1"/>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A Ouvidoria e a Corregedoria passaram a ser vinculadas diretamente ao Conselho de Administração – CONSAD (Art. 88 e Art. 91 do Estatuto Social, respectivamente); e</w:t>
      </w:r>
    </w:p>
    <w:p w14:paraId="72307FEC" w14:textId="01588049" w:rsidR="00C202BB" w:rsidRPr="00252D7B" w:rsidRDefault="00C202BB" w:rsidP="00A573E7">
      <w:pPr>
        <w:pStyle w:val="PargrafodaLista"/>
        <w:numPr>
          <w:ilvl w:val="0"/>
          <w:numId w:val="4"/>
        </w:numPr>
        <w:spacing w:before="145"/>
        <w:ind w:left="993" w:right="-1"/>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A Assessoria de Governança tornou-se Superintendência de Integridade - SUINT, com o ajustamento das suas gerências à nova realidade e houve a inserção do Comitê de Governança, Riscos e Controle – CGRC e do Comitê de Tecnologia da Informação e Comunicação - CTIC (Resolução Normativa nº 19/2021/CONSAD-</w:t>
      </w:r>
      <w:r w:rsidR="00610C91" w:rsidRPr="00252D7B">
        <w:rPr>
          <w:rStyle w:val="jsgrdq"/>
          <w:rFonts w:asciiTheme="minorHAnsi" w:hAnsiTheme="minorHAnsi" w:cstheme="minorHAnsi"/>
          <w:sz w:val="24"/>
          <w:szCs w:val="24"/>
        </w:rPr>
        <w:t>Valec</w:t>
      </w:r>
      <w:r w:rsidRPr="00252D7B">
        <w:rPr>
          <w:rStyle w:val="jsgrdq"/>
          <w:rFonts w:asciiTheme="minorHAnsi" w:hAnsiTheme="minorHAnsi" w:cstheme="minorHAnsi"/>
          <w:sz w:val="24"/>
          <w:szCs w:val="24"/>
        </w:rPr>
        <w:t>).</w:t>
      </w:r>
    </w:p>
    <w:p w14:paraId="22212446" w14:textId="77777777" w:rsidR="00391740" w:rsidRPr="00252D7B" w:rsidRDefault="00C202BB" w:rsidP="00C202BB">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A estrutura organizacional completa pode ser verificada no link:</w:t>
      </w:r>
    </w:p>
    <w:p w14:paraId="49A87C37" w14:textId="1C248BC6" w:rsidR="00C202BB" w:rsidRPr="00252D7B" w:rsidRDefault="008A3D44" w:rsidP="00C202BB">
      <w:pPr>
        <w:spacing w:before="120" w:after="120"/>
        <w:jc w:val="both"/>
        <w:rPr>
          <w:rFonts w:asciiTheme="minorHAnsi" w:hAnsiTheme="minorHAnsi" w:cstheme="minorHAnsi"/>
          <w:sz w:val="24"/>
          <w:szCs w:val="24"/>
        </w:rPr>
      </w:pPr>
      <w:hyperlink r:id="rId31" w:history="1">
        <w:r w:rsidR="00C202BB" w:rsidRPr="00252D7B">
          <w:rPr>
            <w:rStyle w:val="Hyperlink"/>
            <w:rFonts w:asciiTheme="minorHAnsi" w:hAnsiTheme="minorHAnsi" w:cstheme="minorHAnsi"/>
            <w:sz w:val="24"/>
            <w:szCs w:val="24"/>
          </w:rPr>
          <w:t>https://www.valec.gov.br/documentos/Organograma</w:t>
        </w:r>
        <w:r w:rsidR="00610C91" w:rsidRPr="00252D7B">
          <w:rPr>
            <w:rStyle w:val="Hyperlink"/>
            <w:rFonts w:asciiTheme="minorHAnsi" w:hAnsiTheme="minorHAnsi" w:cstheme="minorHAnsi"/>
            <w:sz w:val="24"/>
            <w:szCs w:val="24"/>
          </w:rPr>
          <w:t>Valec</w:t>
        </w:r>
        <w:r w:rsidR="00C202BB" w:rsidRPr="00252D7B">
          <w:rPr>
            <w:rStyle w:val="Hyperlink"/>
            <w:rFonts w:asciiTheme="minorHAnsi" w:hAnsiTheme="minorHAnsi" w:cstheme="minorHAnsi"/>
            <w:sz w:val="24"/>
            <w:szCs w:val="24"/>
          </w:rPr>
          <w:t>.pdf</w:t>
        </w:r>
      </w:hyperlink>
    </w:p>
    <w:p w14:paraId="5FB23101" w14:textId="1A42013D" w:rsidR="00C202BB" w:rsidRPr="00252D7B" w:rsidRDefault="00C202BB" w:rsidP="00C202BB">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A </w:t>
      </w:r>
      <w:r w:rsidRPr="00252D7B">
        <w:rPr>
          <w:rFonts w:asciiTheme="minorHAnsi" w:hAnsiTheme="minorHAnsi" w:cstheme="minorHAnsi"/>
          <w:sz w:val="24"/>
          <w:szCs w:val="24"/>
        </w:rPr>
        <w:fldChar w:fldCharType="begin"/>
      </w:r>
      <w:r w:rsidRPr="00252D7B">
        <w:rPr>
          <w:rFonts w:asciiTheme="minorHAnsi" w:hAnsiTheme="minorHAnsi" w:cstheme="minorHAnsi"/>
          <w:sz w:val="24"/>
          <w:szCs w:val="24"/>
        </w:rPr>
        <w:instrText xml:space="preserve"> REF _Ref96705227  \* MERGEFORMAT </w:instrText>
      </w:r>
      <w:r w:rsidRPr="00252D7B">
        <w:rPr>
          <w:rFonts w:asciiTheme="minorHAnsi" w:hAnsiTheme="minorHAnsi" w:cstheme="minorHAnsi"/>
          <w:sz w:val="24"/>
          <w:szCs w:val="24"/>
        </w:rPr>
        <w:fldChar w:fldCharType="separate"/>
      </w:r>
      <w:r w:rsidR="00C12888" w:rsidRPr="00C12888">
        <w:rPr>
          <w:rFonts w:asciiTheme="minorHAnsi" w:hAnsiTheme="minorHAnsi" w:cstheme="minorHAnsi"/>
          <w:sz w:val="24"/>
          <w:szCs w:val="24"/>
        </w:rPr>
        <w:t>Figura 2</w:t>
      </w:r>
      <w:r w:rsidRPr="00252D7B">
        <w:rPr>
          <w:rFonts w:asciiTheme="minorHAnsi" w:hAnsiTheme="minorHAnsi" w:cstheme="minorHAnsi"/>
          <w:sz w:val="24"/>
          <w:szCs w:val="24"/>
        </w:rPr>
        <w:fldChar w:fldCharType="end"/>
      </w:r>
      <w:r w:rsidRPr="00252D7B">
        <w:rPr>
          <w:rFonts w:asciiTheme="minorHAnsi" w:hAnsiTheme="minorHAnsi" w:cstheme="minorHAnsi"/>
          <w:sz w:val="24"/>
          <w:szCs w:val="24"/>
        </w:rPr>
        <w:t xml:space="preserve"> representa a estrutura organizacional da empresa, de forma simplificada, contemplando as alterações realizadas no decorrer de 2021, excetuando-se as gerências que não estão representadas.</w:t>
      </w:r>
    </w:p>
    <w:p w14:paraId="520EEA33" w14:textId="77777777" w:rsidR="00C202BB" w:rsidRPr="00252D7B" w:rsidRDefault="00C202BB" w:rsidP="00C202BB">
      <w:pPr>
        <w:widowControl/>
        <w:autoSpaceDE/>
        <w:autoSpaceDN/>
        <w:spacing w:after="160" w:line="259" w:lineRule="auto"/>
        <w:rPr>
          <w:rFonts w:asciiTheme="minorHAnsi" w:hAnsiTheme="minorHAnsi" w:cstheme="minorHAnsi"/>
          <w:sz w:val="24"/>
          <w:szCs w:val="24"/>
        </w:rPr>
      </w:pPr>
      <w:r w:rsidRPr="00252D7B">
        <w:rPr>
          <w:rFonts w:asciiTheme="minorHAnsi" w:hAnsiTheme="minorHAnsi" w:cstheme="minorHAnsi"/>
          <w:sz w:val="24"/>
          <w:szCs w:val="24"/>
        </w:rPr>
        <w:br w:type="page"/>
      </w:r>
    </w:p>
    <w:p w14:paraId="213B8384" w14:textId="77777777" w:rsidR="00C202BB" w:rsidRPr="00252D7B" w:rsidRDefault="00C202BB" w:rsidP="00C202BB">
      <w:pPr>
        <w:jc w:val="center"/>
        <w:rPr>
          <w:rFonts w:asciiTheme="minorHAnsi" w:eastAsia="Times New Roman" w:hAnsiTheme="minorHAnsi" w:cstheme="minorHAnsi"/>
          <w:i/>
          <w:iCs/>
          <w:color w:val="1F3864" w:themeColor="accent1" w:themeShade="80"/>
          <w:lang w:eastAsia="pt-BR"/>
        </w:rPr>
        <w:sectPr w:rsidR="00C202BB" w:rsidRPr="00252D7B" w:rsidSect="00E03684">
          <w:pgSz w:w="11906" w:h="16838"/>
          <w:pgMar w:top="1418" w:right="1701" w:bottom="1418" w:left="1701" w:header="709" w:footer="709" w:gutter="0"/>
          <w:cols w:space="708"/>
          <w:docGrid w:linePitch="360"/>
        </w:sectPr>
      </w:pPr>
      <w:bookmarkStart w:id="39" w:name="_Toc96444038"/>
      <w:bookmarkStart w:id="40" w:name="_Hlk96415959"/>
    </w:p>
    <w:p w14:paraId="03312265" w14:textId="65DA5B60" w:rsidR="00C202BB" w:rsidRPr="00252D7B" w:rsidRDefault="00C202BB" w:rsidP="00C202BB">
      <w:pPr>
        <w:pStyle w:val="Legenda"/>
        <w:jc w:val="center"/>
        <w:rPr>
          <w:rFonts w:asciiTheme="minorHAnsi" w:hAnsiTheme="minorHAnsi" w:cstheme="minorHAnsi"/>
          <w:sz w:val="22"/>
          <w:szCs w:val="22"/>
        </w:rPr>
      </w:pPr>
      <w:bookmarkStart w:id="41" w:name="_Ref96705227"/>
      <w:bookmarkStart w:id="42" w:name="_Toc96706066"/>
      <w:bookmarkStart w:id="43" w:name="_Toc103680738"/>
      <w:r w:rsidRPr="00252D7B">
        <w:rPr>
          <w:rFonts w:asciiTheme="minorHAnsi" w:hAnsiTheme="minorHAnsi" w:cstheme="minorHAnsi"/>
          <w:sz w:val="22"/>
          <w:szCs w:val="22"/>
        </w:rPr>
        <w:lastRenderedPageBreak/>
        <w:t xml:space="preserve">Figura </w:t>
      </w:r>
      <w:r w:rsidR="00F46BDB" w:rsidRPr="00252D7B">
        <w:rPr>
          <w:rFonts w:asciiTheme="minorHAnsi" w:hAnsiTheme="minorHAnsi" w:cstheme="minorHAnsi"/>
          <w:sz w:val="22"/>
          <w:szCs w:val="22"/>
        </w:rPr>
        <w:fldChar w:fldCharType="begin"/>
      </w:r>
      <w:r w:rsidR="00F46BDB" w:rsidRPr="00252D7B">
        <w:rPr>
          <w:rFonts w:asciiTheme="minorHAnsi" w:hAnsiTheme="minorHAnsi" w:cstheme="minorHAnsi"/>
          <w:sz w:val="22"/>
          <w:szCs w:val="22"/>
        </w:rPr>
        <w:instrText xml:space="preserve"> SEQ Figura \* ARABIC </w:instrText>
      </w:r>
      <w:r w:rsidR="00F46BDB" w:rsidRPr="00252D7B">
        <w:rPr>
          <w:rFonts w:asciiTheme="minorHAnsi" w:hAnsiTheme="minorHAnsi" w:cstheme="minorHAnsi"/>
          <w:sz w:val="22"/>
          <w:szCs w:val="22"/>
        </w:rPr>
        <w:fldChar w:fldCharType="separate"/>
      </w:r>
      <w:r w:rsidR="00C12888">
        <w:rPr>
          <w:rFonts w:asciiTheme="minorHAnsi" w:hAnsiTheme="minorHAnsi" w:cstheme="minorHAnsi"/>
          <w:noProof/>
          <w:sz w:val="22"/>
          <w:szCs w:val="22"/>
        </w:rPr>
        <w:t>2</w:t>
      </w:r>
      <w:r w:rsidR="00F46BDB" w:rsidRPr="00252D7B">
        <w:rPr>
          <w:rFonts w:asciiTheme="minorHAnsi" w:hAnsiTheme="minorHAnsi" w:cstheme="minorHAnsi"/>
          <w:sz w:val="22"/>
          <w:szCs w:val="22"/>
        </w:rPr>
        <w:fldChar w:fldCharType="end"/>
      </w:r>
      <w:bookmarkEnd w:id="41"/>
      <w:r w:rsidRPr="00252D7B">
        <w:rPr>
          <w:rFonts w:asciiTheme="minorHAnsi" w:hAnsiTheme="minorHAnsi" w:cstheme="minorHAnsi"/>
          <w:sz w:val="22"/>
          <w:szCs w:val="22"/>
        </w:rPr>
        <w:t xml:space="preserve"> – Estrutura Organizacional da Valec</w:t>
      </w:r>
      <w:bookmarkEnd w:id="39"/>
      <w:bookmarkEnd w:id="42"/>
      <w:bookmarkEnd w:id="43"/>
    </w:p>
    <w:p w14:paraId="0F011C17" w14:textId="77777777" w:rsidR="00C202BB" w:rsidRPr="00252D7B" w:rsidRDefault="00C202BB" w:rsidP="00C202BB">
      <w:pPr>
        <w:ind w:left="-567"/>
        <w:jc w:val="center"/>
        <w:rPr>
          <w:rFonts w:asciiTheme="minorHAnsi" w:eastAsia="Times New Roman" w:hAnsiTheme="minorHAnsi" w:cstheme="minorHAnsi"/>
          <w:sz w:val="24"/>
          <w:szCs w:val="24"/>
          <w:lang w:eastAsia="pt-BR"/>
        </w:rPr>
        <w:sectPr w:rsidR="00C202BB" w:rsidRPr="00252D7B" w:rsidSect="00E03684">
          <w:pgSz w:w="16838" w:h="11906" w:orient="landscape"/>
          <w:pgMar w:top="1701" w:right="1418" w:bottom="1701" w:left="1418" w:header="709" w:footer="709" w:gutter="0"/>
          <w:cols w:space="708"/>
          <w:docGrid w:linePitch="360"/>
        </w:sectPr>
      </w:pPr>
      <w:r w:rsidRPr="00252D7B">
        <w:rPr>
          <w:rFonts w:asciiTheme="minorHAnsi" w:hAnsiTheme="minorHAnsi" w:cstheme="minorHAnsi"/>
          <w:noProof/>
        </w:rPr>
        <w:drawing>
          <wp:inline distT="0" distB="0" distL="0" distR="0" wp14:anchorId="03486206" wp14:editId="0AE520DA">
            <wp:extent cx="9744549" cy="4902200"/>
            <wp:effectExtent l="0" t="0" r="9525" b="0"/>
            <wp:docPr id="67" name="Imagem 67" descr="Uma imagem contendo 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m 67" descr="Uma imagem contendo Linha do tempo&#10;&#10;Descrição gerada automaticamen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54613" cy="4907263"/>
                    </a:xfrm>
                    <a:prstGeom prst="rect">
                      <a:avLst/>
                    </a:prstGeom>
                    <a:noFill/>
                    <a:ln>
                      <a:noFill/>
                    </a:ln>
                  </pic:spPr>
                </pic:pic>
              </a:graphicData>
            </a:graphic>
          </wp:inline>
        </w:drawing>
      </w:r>
      <w:r w:rsidRPr="00252D7B">
        <w:rPr>
          <w:rFonts w:asciiTheme="minorHAnsi" w:hAnsiTheme="minorHAnsi" w:cstheme="minorHAnsi"/>
          <w:color w:val="000000"/>
          <w:shd w:val="clear" w:color="auto" w:fill="FFFFFF"/>
        </w:rPr>
        <w:br/>
      </w:r>
    </w:p>
    <w:p w14:paraId="389F55F5" w14:textId="77777777" w:rsidR="00C202BB" w:rsidRPr="00252D7B" w:rsidRDefault="00C202BB" w:rsidP="00F100A9">
      <w:pPr>
        <w:pStyle w:val="Ttulo2"/>
      </w:pPr>
      <w:bookmarkStart w:id="44" w:name="_Toc95830197"/>
      <w:bookmarkStart w:id="45" w:name="_Toc96705900"/>
      <w:bookmarkStart w:id="46" w:name="_Toc103680508"/>
      <w:bookmarkEnd w:id="40"/>
      <w:r w:rsidRPr="00252D7B">
        <w:lastRenderedPageBreak/>
        <w:t>Modelo de negócio</w:t>
      </w:r>
      <w:bookmarkEnd w:id="44"/>
      <w:bookmarkEnd w:id="45"/>
      <w:bookmarkEnd w:id="46"/>
    </w:p>
    <w:p w14:paraId="53B159F1" w14:textId="6D2B7262" w:rsidR="00C202BB" w:rsidRPr="00252D7B" w:rsidRDefault="00C202BB" w:rsidP="00166B07">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O Modelo de Negócio da Valec em 2021 é representado pela </w:t>
      </w:r>
      <w:r w:rsidRPr="00252D7B">
        <w:rPr>
          <w:rFonts w:asciiTheme="minorHAnsi" w:hAnsiTheme="minorHAnsi" w:cstheme="minorHAnsi"/>
          <w:sz w:val="24"/>
          <w:szCs w:val="24"/>
        </w:rPr>
        <w:fldChar w:fldCharType="begin"/>
      </w:r>
      <w:r w:rsidRPr="00252D7B">
        <w:rPr>
          <w:rFonts w:asciiTheme="minorHAnsi" w:hAnsiTheme="minorHAnsi" w:cstheme="minorHAnsi"/>
          <w:sz w:val="24"/>
          <w:szCs w:val="24"/>
        </w:rPr>
        <w:instrText xml:space="preserve"> REF _Ref96705256  \* MERGEFORMAT </w:instrText>
      </w:r>
      <w:r w:rsidRPr="00252D7B">
        <w:rPr>
          <w:rFonts w:asciiTheme="minorHAnsi" w:hAnsiTheme="minorHAnsi" w:cstheme="minorHAnsi"/>
          <w:sz w:val="24"/>
          <w:szCs w:val="24"/>
        </w:rPr>
        <w:fldChar w:fldCharType="separate"/>
      </w:r>
      <w:r w:rsidR="00C12888" w:rsidRPr="00C12888">
        <w:rPr>
          <w:rFonts w:asciiTheme="minorHAnsi" w:hAnsiTheme="minorHAnsi" w:cstheme="minorHAnsi"/>
          <w:sz w:val="24"/>
          <w:szCs w:val="24"/>
        </w:rPr>
        <w:t>Figura 3</w:t>
      </w:r>
      <w:r w:rsidRPr="00252D7B">
        <w:rPr>
          <w:rFonts w:asciiTheme="minorHAnsi" w:hAnsiTheme="minorHAnsi" w:cstheme="minorHAnsi"/>
          <w:sz w:val="24"/>
          <w:szCs w:val="24"/>
        </w:rPr>
        <w:fldChar w:fldCharType="end"/>
      </w:r>
      <w:r w:rsidRPr="00252D7B">
        <w:rPr>
          <w:rFonts w:asciiTheme="minorHAnsi" w:hAnsiTheme="minorHAnsi" w:cstheme="minorHAnsi"/>
          <w:sz w:val="24"/>
          <w:szCs w:val="24"/>
        </w:rPr>
        <w:t>. Nessa representação enfatiza a capacidade de desenvolver produtos relacionados à infraestrutura de transporte ferroviário.</w:t>
      </w:r>
    </w:p>
    <w:p w14:paraId="4B9D7458" w14:textId="0EFDE586" w:rsidR="00C202BB" w:rsidRPr="00252D7B" w:rsidRDefault="00C202BB" w:rsidP="001E77E3">
      <w:pPr>
        <w:pStyle w:val="Legenda"/>
        <w:spacing w:after="0"/>
        <w:jc w:val="center"/>
        <w:rPr>
          <w:rFonts w:asciiTheme="minorHAnsi" w:hAnsiTheme="minorHAnsi" w:cstheme="minorHAnsi"/>
          <w:sz w:val="20"/>
          <w:szCs w:val="20"/>
        </w:rPr>
      </w:pPr>
      <w:bookmarkStart w:id="47" w:name="_Ref96705256"/>
      <w:bookmarkStart w:id="48" w:name="_Toc96706067"/>
      <w:bookmarkStart w:id="49" w:name="_Toc103680739"/>
      <w:r w:rsidRPr="00252D7B">
        <w:rPr>
          <w:rFonts w:asciiTheme="minorHAnsi" w:hAnsiTheme="minorHAnsi" w:cstheme="minorHAnsi"/>
          <w:sz w:val="20"/>
          <w:szCs w:val="20"/>
        </w:rPr>
        <w:t xml:space="preserve">Figura </w:t>
      </w:r>
      <w:r w:rsidR="00F46BDB" w:rsidRPr="00252D7B">
        <w:rPr>
          <w:rFonts w:asciiTheme="minorHAnsi" w:hAnsiTheme="minorHAnsi" w:cstheme="minorHAnsi"/>
          <w:sz w:val="20"/>
          <w:szCs w:val="20"/>
        </w:rPr>
        <w:fldChar w:fldCharType="begin"/>
      </w:r>
      <w:r w:rsidR="00F46BDB" w:rsidRPr="00252D7B">
        <w:rPr>
          <w:rFonts w:asciiTheme="minorHAnsi" w:hAnsiTheme="minorHAnsi" w:cstheme="minorHAnsi"/>
          <w:sz w:val="20"/>
          <w:szCs w:val="20"/>
        </w:rPr>
        <w:instrText xml:space="preserve"> SEQ Figura \* ARABIC </w:instrText>
      </w:r>
      <w:r w:rsidR="00F46BDB"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3</w:t>
      </w:r>
      <w:r w:rsidR="00F46BDB" w:rsidRPr="00252D7B">
        <w:rPr>
          <w:rFonts w:asciiTheme="minorHAnsi" w:hAnsiTheme="minorHAnsi" w:cstheme="minorHAnsi"/>
          <w:sz w:val="20"/>
          <w:szCs w:val="20"/>
        </w:rPr>
        <w:fldChar w:fldCharType="end"/>
      </w:r>
      <w:bookmarkEnd w:id="47"/>
      <w:r w:rsidRPr="00252D7B">
        <w:rPr>
          <w:rFonts w:asciiTheme="minorHAnsi" w:hAnsiTheme="minorHAnsi" w:cstheme="minorHAnsi"/>
          <w:sz w:val="20"/>
          <w:szCs w:val="20"/>
        </w:rPr>
        <w:t xml:space="preserve"> – Modelo de Negócios</w:t>
      </w:r>
      <w:bookmarkEnd w:id="48"/>
      <w:bookmarkEnd w:id="49"/>
    </w:p>
    <w:p w14:paraId="72854422" w14:textId="77777777" w:rsidR="00C202BB" w:rsidRPr="00252D7B" w:rsidRDefault="00C202BB" w:rsidP="000F71B4">
      <w:pPr>
        <w:ind w:left="-142"/>
        <w:jc w:val="center"/>
        <w:rPr>
          <w:rFonts w:asciiTheme="minorHAnsi" w:hAnsiTheme="minorHAnsi" w:cstheme="minorHAnsi"/>
          <w:highlight w:val="lightGray"/>
        </w:rPr>
      </w:pPr>
      <w:r w:rsidRPr="00252D7B">
        <w:rPr>
          <w:rFonts w:asciiTheme="minorHAnsi" w:hAnsiTheme="minorHAnsi" w:cstheme="minorHAnsi"/>
          <w:noProof/>
        </w:rPr>
        <w:drawing>
          <wp:inline distT="0" distB="0" distL="0" distR="0" wp14:anchorId="132A062B" wp14:editId="7864D50D">
            <wp:extent cx="7988300" cy="4891858"/>
            <wp:effectExtent l="0" t="0" r="0" b="4445"/>
            <wp:docPr id="93" name="Imagem 93"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m 93" descr="Diagrama&#10;&#10;Descrição gerada automaticamente"/>
                    <pic:cNvPicPr/>
                  </pic:nvPicPr>
                  <pic:blipFill>
                    <a:blip r:embed="rId33">
                      <a:extLst>
                        <a:ext uri="{28A0092B-C50C-407E-A947-70E740481C1C}">
                          <a14:useLocalDpi xmlns:a14="http://schemas.microsoft.com/office/drawing/2010/main" val="0"/>
                        </a:ext>
                      </a:extLst>
                    </a:blip>
                    <a:stretch>
                      <a:fillRect/>
                    </a:stretch>
                  </pic:blipFill>
                  <pic:spPr>
                    <a:xfrm>
                      <a:off x="0" y="0"/>
                      <a:ext cx="8006996" cy="4903307"/>
                    </a:xfrm>
                    <a:prstGeom prst="rect">
                      <a:avLst/>
                    </a:prstGeom>
                  </pic:spPr>
                </pic:pic>
              </a:graphicData>
            </a:graphic>
          </wp:inline>
        </w:drawing>
      </w:r>
    </w:p>
    <w:p w14:paraId="5B0F9C42" w14:textId="2162AEB2" w:rsidR="00E05851" w:rsidRPr="00252D7B" w:rsidRDefault="00E05851" w:rsidP="00E05851">
      <w:pPr>
        <w:pStyle w:val="Legenda"/>
        <w:jc w:val="center"/>
        <w:rPr>
          <w:rFonts w:asciiTheme="minorHAnsi" w:hAnsiTheme="minorHAnsi" w:cstheme="minorHAnsi"/>
          <w:sz w:val="20"/>
          <w:szCs w:val="20"/>
        </w:rPr>
      </w:pPr>
      <w:r w:rsidRPr="00252D7B">
        <w:rPr>
          <w:rFonts w:asciiTheme="minorHAnsi" w:hAnsiTheme="minorHAnsi" w:cstheme="minorHAnsi"/>
          <w:sz w:val="20"/>
          <w:szCs w:val="20"/>
        </w:rPr>
        <w:t xml:space="preserve">Fonte: sítio eletrônico da Valec </w:t>
      </w:r>
      <w:hyperlink r:id="rId34" w:history="1">
        <w:r w:rsidRPr="00252D7B">
          <w:rPr>
            <w:rFonts w:asciiTheme="minorHAnsi" w:hAnsiTheme="minorHAnsi" w:cstheme="minorHAnsi"/>
            <w:sz w:val="20"/>
            <w:szCs w:val="20"/>
          </w:rPr>
          <w:t>https://www.valec.gov.br/documentos/governanca/Plano_de%20_Negocios_2021_Agosto_2021-v3.3.pdf</w:t>
        </w:r>
      </w:hyperlink>
    </w:p>
    <w:p w14:paraId="5D74CE0D" w14:textId="77777777" w:rsidR="009F64BA" w:rsidRDefault="009F64BA" w:rsidP="00AC300B">
      <w:pPr>
        <w:rPr>
          <w:rFonts w:asciiTheme="minorHAnsi" w:hAnsiTheme="minorHAnsi" w:cstheme="minorHAnsi"/>
        </w:rPr>
        <w:sectPr w:rsidR="009F64BA" w:rsidSect="009F64BA">
          <w:pgSz w:w="16838" w:h="11906" w:orient="landscape" w:code="9"/>
          <w:pgMar w:top="1077" w:right="1440" w:bottom="1077" w:left="1440" w:header="0" w:footer="714" w:gutter="0"/>
          <w:cols w:space="720"/>
          <w:docGrid w:linePitch="299"/>
        </w:sectPr>
      </w:pPr>
    </w:p>
    <w:p w14:paraId="4E88025D" w14:textId="77777777" w:rsidR="00AC300B" w:rsidRPr="00252D7B" w:rsidRDefault="00AC300B" w:rsidP="00AC300B">
      <w:pPr>
        <w:rPr>
          <w:rFonts w:asciiTheme="minorHAnsi" w:hAnsiTheme="minorHAnsi" w:cstheme="minorHAnsi"/>
        </w:rPr>
      </w:pPr>
    </w:p>
    <w:p w14:paraId="6B033524" w14:textId="4BA9235D" w:rsidR="00C202BB" w:rsidRPr="00252D7B" w:rsidRDefault="00C202BB" w:rsidP="00E05851">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A </w:t>
      </w:r>
      <w:r w:rsidRPr="00252D7B">
        <w:rPr>
          <w:rFonts w:asciiTheme="minorHAnsi" w:hAnsiTheme="minorHAnsi" w:cstheme="minorHAnsi"/>
          <w:sz w:val="24"/>
          <w:szCs w:val="24"/>
        </w:rPr>
        <w:fldChar w:fldCharType="begin"/>
      </w:r>
      <w:r w:rsidRPr="00252D7B">
        <w:rPr>
          <w:rFonts w:asciiTheme="minorHAnsi" w:hAnsiTheme="minorHAnsi" w:cstheme="minorHAnsi"/>
          <w:sz w:val="24"/>
          <w:szCs w:val="24"/>
        </w:rPr>
        <w:instrText xml:space="preserve"> REF _Ref96705256  \* MERGEFORMAT </w:instrText>
      </w:r>
      <w:r w:rsidRPr="00252D7B">
        <w:rPr>
          <w:rFonts w:asciiTheme="minorHAnsi" w:hAnsiTheme="minorHAnsi" w:cstheme="minorHAnsi"/>
          <w:sz w:val="24"/>
          <w:szCs w:val="24"/>
        </w:rPr>
        <w:fldChar w:fldCharType="separate"/>
      </w:r>
      <w:r w:rsidR="00C12888" w:rsidRPr="00C12888">
        <w:rPr>
          <w:rFonts w:asciiTheme="minorHAnsi" w:hAnsiTheme="minorHAnsi" w:cstheme="minorHAnsi"/>
          <w:sz w:val="24"/>
          <w:szCs w:val="24"/>
        </w:rPr>
        <w:t>Figura 3</w:t>
      </w:r>
      <w:r w:rsidRPr="00252D7B">
        <w:rPr>
          <w:rFonts w:asciiTheme="minorHAnsi" w:hAnsiTheme="minorHAnsi" w:cstheme="minorHAnsi"/>
          <w:sz w:val="24"/>
          <w:szCs w:val="24"/>
        </w:rPr>
        <w:fldChar w:fldCharType="end"/>
      </w:r>
      <w:r w:rsidRPr="00252D7B">
        <w:rPr>
          <w:rFonts w:asciiTheme="minorHAnsi" w:hAnsiTheme="minorHAnsi" w:cstheme="minorHAnsi"/>
          <w:sz w:val="24"/>
          <w:szCs w:val="24"/>
        </w:rPr>
        <w:t xml:space="preserve"> mostra que basicamente os clientes da Empresa são Ministério da Infraestrutura (MINFRA) e Operadores de Terminais Ferroviários.</w:t>
      </w:r>
    </w:p>
    <w:p w14:paraId="751A9186" w14:textId="77777777" w:rsidR="00C202BB" w:rsidRPr="00252D7B" w:rsidRDefault="00C202BB" w:rsidP="00C202BB">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Para o MINFRA são fornecidos os serviços de elaboração dos respectivos estudos de viabilidade técnica econômica e ambiental e dos projetos básico e executivo de engenharia, quanto a supervisão e gerenciamento das obras propriamente ditas.</w:t>
      </w:r>
    </w:p>
    <w:p w14:paraId="174DADCE" w14:textId="77777777" w:rsidR="00C202BB" w:rsidRPr="00252D7B" w:rsidRDefault="00C202BB" w:rsidP="00C202BB">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Para os Operadores de Terminais Ferroviários, a Valec delega, por meio de contratos administrativos, a exploração de bens imóveis situados nos polos de cargas, mediante a implantação e operação de terminais ferroviários voltados à movimentação de cargas.</w:t>
      </w:r>
    </w:p>
    <w:p w14:paraId="1A116F83" w14:textId="77777777" w:rsidR="00C202BB" w:rsidRPr="00252D7B" w:rsidRDefault="00C202BB" w:rsidP="00C202BB">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Os fornecedores e parceiros são selecionados, em regra, mediante prévio procedimento licitatório, excetuadas as situações previstas em Lei que admitem a contratação direta. </w:t>
      </w:r>
    </w:p>
    <w:p w14:paraId="6A51D0CC" w14:textId="2BF8A5AE" w:rsidR="00AD7937" w:rsidRDefault="00C202BB" w:rsidP="000F71B4">
      <w:pPr>
        <w:spacing w:before="120" w:after="120"/>
        <w:jc w:val="both"/>
        <w:rPr>
          <w:rFonts w:asciiTheme="minorHAnsi" w:hAnsiTheme="minorHAnsi" w:cstheme="minorHAnsi"/>
          <w:sz w:val="24"/>
          <w:szCs w:val="24"/>
        </w:rPr>
        <w:sectPr w:rsidR="00AD7937" w:rsidSect="00AD7937">
          <w:pgSz w:w="11906" w:h="16838" w:code="9"/>
          <w:pgMar w:top="1440" w:right="1077" w:bottom="1440" w:left="1077" w:header="0" w:footer="714" w:gutter="0"/>
          <w:cols w:space="720"/>
          <w:docGrid w:linePitch="299"/>
        </w:sectPr>
      </w:pPr>
      <w:r w:rsidRPr="00252D7B">
        <w:rPr>
          <w:rFonts w:asciiTheme="minorHAnsi" w:hAnsiTheme="minorHAnsi" w:cstheme="minorHAnsi"/>
          <w:sz w:val="24"/>
          <w:szCs w:val="24"/>
        </w:rPr>
        <w:t>Especificamente sobre os parceiros, a Valec adota ainda diretrizes de governança para a escolha de seus parceiros comerciais, incluindo em seus contratos cláusulas referentes ao comportamento ético, antinepotismo e sustentabilidade ambiental</w:t>
      </w:r>
      <w:bookmarkStart w:id="50" w:name="_Toc95830198"/>
      <w:bookmarkStart w:id="51" w:name="_Toc96705901"/>
    </w:p>
    <w:p w14:paraId="5FFC5F84" w14:textId="73D8DC9B" w:rsidR="00C202BB" w:rsidRPr="00252D7B" w:rsidRDefault="00C202BB" w:rsidP="00F100A9">
      <w:pPr>
        <w:pStyle w:val="Ttulo2"/>
      </w:pPr>
      <w:bookmarkStart w:id="52" w:name="_Toc103680509"/>
      <w:r w:rsidRPr="00252D7B">
        <w:lastRenderedPageBreak/>
        <w:t>Cadeia de valor</w:t>
      </w:r>
      <w:bookmarkEnd w:id="50"/>
      <w:bookmarkEnd w:id="51"/>
      <w:bookmarkEnd w:id="52"/>
    </w:p>
    <w:p w14:paraId="6FE937AC" w14:textId="77777777" w:rsidR="00C202BB" w:rsidRPr="00252D7B" w:rsidRDefault="00C202BB" w:rsidP="00166B07">
      <w:pPr>
        <w:spacing w:before="120" w:after="120"/>
        <w:jc w:val="both"/>
        <w:rPr>
          <w:rFonts w:asciiTheme="minorHAnsi" w:hAnsiTheme="minorHAnsi" w:cstheme="minorHAnsi"/>
          <w:color w:val="000000"/>
          <w:sz w:val="24"/>
          <w:szCs w:val="24"/>
        </w:rPr>
      </w:pPr>
      <w:r w:rsidRPr="00252D7B">
        <w:rPr>
          <w:rFonts w:asciiTheme="minorHAnsi" w:hAnsiTheme="minorHAnsi" w:cstheme="minorHAnsi"/>
          <w:sz w:val="24"/>
          <w:szCs w:val="24"/>
        </w:rPr>
        <w:t xml:space="preserve">A cadeia de valor representa o “sistema de valor” da empresa e é composta dos processos de mais alto nível da Valec. Nela são apresentados os principais insumos que são transformados em entregas de valor para a sociedade. Essa transformação ocorre por meio de macroprocessos, que na cadeia de valor da Valec são organizados em 3 tipos: processos estratégicos, processos finalísticos e processos de apoio. Os processos estratégicos são relacionados as questões estratégicas e de governança. Os processos finalísticos são </w:t>
      </w:r>
      <w:r w:rsidRPr="00252D7B">
        <w:rPr>
          <w:rFonts w:asciiTheme="minorHAnsi" w:hAnsiTheme="minorHAnsi" w:cstheme="minorHAnsi"/>
          <w:color w:val="000000"/>
          <w:sz w:val="24"/>
          <w:szCs w:val="24"/>
        </w:rPr>
        <w:t>relacionados ao negócio, aos produtos e aos serviços que a Empresa entrega aos clientes externos</w:t>
      </w:r>
      <w:r w:rsidRPr="00252D7B">
        <w:rPr>
          <w:rFonts w:asciiTheme="minorHAnsi" w:hAnsiTheme="minorHAnsi" w:cstheme="minorHAnsi"/>
          <w:sz w:val="24"/>
          <w:szCs w:val="24"/>
        </w:rPr>
        <w:t>. Os processos de apoio r</w:t>
      </w:r>
      <w:r w:rsidRPr="00252D7B">
        <w:rPr>
          <w:rFonts w:asciiTheme="minorHAnsi" w:hAnsiTheme="minorHAnsi" w:cstheme="minorHAnsi"/>
          <w:color w:val="000000"/>
          <w:sz w:val="24"/>
          <w:szCs w:val="24"/>
        </w:rPr>
        <w:t>elacionados às atividades que suportam a execução dos processos estratégicos e finalísticos.</w:t>
      </w:r>
    </w:p>
    <w:p w14:paraId="6109B0D3" w14:textId="77777777" w:rsidR="00C202BB" w:rsidRPr="00252D7B" w:rsidRDefault="00C202BB" w:rsidP="00166B07">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No nível estratégico temos 2 macroprocessos: </w:t>
      </w:r>
    </w:p>
    <w:p w14:paraId="4BD18BDB" w14:textId="77777777" w:rsidR="00C202BB" w:rsidRPr="00252D7B" w:rsidRDefault="00C202BB" w:rsidP="00E05851">
      <w:pPr>
        <w:pStyle w:val="PargrafodaLista"/>
        <w:numPr>
          <w:ilvl w:val="0"/>
          <w:numId w:val="4"/>
        </w:numPr>
        <w:spacing w:before="145"/>
        <w:ind w:left="993" w:right="-1"/>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01 - Aperfeiçoar e Promover a Gestão e a Governança Corporativa; e</w:t>
      </w:r>
    </w:p>
    <w:p w14:paraId="40EF3E67" w14:textId="77777777" w:rsidR="00C202BB" w:rsidRPr="00252D7B" w:rsidRDefault="00C202BB" w:rsidP="00E05851">
      <w:pPr>
        <w:pStyle w:val="PargrafodaLista"/>
        <w:numPr>
          <w:ilvl w:val="0"/>
          <w:numId w:val="4"/>
        </w:numPr>
        <w:spacing w:before="145"/>
        <w:ind w:left="993" w:right="-1"/>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02 - Gerir Comunicação.</w:t>
      </w:r>
    </w:p>
    <w:p w14:paraId="3539DA33" w14:textId="77777777" w:rsidR="00C202BB" w:rsidRPr="00252D7B" w:rsidRDefault="00C202BB" w:rsidP="00166B07">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No nível finalístico temos 4 macroprocessos: </w:t>
      </w:r>
    </w:p>
    <w:p w14:paraId="077495C5" w14:textId="77777777" w:rsidR="00C202BB" w:rsidRPr="00252D7B" w:rsidRDefault="00C202BB" w:rsidP="00E05851">
      <w:pPr>
        <w:pStyle w:val="PargrafodaLista"/>
        <w:numPr>
          <w:ilvl w:val="0"/>
          <w:numId w:val="4"/>
        </w:numPr>
        <w:spacing w:before="145"/>
        <w:ind w:left="993" w:right="-1"/>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03 - Criar Produtos e Serviços;</w:t>
      </w:r>
    </w:p>
    <w:p w14:paraId="1EA265BC" w14:textId="77777777" w:rsidR="00C202BB" w:rsidRPr="00252D7B" w:rsidRDefault="00C202BB" w:rsidP="00E05851">
      <w:pPr>
        <w:pStyle w:val="PargrafodaLista"/>
        <w:numPr>
          <w:ilvl w:val="0"/>
          <w:numId w:val="4"/>
        </w:numPr>
        <w:spacing w:before="145"/>
        <w:ind w:left="993" w:right="-1"/>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04 - Comercializar Produtos e Serviços;</w:t>
      </w:r>
    </w:p>
    <w:p w14:paraId="5725957E" w14:textId="77777777" w:rsidR="00C202BB" w:rsidRPr="00252D7B" w:rsidRDefault="00C202BB" w:rsidP="00E05851">
      <w:pPr>
        <w:pStyle w:val="PargrafodaLista"/>
        <w:numPr>
          <w:ilvl w:val="0"/>
          <w:numId w:val="4"/>
        </w:numPr>
        <w:spacing w:before="145"/>
        <w:ind w:left="993" w:right="-1"/>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05 - Produzir Produtos e Serviços; e</w:t>
      </w:r>
    </w:p>
    <w:p w14:paraId="57E4E574" w14:textId="77777777" w:rsidR="00C202BB" w:rsidRPr="00252D7B" w:rsidRDefault="00C202BB" w:rsidP="00E05851">
      <w:pPr>
        <w:pStyle w:val="PargrafodaLista"/>
        <w:numPr>
          <w:ilvl w:val="0"/>
          <w:numId w:val="4"/>
        </w:numPr>
        <w:spacing w:before="145"/>
        <w:ind w:left="993" w:right="-1"/>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06 - Gerir Atendimento ao Cliente.</w:t>
      </w:r>
    </w:p>
    <w:p w14:paraId="03437573" w14:textId="77777777" w:rsidR="00C202BB" w:rsidRPr="00252D7B" w:rsidRDefault="00C202BB" w:rsidP="00166B07">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No nível de apoio temos 7 macroprocessos: </w:t>
      </w:r>
    </w:p>
    <w:p w14:paraId="4DFD7C3E" w14:textId="77777777" w:rsidR="00C202BB" w:rsidRPr="00252D7B" w:rsidRDefault="00C202BB" w:rsidP="00E05851">
      <w:pPr>
        <w:pStyle w:val="PargrafodaLista"/>
        <w:numPr>
          <w:ilvl w:val="0"/>
          <w:numId w:val="4"/>
        </w:numPr>
        <w:spacing w:before="145"/>
        <w:ind w:left="993" w:right="-1"/>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07 - Realizar Contratação;</w:t>
      </w:r>
    </w:p>
    <w:p w14:paraId="10942A99" w14:textId="77777777" w:rsidR="00C202BB" w:rsidRPr="00252D7B" w:rsidRDefault="00C202BB" w:rsidP="00E05851">
      <w:pPr>
        <w:pStyle w:val="PargrafodaLista"/>
        <w:numPr>
          <w:ilvl w:val="0"/>
          <w:numId w:val="4"/>
        </w:numPr>
        <w:spacing w:before="145"/>
        <w:ind w:left="993" w:right="-1"/>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08 - Executar Contratos;</w:t>
      </w:r>
    </w:p>
    <w:p w14:paraId="1F32F26C" w14:textId="77777777" w:rsidR="00C202BB" w:rsidRPr="00252D7B" w:rsidRDefault="00C202BB" w:rsidP="00E05851">
      <w:pPr>
        <w:pStyle w:val="PargrafodaLista"/>
        <w:numPr>
          <w:ilvl w:val="0"/>
          <w:numId w:val="4"/>
        </w:numPr>
        <w:spacing w:before="145"/>
        <w:ind w:left="993" w:right="-1"/>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09 - Gerir Pessoas;</w:t>
      </w:r>
    </w:p>
    <w:p w14:paraId="008ACD9D" w14:textId="77777777" w:rsidR="00C202BB" w:rsidRPr="00252D7B" w:rsidRDefault="00C202BB" w:rsidP="00E05851">
      <w:pPr>
        <w:pStyle w:val="PargrafodaLista"/>
        <w:numPr>
          <w:ilvl w:val="0"/>
          <w:numId w:val="4"/>
        </w:numPr>
        <w:spacing w:before="145"/>
        <w:ind w:left="993" w:right="-1"/>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10 - Gerir Recursos Orçamentários e Financeiros;</w:t>
      </w:r>
    </w:p>
    <w:p w14:paraId="67FEB23C" w14:textId="77777777" w:rsidR="00C202BB" w:rsidRPr="00252D7B" w:rsidRDefault="00C202BB" w:rsidP="00E05851">
      <w:pPr>
        <w:pStyle w:val="PargrafodaLista"/>
        <w:numPr>
          <w:ilvl w:val="0"/>
          <w:numId w:val="4"/>
        </w:numPr>
        <w:spacing w:before="145"/>
        <w:ind w:left="993" w:right="-1"/>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11 - Gerir Tecnologia da Informação;</w:t>
      </w:r>
    </w:p>
    <w:p w14:paraId="31089C76" w14:textId="77777777" w:rsidR="00C202BB" w:rsidRPr="00252D7B" w:rsidRDefault="00C202BB" w:rsidP="00E05851">
      <w:pPr>
        <w:pStyle w:val="PargrafodaLista"/>
        <w:numPr>
          <w:ilvl w:val="0"/>
          <w:numId w:val="4"/>
        </w:numPr>
        <w:spacing w:before="145"/>
        <w:ind w:left="993" w:right="-1"/>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12 - Gerir Logística; e</w:t>
      </w:r>
    </w:p>
    <w:p w14:paraId="3267390E" w14:textId="77777777" w:rsidR="00C202BB" w:rsidRPr="00252D7B" w:rsidRDefault="00C202BB" w:rsidP="00E05851">
      <w:pPr>
        <w:pStyle w:val="PargrafodaLista"/>
        <w:numPr>
          <w:ilvl w:val="0"/>
          <w:numId w:val="4"/>
        </w:numPr>
        <w:spacing w:before="145"/>
        <w:ind w:left="993" w:right="-1"/>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13 - Realizar Atuação Jurídica.</w:t>
      </w:r>
    </w:p>
    <w:p w14:paraId="3D048DED" w14:textId="77777777" w:rsidR="00C202BB" w:rsidRPr="00252D7B" w:rsidRDefault="00C202BB" w:rsidP="00C202BB">
      <w:pPr>
        <w:widowControl/>
        <w:autoSpaceDE/>
        <w:autoSpaceDN/>
        <w:spacing w:after="160" w:line="259" w:lineRule="auto"/>
        <w:rPr>
          <w:rStyle w:val="jsgrdq"/>
          <w:rFonts w:asciiTheme="minorHAnsi" w:hAnsiTheme="minorHAnsi" w:cstheme="minorHAnsi"/>
          <w:sz w:val="24"/>
          <w:szCs w:val="24"/>
        </w:rPr>
      </w:pPr>
      <w:r w:rsidRPr="00252D7B">
        <w:rPr>
          <w:rStyle w:val="jsgrdq"/>
          <w:rFonts w:asciiTheme="minorHAnsi" w:hAnsiTheme="minorHAnsi" w:cstheme="minorHAnsi"/>
          <w:sz w:val="24"/>
          <w:szCs w:val="24"/>
        </w:rPr>
        <w:br w:type="page"/>
      </w:r>
    </w:p>
    <w:p w14:paraId="13F0B273" w14:textId="77777777" w:rsidR="009F64BA" w:rsidRDefault="009F64BA" w:rsidP="00B440D6">
      <w:pPr>
        <w:pStyle w:val="Legenda"/>
        <w:jc w:val="center"/>
        <w:rPr>
          <w:rFonts w:asciiTheme="minorHAnsi" w:hAnsiTheme="minorHAnsi" w:cstheme="minorHAnsi"/>
          <w:sz w:val="20"/>
          <w:szCs w:val="20"/>
        </w:rPr>
        <w:sectPr w:rsidR="009F64BA" w:rsidSect="001C35E0">
          <w:pgSz w:w="11906" w:h="16838" w:code="9"/>
          <w:pgMar w:top="1440" w:right="1077" w:bottom="1440" w:left="1077" w:header="0" w:footer="714" w:gutter="0"/>
          <w:cols w:space="720"/>
          <w:docGrid w:linePitch="299"/>
        </w:sectPr>
      </w:pPr>
      <w:bookmarkStart w:id="53" w:name="_Toc96519699"/>
      <w:bookmarkStart w:id="54" w:name="_Toc96706068"/>
    </w:p>
    <w:p w14:paraId="72C58DA5" w14:textId="4178486C" w:rsidR="00C202BB" w:rsidRPr="00252D7B" w:rsidRDefault="00C202BB" w:rsidP="00B440D6">
      <w:pPr>
        <w:pStyle w:val="Legenda"/>
        <w:jc w:val="center"/>
        <w:rPr>
          <w:rFonts w:asciiTheme="minorHAnsi" w:hAnsiTheme="minorHAnsi" w:cstheme="minorHAnsi"/>
          <w:sz w:val="20"/>
          <w:szCs w:val="20"/>
        </w:rPr>
      </w:pPr>
      <w:bookmarkStart w:id="55" w:name="_Toc103680740"/>
      <w:r w:rsidRPr="00252D7B">
        <w:rPr>
          <w:rFonts w:asciiTheme="minorHAnsi" w:hAnsiTheme="minorHAnsi" w:cstheme="minorHAnsi"/>
          <w:sz w:val="20"/>
          <w:szCs w:val="20"/>
        </w:rPr>
        <w:lastRenderedPageBreak/>
        <w:t xml:space="preserve">Figura </w:t>
      </w:r>
      <w:r w:rsidR="00F46BDB" w:rsidRPr="00252D7B">
        <w:rPr>
          <w:rFonts w:asciiTheme="minorHAnsi" w:hAnsiTheme="minorHAnsi" w:cstheme="minorHAnsi"/>
          <w:sz w:val="20"/>
          <w:szCs w:val="20"/>
        </w:rPr>
        <w:fldChar w:fldCharType="begin"/>
      </w:r>
      <w:r w:rsidR="00F46BDB" w:rsidRPr="00252D7B">
        <w:rPr>
          <w:rFonts w:asciiTheme="minorHAnsi" w:hAnsiTheme="minorHAnsi" w:cstheme="minorHAnsi"/>
          <w:sz w:val="20"/>
          <w:szCs w:val="20"/>
        </w:rPr>
        <w:instrText xml:space="preserve"> SEQ Figura \* ARABIC </w:instrText>
      </w:r>
      <w:r w:rsidR="00F46BDB"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4</w:t>
      </w:r>
      <w:r w:rsidR="00F46BDB" w:rsidRPr="00252D7B">
        <w:rPr>
          <w:rFonts w:asciiTheme="minorHAnsi" w:hAnsiTheme="minorHAnsi" w:cstheme="minorHAnsi"/>
          <w:sz w:val="20"/>
          <w:szCs w:val="20"/>
        </w:rPr>
        <w:fldChar w:fldCharType="end"/>
      </w:r>
      <w:r w:rsidRPr="00252D7B">
        <w:rPr>
          <w:rFonts w:asciiTheme="minorHAnsi" w:hAnsiTheme="minorHAnsi" w:cstheme="minorHAnsi"/>
          <w:sz w:val="20"/>
          <w:szCs w:val="20"/>
        </w:rPr>
        <w:t xml:space="preserve"> </w:t>
      </w:r>
      <w:r w:rsidR="000118B9" w:rsidRPr="00252D7B">
        <w:rPr>
          <w:rFonts w:asciiTheme="minorHAnsi" w:hAnsiTheme="minorHAnsi" w:cstheme="minorHAnsi"/>
          <w:sz w:val="20"/>
          <w:szCs w:val="20"/>
        </w:rPr>
        <w:t>–</w:t>
      </w:r>
      <w:r w:rsidRPr="00252D7B">
        <w:rPr>
          <w:rFonts w:asciiTheme="minorHAnsi" w:hAnsiTheme="minorHAnsi" w:cstheme="minorHAnsi"/>
          <w:sz w:val="20"/>
          <w:szCs w:val="20"/>
        </w:rPr>
        <w:t xml:space="preserve"> Cadeia de Valor da Valec</w:t>
      </w:r>
      <w:bookmarkEnd w:id="53"/>
      <w:bookmarkEnd w:id="54"/>
      <w:bookmarkEnd w:id="55"/>
    </w:p>
    <w:p w14:paraId="1FD7D6E6" w14:textId="77777777" w:rsidR="00C202BB" w:rsidRPr="00252D7B" w:rsidRDefault="00C202BB" w:rsidP="009F64BA">
      <w:pPr>
        <w:ind w:left="-567"/>
        <w:jc w:val="center"/>
        <w:rPr>
          <w:rFonts w:asciiTheme="minorHAnsi" w:hAnsiTheme="minorHAnsi" w:cstheme="minorHAnsi"/>
          <w:sz w:val="24"/>
          <w:szCs w:val="24"/>
        </w:rPr>
      </w:pPr>
      <w:r w:rsidRPr="00252D7B">
        <w:rPr>
          <w:rFonts w:asciiTheme="minorHAnsi" w:hAnsiTheme="minorHAnsi" w:cstheme="minorHAnsi"/>
          <w:noProof/>
          <w:sz w:val="24"/>
          <w:szCs w:val="24"/>
        </w:rPr>
        <w:drawing>
          <wp:inline distT="0" distB="0" distL="0" distR="0" wp14:anchorId="5819F74F" wp14:editId="5A77D628">
            <wp:extent cx="9566789" cy="5381625"/>
            <wp:effectExtent l="0" t="0" r="0" b="0"/>
            <wp:docPr id="64" name="Imagem 64"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Texto&#10;&#10;Descrição gerada automaticamente"/>
                    <pic:cNvPicPr/>
                  </pic:nvPicPr>
                  <pic:blipFill>
                    <a:blip r:embed="rId35">
                      <a:extLst>
                        <a:ext uri="{28A0092B-C50C-407E-A947-70E740481C1C}">
                          <a14:useLocalDpi xmlns:a14="http://schemas.microsoft.com/office/drawing/2010/main" val="0"/>
                        </a:ext>
                      </a:extLst>
                    </a:blip>
                    <a:stretch>
                      <a:fillRect/>
                    </a:stretch>
                  </pic:blipFill>
                  <pic:spPr>
                    <a:xfrm>
                      <a:off x="0" y="0"/>
                      <a:ext cx="9619051" cy="5411024"/>
                    </a:xfrm>
                    <a:prstGeom prst="rect">
                      <a:avLst/>
                    </a:prstGeom>
                  </pic:spPr>
                </pic:pic>
              </a:graphicData>
            </a:graphic>
          </wp:inline>
        </w:drawing>
      </w:r>
    </w:p>
    <w:p w14:paraId="08BD18C6" w14:textId="4F2FFC4A" w:rsidR="00B440D6" w:rsidRPr="00252D7B" w:rsidRDefault="00B440D6" w:rsidP="00B440D6">
      <w:pPr>
        <w:pStyle w:val="Legenda"/>
        <w:jc w:val="center"/>
        <w:rPr>
          <w:rFonts w:asciiTheme="minorHAnsi" w:hAnsiTheme="minorHAnsi" w:cstheme="minorHAnsi"/>
          <w:sz w:val="24"/>
          <w:szCs w:val="24"/>
        </w:rPr>
      </w:pPr>
      <w:r w:rsidRPr="00252D7B">
        <w:rPr>
          <w:rFonts w:asciiTheme="minorHAnsi" w:hAnsiTheme="minorHAnsi" w:cstheme="minorHAnsi"/>
          <w:sz w:val="20"/>
          <w:szCs w:val="20"/>
        </w:rPr>
        <w:t>Fonte: sítio eletrônico da Valec (</w:t>
      </w:r>
      <w:hyperlink r:id="rId36" w:history="1">
        <w:r w:rsidRPr="00252D7B">
          <w:rPr>
            <w:rFonts w:asciiTheme="minorHAnsi" w:hAnsiTheme="minorHAnsi" w:cstheme="minorHAnsi"/>
            <w:sz w:val="20"/>
            <w:szCs w:val="20"/>
          </w:rPr>
          <w:t>https://www.valec.gov.br/documentos/governanca/Internet-Cadeia%20de%20Valor%20da%20Valec%20v23.1.png</w:t>
        </w:r>
      </w:hyperlink>
      <w:r w:rsidRPr="00252D7B">
        <w:rPr>
          <w:rFonts w:asciiTheme="minorHAnsi" w:hAnsiTheme="minorHAnsi" w:cstheme="minorHAnsi"/>
          <w:sz w:val="24"/>
          <w:szCs w:val="24"/>
        </w:rPr>
        <w:t xml:space="preserve"> )</w:t>
      </w:r>
    </w:p>
    <w:p w14:paraId="13FA9D27" w14:textId="77777777" w:rsidR="009F64BA" w:rsidRDefault="009F64BA" w:rsidP="00AC300B">
      <w:pPr>
        <w:rPr>
          <w:rFonts w:asciiTheme="minorHAnsi" w:hAnsiTheme="minorHAnsi" w:cstheme="minorHAnsi"/>
        </w:rPr>
        <w:sectPr w:rsidR="009F64BA" w:rsidSect="009F64BA">
          <w:pgSz w:w="16838" w:h="11906" w:orient="landscape" w:code="9"/>
          <w:pgMar w:top="1077" w:right="1440" w:bottom="1077" w:left="1440" w:header="0" w:footer="714" w:gutter="0"/>
          <w:cols w:space="720"/>
          <w:docGrid w:linePitch="299"/>
        </w:sectPr>
      </w:pPr>
    </w:p>
    <w:p w14:paraId="50039AA9" w14:textId="050FEF21" w:rsidR="00C202BB" w:rsidRPr="00252D7B" w:rsidRDefault="00C202BB" w:rsidP="00354292">
      <w:pPr>
        <w:spacing w:before="120"/>
        <w:jc w:val="both"/>
        <w:rPr>
          <w:rFonts w:asciiTheme="minorHAnsi" w:hAnsiTheme="minorHAnsi" w:cstheme="minorHAnsi"/>
          <w:color w:val="000000"/>
          <w:sz w:val="24"/>
          <w:szCs w:val="24"/>
        </w:rPr>
      </w:pPr>
      <w:r w:rsidRPr="00252D7B">
        <w:rPr>
          <w:rFonts w:asciiTheme="minorHAnsi" w:hAnsiTheme="minorHAnsi" w:cstheme="minorHAnsi"/>
          <w:sz w:val="24"/>
          <w:szCs w:val="24"/>
        </w:rPr>
        <w:lastRenderedPageBreak/>
        <w:t xml:space="preserve">A cadeia de valor é detalhada por meio da cadeia de valor de agregado que mostra como os macroprocessos são detalhados em camadas até se obter o desenho dos fluxos de atividades. </w:t>
      </w:r>
      <w:r w:rsidRPr="00252D7B">
        <w:rPr>
          <w:rFonts w:asciiTheme="minorHAnsi" w:hAnsiTheme="minorHAnsi" w:cstheme="minorHAnsi"/>
          <w:color w:val="000000"/>
          <w:sz w:val="24"/>
          <w:szCs w:val="24"/>
        </w:rPr>
        <w:t xml:space="preserve">Na </w:t>
      </w:r>
      <w:r w:rsidR="00AD0DDC" w:rsidRPr="00252D7B">
        <w:rPr>
          <w:rFonts w:asciiTheme="minorHAnsi" w:hAnsiTheme="minorHAnsi" w:cstheme="minorHAnsi"/>
          <w:color w:val="000000"/>
          <w:sz w:val="24"/>
          <w:szCs w:val="24"/>
        </w:rPr>
        <w:fldChar w:fldCharType="begin"/>
      </w:r>
      <w:r w:rsidR="00AD0DDC" w:rsidRPr="00252D7B">
        <w:rPr>
          <w:rFonts w:asciiTheme="minorHAnsi" w:hAnsiTheme="minorHAnsi" w:cstheme="minorHAnsi"/>
          <w:color w:val="000000"/>
          <w:sz w:val="24"/>
          <w:szCs w:val="24"/>
        </w:rPr>
        <w:instrText xml:space="preserve"> REF _Ref97564150 \h  \* MERGEFORMAT </w:instrText>
      </w:r>
      <w:r w:rsidR="00AD0DDC" w:rsidRPr="00252D7B">
        <w:rPr>
          <w:rFonts w:asciiTheme="minorHAnsi" w:hAnsiTheme="minorHAnsi" w:cstheme="minorHAnsi"/>
          <w:color w:val="000000"/>
          <w:sz w:val="24"/>
          <w:szCs w:val="24"/>
        </w:rPr>
      </w:r>
      <w:r w:rsidR="00AD0DDC" w:rsidRPr="00252D7B">
        <w:rPr>
          <w:rFonts w:asciiTheme="minorHAnsi" w:hAnsiTheme="minorHAnsi" w:cstheme="minorHAnsi"/>
          <w:color w:val="000000"/>
          <w:sz w:val="24"/>
          <w:szCs w:val="24"/>
        </w:rPr>
        <w:fldChar w:fldCharType="separate"/>
      </w:r>
      <w:r w:rsidR="00C12888" w:rsidRPr="00C12888">
        <w:rPr>
          <w:rFonts w:asciiTheme="minorHAnsi" w:hAnsiTheme="minorHAnsi" w:cstheme="minorHAnsi"/>
          <w:color w:val="000000"/>
          <w:sz w:val="24"/>
          <w:szCs w:val="24"/>
        </w:rPr>
        <w:t>Quadro 2</w:t>
      </w:r>
      <w:r w:rsidR="00AD0DDC" w:rsidRPr="00252D7B">
        <w:rPr>
          <w:rFonts w:asciiTheme="minorHAnsi" w:hAnsiTheme="minorHAnsi" w:cstheme="minorHAnsi"/>
          <w:color w:val="000000"/>
          <w:sz w:val="24"/>
          <w:szCs w:val="24"/>
        </w:rPr>
        <w:fldChar w:fldCharType="end"/>
      </w:r>
      <w:r w:rsidRPr="00252D7B">
        <w:rPr>
          <w:rFonts w:asciiTheme="minorHAnsi" w:hAnsiTheme="minorHAnsi" w:cstheme="minorHAnsi"/>
          <w:color w:val="000000"/>
          <w:sz w:val="24"/>
          <w:szCs w:val="24"/>
        </w:rPr>
        <w:t xml:space="preserve"> podemos ver os macroprocessos de 1º nível, os (macro)processos de 2º nível e os produtos por eles produzidos.</w:t>
      </w:r>
    </w:p>
    <w:p w14:paraId="35512933" w14:textId="77777777" w:rsidR="00C202BB" w:rsidRPr="00252D7B" w:rsidRDefault="00C202BB" w:rsidP="00354292">
      <w:pPr>
        <w:jc w:val="both"/>
        <w:rPr>
          <w:rFonts w:asciiTheme="minorHAnsi" w:hAnsiTheme="minorHAnsi" w:cstheme="minorHAnsi"/>
          <w:color w:val="000000"/>
          <w:sz w:val="24"/>
          <w:szCs w:val="24"/>
        </w:rPr>
      </w:pPr>
    </w:p>
    <w:p w14:paraId="05A66CBC" w14:textId="4FBEA802" w:rsidR="00C202BB" w:rsidRPr="00252D7B" w:rsidRDefault="00AD0DDC" w:rsidP="00C202BB">
      <w:pPr>
        <w:pStyle w:val="Legenda"/>
        <w:jc w:val="center"/>
        <w:rPr>
          <w:rFonts w:asciiTheme="minorHAnsi" w:hAnsiTheme="minorHAnsi" w:cstheme="minorHAnsi"/>
          <w:sz w:val="20"/>
          <w:szCs w:val="20"/>
        </w:rPr>
      </w:pPr>
      <w:bookmarkStart w:id="56" w:name="_Ref97564150"/>
      <w:bookmarkStart w:id="57" w:name="_Toc96519697"/>
      <w:bookmarkStart w:id="58" w:name="_Toc96706008"/>
      <w:bookmarkStart w:id="59" w:name="_Toc103680721"/>
      <w:r w:rsidRPr="00252D7B">
        <w:rPr>
          <w:rFonts w:asciiTheme="minorHAnsi" w:hAnsiTheme="minorHAnsi" w:cstheme="minorHAnsi"/>
          <w:sz w:val="20"/>
          <w:szCs w:val="20"/>
        </w:rPr>
        <w:t xml:space="preserve">Quadro </w:t>
      </w:r>
      <w:r w:rsidRPr="00252D7B">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Quadro \* ARABIC </w:instrText>
      </w:r>
      <w:r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2</w:t>
      </w:r>
      <w:r w:rsidRPr="00252D7B">
        <w:rPr>
          <w:rFonts w:asciiTheme="minorHAnsi" w:hAnsiTheme="minorHAnsi" w:cstheme="minorHAnsi"/>
          <w:sz w:val="20"/>
          <w:szCs w:val="20"/>
        </w:rPr>
        <w:fldChar w:fldCharType="end"/>
      </w:r>
      <w:bookmarkEnd w:id="56"/>
      <w:r w:rsidR="00C202BB" w:rsidRPr="00252D7B">
        <w:rPr>
          <w:rFonts w:asciiTheme="minorHAnsi" w:hAnsiTheme="minorHAnsi" w:cstheme="minorHAnsi"/>
          <w:sz w:val="20"/>
          <w:szCs w:val="20"/>
        </w:rPr>
        <w:t xml:space="preserve"> </w:t>
      </w:r>
      <w:r w:rsidR="00BB76AC" w:rsidRPr="00252D7B">
        <w:rPr>
          <w:rFonts w:asciiTheme="minorHAnsi" w:hAnsiTheme="minorHAnsi" w:cstheme="minorHAnsi"/>
          <w:sz w:val="20"/>
          <w:szCs w:val="20"/>
        </w:rPr>
        <w:t>–</w:t>
      </w:r>
      <w:r w:rsidR="00C202BB" w:rsidRPr="00252D7B">
        <w:rPr>
          <w:rFonts w:asciiTheme="minorHAnsi" w:hAnsiTheme="minorHAnsi" w:cstheme="minorHAnsi"/>
          <w:sz w:val="20"/>
          <w:szCs w:val="20"/>
        </w:rPr>
        <w:t xml:space="preserve"> Lista de processos de 1º e 2º nível da Cadeia de Valor Agregado da Valec</w:t>
      </w:r>
      <w:bookmarkEnd w:id="57"/>
      <w:bookmarkEnd w:id="58"/>
      <w:bookmarkEnd w:id="59"/>
    </w:p>
    <w:tbl>
      <w:tblPr>
        <w:tblStyle w:val="Tabelacomgrade1"/>
        <w:tblW w:w="5091" w:type="pct"/>
        <w:tblLook w:val="0420" w:firstRow="1" w:lastRow="0" w:firstColumn="0" w:lastColumn="0" w:noHBand="0" w:noVBand="1"/>
      </w:tblPr>
      <w:tblGrid>
        <w:gridCol w:w="1937"/>
        <w:gridCol w:w="2652"/>
        <w:gridCol w:w="5324"/>
      </w:tblGrid>
      <w:tr w:rsidR="00C202BB" w:rsidRPr="00252D7B" w14:paraId="566F69A3" w14:textId="77777777" w:rsidTr="00B70821">
        <w:trPr>
          <w:trHeight w:val="290"/>
          <w:tblHeader/>
        </w:trPr>
        <w:tc>
          <w:tcPr>
            <w:tcW w:w="1284" w:type="pct"/>
            <w:shd w:val="clear" w:color="auto" w:fill="D9D9D9" w:themeFill="background1" w:themeFillShade="D9"/>
            <w:vAlign w:val="center"/>
            <w:hideMark/>
          </w:tcPr>
          <w:p w14:paraId="5CA62EA7" w14:textId="77777777" w:rsidR="00C202BB" w:rsidRPr="00252D7B" w:rsidRDefault="00C202BB" w:rsidP="00B70821">
            <w:pPr>
              <w:widowControl/>
              <w:autoSpaceDE/>
              <w:autoSpaceDN/>
              <w:jc w:val="center"/>
              <w:rPr>
                <w:rFonts w:asciiTheme="minorHAnsi" w:eastAsia="Times New Roman" w:hAnsiTheme="minorHAnsi" w:cstheme="minorHAnsi"/>
                <w:b/>
                <w:bCs/>
                <w:color w:val="000000"/>
                <w:lang w:bidi="ar-SA"/>
              </w:rPr>
            </w:pPr>
            <w:r w:rsidRPr="00252D7B">
              <w:rPr>
                <w:rFonts w:asciiTheme="minorHAnsi" w:eastAsia="Times New Roman" w:hAnsiTheme="minorHAnsi" w:cstheme="minorHAnsi"/>
                <w:b/>
                <w:bCs/>
                <w:color w:val="000000"/>
                <w:lang w:bidi="ar-SA"/>
              </w:rPr>
              <w:t>Macroprocessos de 1º Nível</w:t>
            </w:r>
          </w:p>
        </w:tc>
        <w:tc>
          <w:tcPr>
            <w:tcW w:w="1645" w:type="pct"/>
            <w:shd w:val="clear" w:color="auto" w:fill="D9D9D9" w:themeFill="background1" w:themeFillShade="D9"/>
            <w:vAlign w:val="center"/>
            <w:hideMark/>
          </w:tcPr>
          <w:p w14:paraId="6E58AC02" w14:textId="77777777" w:rsidR="00C202BB" w:rsidRPr="00252D7B" w:rsidRDefault="00C202BB" w:rsidP="00B70821">
            <w:pPr>
              <w:widowControl/>
              <w:autoSpaceDE/>
              <w:autoSpaceDN/>
              <w:jc w:val="center"/>
              <w:rPr>
                <w:rFonts w:asciiTheme="minorHAnsi" w:eastAsia="Times New Roman" w:hAnsiTheme="minorHAnsi" w:cstheme="minorHAnsi"/>
                <w:b/>
                <w:bCs/>
                <w:color w:val="000000"/>
                <w:lang w:bidi="ar-SA"/>
              </w:rPr>
            </w:pPr>
            <w:r w:rsidRPr="00252D7B">
              <w:rPr>
                <w:rFonts w:asciiTheme="minorHAnsi" w:eastAsia="Times New Roman" w:hAnsiTheme="minorHAnsi" w:cstheme="minorHAnsi"/>
                <w:b/>
                <w:bCs/>
                <w:color w:val="000000"/>
                <w:lang w:bidi="ar-SA"/>
              </w:rPr>
              <w:t>Macroprocessos de 2º Nível</w:t>
            </w:r>
          </w:p>
        </w:tc>
        <w:tc>
          <w:tcPr>
            <w:tcW w:w="2071" w:type="pct"/>
            <w:shd w:val="clear" w:color="auto" w:fill="D9D9D9" w:themeFill="background1" w:themeFillShade="D9"/>
            <w:noWrap/>
            <w:vAlign w:val="center"/>
            <w:hideMark/>
          </w:tcPr>
          <w:p w14:paraId="5ACBC5C8" w14:textId="77777777" w:rsidR="00C202BB" w:rsidRPr="00252D7B" w:rsidRDefault="00C202BB" w:rsidP="00B70821">
            <w:pPr>
              <w:widowControl/>
              <w:autoSpaceDE/>
              <w:autoSpaceDN/>
              <w:jc w:val="center"/>
              <w:rPr>
                <w:rFonts w:asciiTheme="minorHAnsi" w:eastAsia="Times New Roman" w:hAnsiTheme="minorHAnsi" w:cstheme="minorHAnsi"/>
                <w:b/>
                <w:bCs/>
                <w:color w:val="000000"/>
                <w:lang w:bidi="ar-SA"/>
              </w:rPr>
            </w:pPr>
            <w:r w:rsidRPr="00252D7B">
              <w:rPr>
                <w:rFonts w:asciiTheme="minorHAnsi" w:eastAsia="Times New Roman" w:hAnsiTheme="minorHAnsi" w:cstheme="minorHAnsi"/>
                <w:b/>
                <w:bCs/>
                <w:color w:val="000000"/>
                <w:lang w:bidi="ar-SA"/>
              </w:rPr>
              <w:t>Produtos</w:t>
            </w:r>
          </w:p>
        </w:tc>
      </w:tr>
      <w:tr w:rsidR="00C202BB" w:rsidRPr="00252D7B" w14:paraId="39319ECA" w14:textId="77777777" w:rsidTr="00354292">
        <w:trPr>
          <w:trHeight w:val="542"/>
        </w:trPr>
        <w:tc>
          <w:tcPr>
            <w:tcW w:w="1284" w:type="pct"/>
            <w:hideMark/>
          </w:tcPr>
          <w:p w14:paraId="0B348635" w14:textId="77777777" w:rsidR="00C202BB" w:rsidRPr="00252D7B" w:rsidRDefault="00C202BB" w:rsidP="00B70821">
            <w:pPr>
              <w:widowControl/>
              <w:autoSpaceDE/>
              <w:autoSpaceDN/>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 xml:space="preserve">01 Aperfeiçoar e Promover a Gestão e a Governança Corporativa </w:t>
            </w:r>
          </w:p>
        </w:tc>
        <w:tc>
          <w:tcPr>
            <w:tcW w:w="1645" w:type="pct"/>
            <w:hideMark/>
          </w:tcPr>
          <w:p w14:paraId="790D599F" w14:textId="77777777" w:rsidR="00C202BB" w:rsidRPr="00252D7B" w:rsidRDefault="00C202BB" w:rsidP="00B70821">
            <w:pPr>
              <w:widowControl/>
              <w:autoSpaceDE/>
              <w:autoSpaceDN/>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01.01 Realizar Governança Corporativa</w:t>
            </w:r>
            <w:r w:rsidRPr="00252D7B">
              <w:rPr>
                <w:rFonts w:asciiTheme="minorHAnsi" w:eastAsia="Times New Roman" w:hAnsiTheme="minorHAnsi" w:cstheme="minorHAnsi"/>
                <w:color w:val="000000"/>
                <w:lang w:bidi="ar-SA"/>
              </w:rPr>
              <w:br/>
              <w:t>01.02 Realizar Gestão Estratégica</w:t>
            </w:r>
            <w:r w:rsidRPr="00252D7B">
              <w:rPr>
                <w:rFonts w:asciiTheme="minorHAnsi" w:eastAsia="Times New Roman" w:hAnsiTheme="minorHAnsi" w:cstheme="minorHAnsi"/>
                <w:color w:val="000000"/>
                <w:lang w:bidi="ar-SA"/>
              </w:rPr>
              <w:br/>
              <w:t>01.03 Avaliar e apoiar processos de governança de riscos e controles</w:t>
            </w:r>
          </w:p>
        </w:tc>
        <w:tc>
          <w:tcPr>
            <w:tcW w:w="2071" w:type="pct"/>
            <w:hideMark/>
          </w:tcPr>
          <w:p w14:paraId="103415B6" w14:textId="77777777" w:rsidR="00C202BB" w:rsidRPr="00252D7B" w:rsidRDefault="00C202BB" w:rsidP="00B70821">
            <w:pPr>
              <w:widowControl/>
              <w:autoSpaceDE/>
              <w:autoSpaceDN/>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Expedição dos atos decorrentes dos Colegiados (atas, resoluções etc. );CGU: plano anual de auditoria, parecer de auditoria interna, relatório anual de auditoria interna (RAINT);TCU: RAINT; COAUD: relatório trimestral de execução do PAINT; Diretoria: relatórios de auditoria, relatório de consultoria, planos de ação, notas técnicas, RAINT;CONSAD: PAINT, relatório trimestral de execução do PAINT; relatórios de auditoria, relatório de consultoria, planos de ação, notas técnicas, RAINT;MINFRA: informações que a CGU demanda para supervisão ministerial; Donos de macroprocessos (superintendentes e chefes de assessoria): Ofício de comunicação de achados, minuta de relatório com achados; Diretoria: relatório com achados.</w:t>
            </w:r>
            <w:r w:rsidRPr="00252D7B">
              <w:rPr>
                <w:rFonts w:asciiTheme="minorHAnsi" w:eastAsia="Times New Roman" w:hAnsiTheme="minorHAnsi" w:cstheme="minorHAnsi"/>
                <w:color w:val="000000"/>
                <w:lang w:bidi="ar-SA"/>
              </w:rPr>
              <w:br/>
              <w:t>Diretoria, CONFIS, COAUD e CONSAD: Acompanhamento dos planos de ação e atendimento de recomendações da CGU</w:t>
            </w:r>
          </w:p>
        </w:tc>
      </w:tr>
      <w:tr w:rsidR="00C202BB" w:rsidRPr="00252D7B" w14:paraId="1935C975" w14:textId="77777777" w:rsidTr="00B70821">
        <w:trPr>
          <w:trHeight w:val="1450"/>
        </w:trPr>
        <w:tc>
          <w:tcPr>
            <w:tcW w:w="1284" w:type="pct"/>
            <w:hideMark/>
          </w:tcPr>
          <w:p w14:paraId="3FA583A6" w14:textId="77777777" w:rsidR="00C202BB" w:rsidRPr="00252D7B" w:rsidRDefault="00C202BB" w:rsidP="00B70821">
            <w:pPr>
              <w:widowControl/>
              <w:autoSpaceDE/>
              <w:autoSpaceDN/>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02 Gerir Comunicação</w:t>
            </w:r>
          </w:p>
        </w:tc>
        <w:tc>
          <w:tcPr>
            <w:tcW w:w="1645" w:type="pct"/>
            <w:hideMark/>
          </w:tcPr>
          <w:p w14:paraId="4BB85018" w14:textId="77777777" w:rsidR="00C202BB" w:rsidRPr="00252D7B" w:rsidRDefault="00C202BB" w:rsidP="00B70821">
            <w:pPr>
              <w:widowControl/>
              <w:autoSpaceDE/>
              <w:autoSpaceDN/>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02.01 Tratar Manifestação da Ouvidoria;</w:t>
            </w:r>
            <w:r w:rsidRPr="00252D7B">
              <w:rPr>
                <w:rFonts w:asciiTheme="minorHAnsi" w:eastAsia="Times New Roman" w:hAnsiTheme="minorHAnsi" w:cstheme="minorHAnsi"/>
                <w:color w:val="000000"/>
                <w:lang w:bidi="ar-SA"/>
              </w:rPr>
              <w:br/>
              <w:t>02.02 Comunicar informações de Ouvidoria</w:t>
            </w:r>
            <w:r w:rsidRPr="00252D7B">
              <w:rPr>
                <w:rFonts w:asciiTheme="minorHAnsi" w:eastAsia="Times New Roman" w:hAnsiTheme="minorHAnsi" w:cstheme="minorHAnsi"/>
                <w:color w:val="000000"/>
                <w:lang w:bidi="ar-SA"/>
              </w:rPr>
              <w:br/>
              <w:t xml:space="preserve">02.03 Executar Plano de Comunicação </w:t>
            </w:r>
            <w:r w:rsidRPr="00252D7B">
              <w:rPr>
                <w:rFonts w:asciiTheme="minorHAnsi" w:eastAsia="Times New Roman" w:hAnsiTheme="minorHAnsi" w:cstheme="minorHAnsi"/>
                <w:color w:val="000000"/>
                <w:lang w:bidi="ar-SA"/>
              </w:rPr>
              <w:br/>
              <w:t xml:space="preserve">02.04 Gerir Relações Institucionais  </w:t>
            </w:r>
          </w:p>
        </w:tc>
        <w:tc>
          <w:tcPr>
            <w:tcW w:w="2071" w:type="pct"/>
            <w:hideMark/>
          </w:tcPr>
          <w:p w14:paraId="78E58BEC" w14:textId="77777777" w:rsidR="00C202BB" w:rsidRPr="00252D7B" w:rsidRDefault="00C202BB" w:rsidP="00B70821">
            <w:pPr>
              <w:widowControl/>
              <w:autoSpaceDE/>
              <w:autoSpaceDN/>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Formalização da percepção do usuário; esclarecimento (função pedagógica) para compreensão das rotinas e das atribuições da Valec; denúncia ou reclamação à área apuratória; feedback ao usuário (origem pelo FALA.BR); monitoramento dos indicadores da Ouvidoria; resposta às demandas LAI (SIC);Hotsite; publicação; publicação publicitária; matéria jornalística; e-mail marketing; produto audiovisual; identidade visual.02.04.01: Avaliação crítica do ambiente externo (social, político e econômico) para auxílio à tomada de decisão da alta administração</w:t>
            </w:r>
            <w:r w:rsidRPr="00252D7B">
              <w:rPr>
                <w:rFonts w:asciiTheme="minorHAnsi" w:eastAsia="Times New Roman" w:hAnsiTheme="minorHAnsi" w:cstheme="minorHAnsi"/>
                <w:color w:val="000000"/>
                <w:lang w:bidi="ar-SA"/>
              </w:rPr>
              <w:br/>
              <w:t>02.04.02: Proteção ao orçamento da Valec; Recurso de emendas; Fortalecimento da imagem institucional.</w:t>
            </w:r>
          </w:p>
        </w:tc>
      </w:tr>
      <w:tr w:rsidR="00C202BB" w:rsidRPr="00252D7B" w14:paraId="3F23D2F9" w14:textId="77777777" w:rsidTr="00B70821">
        <w:trPr>
          <w:trHeight w:val="749"/>
        </w:trPr>
        <w:tc>
          <w:tcPr>
            <w:tcW w:w="1284" w:type="pct"/>
            <w:hideMark/>
          </w:tcPr>
          <w:p w14:paraId="3F7E568F" w14:textId="77777777" w:rsidR="00C202BB" w:rsidRPr="00252D7B" w:rsidRDefault="00C202BB" w:rsidP="00B70821">
            <w:pPr>
              <w:widowControl/>
              <w:autoSpaceDE/>
              <w:autoSpaceDN/>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03 Criar Produtos e Serviços</w:t>
            </w:r>
          </w:p>
        </w:tc>
        <w:tc>
          <w:tcPr>
            <w:tcW w:w="1645" w:type="pct"/>
            <w:hideMark/>
          </w:tcPr>
          <w:p w14:paraId="6CCB899B" w14:textId="31D7660C" w:rsidR="00C202BB" w:rsidRPr="00252D7B" w:rsidRDefault="00C202BB" w:rsidP="00B70821">
            <w:pPr>
              <w:widowControl/>
              <w:autoSpaceDE/>
              <w:autoSpaceDN/>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03.01 Realizar Pesquisa Mercadológica;</w:t>
            </w:r>
            <w:r w:rsidRPr="00252D7B">
              <w:rPr>
                <w:rFonts w:asciiTheme="minorHAnsi" w:eastAsia="Times New Roman" w:hAnsiTheme="minorHAnsi" w:cstheme="minorHAnsi"/>
                <w:color w:val="000000"/>
                <w:lang w:bidi="ar-SA"/>
              </w:rPr>
              <w:br/>
              <w:t>03.02 Desenvolver Produtos e Serviços (Funil de Inovação)</w:t>
            </w:r>
          </w:p>
        </w:tc>
        <w:tc>
          <w:tcPr>
            <w:tcW w:w="2071" w:type="pct"/>
            <w:noWrap/>
            <w:hideMark/>
          </w:tcPr>
          <w:p w14:paraId="11CF38C6" w14:textId="77777777" w:rsidR="009474CC" w:rsidRPr="009474CC" w:rsidRDefault="009474CC" w:rsidP="009474CC">
            <w:pPr>
              <w:widowControl/>
              <w:autoSpaceDE/>
              <w:autoSpaceDN/>
              <w:rPr>
                <w:rFonts w:asciiTheme="minorHAnsi" w:eastAsia="Times New Roman" w:hAnsiTheme="minorHAnsi" w:cstheme="minorHAnsi"/>
                <w:color w:val="000000"/>
                <w:lang w:bidi="ar-SA"/>
              </w:rPr>
            </w:pPr>
            <w:r w:rsidRPr="009474CC">
              <w:rPr>
                <w:rFonts w:asciiTheme="minorHAnsi" w:eastAsia="Times New Roman" w:hAnsiTheme="minorHAnsi" w:cstheme="minorHAnsi"/>
                <w:color w:val="000000"/>
                <w:lang w:bidi="ar-SA"/>
              </w:rPr>
              <w:t>Serviço de consultoria em desapropriação estruturado</w:t>
            </w:r>
          </w:p>
          <w:p w14:paraId="576B0175" w14:textId="3FEEC379" w:rsidR="00C202BB" w:rsidRPr="00252D7B" w:rsidRDefault="009474CC" w:rsidP="00B70821">
            <w:pPr>
              <w:widowControl/>
              <w:autoSpaceDE/>
              <w:autoSpaceDN/>
              <w:rPr>
                <w:rFonts w:asciiTheme="minorHAnsi" w:eastAsia="Times New Roman" w:hAnsiTheme="minorHAnsi" w:cstheme="minorHAnsi"/>
                <w:color w:val="000000"/>
                <w:lang w:bidi="ar-SA"/>
              </w:rPr>
            </w:pPr>
            <w:r w:rsidRPr="009474CC">
              <w:rPr>
                <w:rFonts w:asciiTheme="minorHAnsi" w:eastAsia="Times New Roman" w:hAnsiTheme="minorHAnsi" w:cstheme="minorHAnsi"/>
                <w:color w:val="000000"/>
                <w:lang w:bidi="ar-SA"/>
              </w:rPr>
              <w:t>Serviço de consultoria de licenciamento ambiental estruturado</w:t>
            </w:r>
          </w:p>
        </w:tc>
      </w:tr>
      <w:tr w:rsidR="00C202BB" w:rsidRPr="00252D7B" w14:paraId="2E1C5838" w14:textId="77777777" w:rsidTr="00B70821">
        <w:trPr>
          <w:trHeight w:val="689"/>
        </w:trPr>
        <w:tc>
          <w:tcPr>
            <w:tcW w:w="1284" w:type="pct"/>
            <w:hideMark/>
          </w:tcPr>
          <w:p w14:paraId="5C6182C1" w14:textId="77777777" w:rsidR="00C202BB" w:rsidRPr="00252D7B" w:rsidRDefault="00C202BB" w:rsidP="00B70821">
            <w:pPr>
              <w:widowControl/>
              <w:autoSpaceDE/>
              <w:autoSpaceDN/>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 xml:space="preserve">04 Comercializar Produtos e Serviços </w:t>
            </w:r>
          </w:p>
        </w:tc>
        <w:tc>
          <w:tcPr>
            <w:tcW w:w="1645" w:type="pct"/>
            <w:hideMark/>
          </w:tcPr>
          <w:p w14:paraId="23E22053" w14:textId="77777777" w:rsidR="00C202BB" w:rsidRPr="00252D7B" w:rsidRDefault="00C202BB" w:rsidP="00B70821">
            <w:pPr>
              <w:widowControl/>
              <w:autoSpaceDE/>
              <w:autoSpaceDN/>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 xml:space="preserve">04.01 Prospectar Clientes </w:t>
            </w:r>
            <w:r w:rsidRPr="00252D7B">
              <w:rPr>
                <w:rFonts w:asciiTheme="minorHAnsi" w:eastAsia="Times New Roman" w:hAnsiTheme="minorHAnsi" w:cstheme="minorHAnsi"/>
                <w:color w:val="000000"/>
                <w:lang w:bidi="ar-SA"/>
              </w:rPr>
              <w:br/>
              <w:t>04.02 Negociar Produtos e Serviços</w:t>
            </w:r>
            <w:r w:rsidRPr="00252D7B">
              <w:rPr>
                <w:rFonts w:asciiTheme="minorHAnsi" w:eastAsia="Times New Roman" w:hAnsiTheme="minorHAnsi" w:cstheme="minorHAnsi"/>
                <w:color w:val="000000"/>
                <w:lang w:bidi="ar-SA"/>
              </w:rPr>
              <w:br/>
              <w:t>04.03 Firmar contrato comerciais</w:t>
            </w:r>
          </w:p>
        </w:tc>
        <w:tc>
          <w:tcPr>
            <w:tcW w:w="2071" w:type="pct"/>
            <w:noWrap/>
            <w:hideMark/>
          </w:tcPr>
          <w:p w14:paraId="34FECD72" w14:textId="77777777" w:rsidR="00C202BB" w:rsidRPr="00252D7B" w:rsidRDefault="00C202BB" w:rsidP="00B70821">
            <w:pPr>
              <w:widowControl/>
              <w:autoSpaceDE/>
              <w:autoSpaceDN/>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Contrato firmado.</w:t>
            </w:r>
          </w:p>
        </w:tc>
      </w:tr>
      <w:tr w:rsidR="00C202BB" w:rsidRPr="00252D7B" w14:paraId="69A389CC" w14:textId="77777777" w:rsidTr="00B70821">
        <w:trPr>
          <w:trHeight w:val="3190"/>
        </w:trPr>
        <w:tc>
          <w:tcPr>
            <w:tcW w:w="1284" w:type="pct"/>
            <w:hideMark/>
          </w:tcPr>
          <w:p w14:paraId="107132F7" w14:textId="77777777" w:rsidR="00C202BB" w:rsidRPr="00252D7B" w:rsidRDefault="00C202BB" w:rsidP="00B70821">
            <w:pPr>
              <w:widowControl/>
              <w:autoSpaceDE/>
              <w:autoSpaceDN/>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lastRenderedPageBreak/>
              <w:t>05 Produzir Produtos e Serviços</w:t>
            </w:r>
          </w:p>
        </w:tc>
        <w:tc>
          <w:tcPr>
            <w:tcW w:w="1645" w:type="pct"/>
            <w:hideMark/>
          </w:tcPr>
          <w:p w14:paraId="61BCE04E" w14:textId="77777777" w:rsidR="00C202BB" w:rsidRPr="00252D7B" w:rsidRDefault="00C202BB" w:rsidP="00B70821">
            <w:pPr>
              <w:widowControl/>
              <w:autoSpaceDE/>
              <w:autoSpaceDN/>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05.01 Gerir Serviços Preparatórios</w:t>
            </w:r>
            <w:r w:rsidRPr="00252D7B">
              <w:rPr>
                <w:rFonts w:asciiTheme="minorHAnsi" w:eastAsia="Times New Roman" w:hAnsiTheme="minorHAnsi" w:cstheme="minorHAnsi"/>
                <w:color w:val="000000"/>
                <w:lang w:bidi="ar-SA"/>
              </w:rPr>
              <w:br/>
              <w:t>05.02 Gerir Empreendimento Ferroviário</w:t>
            </w:r>
            <w:r w:rsidRPr="00252D7B">
              <w:rPr>
                <w:rFonts w:asciiTheme="minorHAnsi" w:eastAsia="Times New Roman" w:hAnsiTheme="minorHAnsi" w:cstheme="minorHAnsi"/>
                <w:color w:val="000000"/>
                <w:lang w:bidi="ar-SA"/>
              </w:rPr>
              <w:br/>
              <w:t>05.03 Gerir Contratos de Concessão e Subconcessão</w:t>
            </w:r>
            <w:r w:rsidRPr="00252D7B">
              <w:rPr>
                <w:rFonts w:asciiTheme="minorHAnsi" w:eastAsia="Times New Roman" w:hAnsiTheme="minorHAnsi" w:cstheme="minorHAnsi"/>
                <w:color w:val="000000"/>
                <w:lang w:bidi="ar-SA"/>
              </w:rPr>
              <w:br/>
              <w:t>05.04 Gerir Processo de Delegação de Áreas</w:t>
            </w:r>
            <w:r w:rsidRPr="00252D7B">
              <w:rPr>
                <w:rFonts w:asciiTheme="minorHAnsi" w:eastAsia="Times New Roman" w:hAnsiTheme="minorHAnsi" w:cstheme="minorHAnsi"/>
                <w:color w:val="000000"/>
                <w:lang w:bidi="ar-SA"/>
              </w:rPr>
              <w:br/>
              <w:t>05.05 Gerir Pátios e Terminais;</w:t>
            </w:r>
            <w:r w:rsidRPr="00252D7B">
              <w:rPr>
                <w:rFonts w:asciiTheme="minorHAnsi" w:eastAsia="Times New Roman" w:hAnsiTheme="minorHAnsi" w:cstheme="minorHAnsi"/>
                <w:color w:val="000000"/>
                <w:lang w:bidi="ar-SA"/>
              </w:rPr>
              <w:br/>
              <w:t>05.06 Gerir Áreas Remanescentes</w:t>
            </w:r>
            <w:r w:rsidRPr="00252D7B">
              <w:rPr>
                <w:rFonts w:asciiTheme="minorHAnsi" w:eastAsia="Times New Roman" w:hAnsiTheme="minorHAnsi" w:cstheme="minorHAnsi"/>
                <w:color w:val="000000"/>
                <w:lang w:bidi="ar-SA"/>
              </w:rPr>
              <w:br/>
              <w:t>05.07 Destinar Economicamente as Áreas (em desenvolvimento)</w:t>
            </w:r>
            <w:r w:rsidRPr="00252D7B">
              <w:rPr>
                <w:rFonts w:asciiTheme="minorHAnsi" w:eastAsia="Times New Roman" w:hAnsiTheme="minorHAnsi" w:cstheme="minorHAnsi"/>
                <w:color w:val="000000"/>
                <w:lang w:bidi="ar-SA"/>
              </w:rPr>
              <w:br/>
              <w:t xml:space="preserve">05.08 Gerir Participações Societárias </w:t>
            </w:r>
            <w:r w:rsidRPr="00252D7B">
              <w:rPr>
                <w:rFonts w:asciiTheme="minorHAnsi" w:eastAsia="Times New Roman" w:hAnsiTheme="minorHAnsi" w:cstheme="minorHAnsi"/>
                <w:color w:val="000000"/>
                <w:lang w:bidi="ar-SA"/>
              </w:rPr>
              <w:br/>
              <w:t xml:space="preserve">05.09 Realizar Consultoria </w:t>
            </w:r>
          </w:p>
        </w:tc>
        <w:tc>
          <w:tcPr>
            <w:tcW w:w="2071" w:type="pct"/>
            <w:hideMark/>
          </w:tcPr>
          <w:p w14:paraId="25F6017B" w14:textId="1A6D069D" w:rsidR="00C202BB" w:rsidRPr="00252D7B" w:rsidRDefault="00C202BB" w:rsidP="00B70821">
            <w:pPr>
              <w:widowControl/>
              <w:autoSpaceDE/>
              <w:autoSpaceDN/>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 xml:space="preserve">Coordenação da gestão e fiscalização das operações ferroviárias; Contrato de concessão de uso; Verificações de cumprimento de obrigações (pecuniárias, habilitações, investimentos, movimentações de carga, garantias, seguros, procurações, taxas e impostos, entrega de alvarás, licenças e projetos); Ações de fiscalização (manutenção dos terminais e áreas afins, segurança do trabalho, meio ambiente, vigilância sanitária e outros); Monitoramento das movimentações de carga, relatórios de gestão, de fiscalização; notificações; solicitação de penalidades; atividades para liberar áreas  de frente de obras </w:t>
            </w:r>
            <w:r w:rsidR="00610C91" w:rsidRPr="00252D7B">
              <w:rPr>
                <w:rFonts w:asciiTheme="minorHAnsi" w:eastAsia="Times New Roman" w:hAnsiTheme="minorHAnsi" w:cstheme="minorHAnsi"/>
                <w:color w:val="000000"/>
                <w:lang w:bidi="ar-SA"/>
              </w:rPr>
              <w:t>por meio</w:t>
            </w:r>
            <w:r w:rsidRPr="00252D7B">
              <w:rPr>
                <w:rFonts w:asciiTheme="minorHAnsi" w:eastAsia="Times New Roman" w:hAnsiTheme="minorHAnsi" w:cstheme="minorHAnsi"/>
                <w:color w:val="000000"/>
                <w:lang w:bidi="ar-SA"/>
              </w:rPr>
              <w:t xml:space="preserve"> de desapropriação; atividades e estudos sequenciais ou concomitantes com a finalidade de conseguir autorizações ambientais para execução de empreendimentos pela </w:t>
            </w:r>
            <w:r w:rsidR="00610C91" w:rsidRPr="00252D7B">
              <w:rPr>
                <w:rFonts w:asciiTheme="minorHAnsi" w:eastAsia="Times New Roman" w:hAnsiTheme="minorHAnsi" w:cstheme="minorHAnsi"/>
                <w:color w:val="000000"/>
                <w:lang w:bidi="ar-SA"/>
              </w:rPr>
              <w:t>Valec</w:t>
            </w:r>
            <w:r w:rsidRPr="00252D7B">
              <w:rPr>
                <w:rFonts w:asciiTheme="minorHAnsi" w:eastAsia="Times New Roman" w:hAnsiTheme="minorHAnsi" w:cstheme="minorHAnsi"/>
                <w:color w:val="000000"/>
                <w:lang w:bidi="ar-SA"/>
              </w:rPr>
              <w:t xml:space="preserve">; Fiscalização e Manutenção das áreas desapropriadas e obtidas pela </w:t>
            </w:r>
            <w:r w:rsidR="00610C91" w:rsidRPr="00252D7B">
              <w:rPr>
                <w:rFonts w:asciiTheme="minorHAnsi" w:eastAsia="Times New Roman" w:hAnsiTheme="minorHAnsi" w:cstheme="minorHAnsi"/>
                <w:color w:val="000000"/>
                <w:lang w:bidi="ar-SA"/>
              </w:rPr>
              <w:t>Valec</w:t>
            </w:r>
            <w:r w:rsidRPr="00252D7B">
              <w:rPr>
                <w:rFonts w:asciiTheme="minorHAnsi" w:eastAsia="Times New Roman" w:hAnsiTheme="minorHAnsi" w:cstheme="minorHAnsi"/>
                <w:color w:val="000000"/>
                <w:lang w:bidi="ar-SA"/>
              </w:rPr>
              <w:t>; Relatório de gestão das participações; Relatório de monitoramento; Orientação de voto para conselheiros da Valec na TLSA; Manifestação para liberação de recursos; Equacionamento da participação societária na TLSA.</w:t>
            </w:r>
          </w:p>
        </w:tc>
      </w:tr>
      <w:tr w:rsidR="00C202BB" w:rsidRPr="00252D7B" w14:paraId="25D01492" w14:textId="77777777" w:rsidTr="00B70821">
        <w:trPr>
          <w:trHeight w:val="1160"/>
        </w:trPr>
        <w:tc>
          <w:tcPr>
            <w:tcW w:w="1284" w:type="pct"/>
            <w:hideMark/>
          </w:tcPr>
          <w:p w14:paraId="41EA4734" w14:textId="77777777" w:rsidR="00C202BB" w:rsidRPr="00252D7B" w:rsidRDefault="00C202BB" w:rsidP="00B70821">
            <w:pPr>
              <w:widowControl/>
              <w:autoSpaceDE/>
              <w:autoSpaceDN/>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06 Gerir Atendimento ao Cliente</w:t>
            </w:r>
          </w:p>
        </w:tc>
        <w:tc>
          <w:tcPr>
            <w:tcW w:w="1645" w:type="pct"/>
            <w:hideMark/>
          </w:tcPr>
          <w:p w14:paraId="53BA658A" w14:textId="77777777" w:rsidR="00C202BB" w:rsidRPr="00252D7B" w:rsidRDefault="00C202BB" w:rsidP="00B70821">
            <w:pPr>
              <w:widowControl/>
              <w:autoSpaceDE/>
              <w:autoSpaceDN/>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 xml:space="preserve">06.01 Gerenciar Comunicação com o Cliente </w:t>
            </w:r>
            <w:r w:rsidRPr="00252D7B">
              <w:rPr>
                <w:rFonts w:asciiTheme="minorHAnsi" w:eastAsia="Times New Roman" w:hAnsiTheme="minorHAnsi" w:cstheme="minorHAnsi"/>
                <w:color w:val="000000"/>
                <w:lang w:bidi="ar-SA"/>
              </w:rPr>
              <w:br/>
              <w:t>06.02 Gerenciar Entregas</w:t>
            </w:r>
            <w:r w:rsidRPr="00252D7B">
              <w:rPr>
                <w:rFonts w:asciiTheme="minorHAnsi" w:eastAsia="Times New Roman" w:hAnsiTheme="minorHAnsi" w:cstheme="minorHAnsi"/>
                <w:color w:val="000000"/>
                <w:lang w:bidi="ar-SA"/>
              </w:rPr>
              <w:br/>
              <w:t xml:space="preserve">06.03 Realizar Pesquisa de Qualidade e de Satisfação com o Cliente </w:t>
            </w:r>
          </w:p>
        </w:tc>
        <w:tc>
          <w:tcPr>
            <w:tcW w:w="2071" w:type="pct"/>
            <w:noWrap/>
            <w:hideMark/>
          </w:tcPr>
          <w:p w14:paraId="30D63C32" w14:textId="0BE66F14" w:rsidR="00C202BB" w:rsidRPr="00252D7B" w:rsidRDefault="00A41E26" w:rsidP="00B70821">
            <w:pPr>
              <w:widowControl/>
              <w:autoSpaceDE/>
              <w:autoSpaceDN/>
              <w:rPr>
                <w:rFonts w:asciiTheme="minorHAnsi" w:eastAsia="Times New Roman" w:hAnsiTheme="minorHAnsi" w:cstheme="minorHAnsi"/>
                <w:color w:val="000000"/>
                <w:lang w:bidi="ar-SA"/>
              </w:rPr>
            </w:pPr>
            <w:r w:rsidRPr="00A41E26">
              <w:rPr>
                <w:rFonts w:asciiTheme="minorHAnsi" w:eastAsia="Times New Roman" w:hAnsiTheme="minorHAnsi" w:cstheme="minorHAnsi"/>
                <w:color w:val="000000"/>
                <w:lang w:bidi="ar-SA"/>
              </w:rPr>
              <w:t>Norma de atendimento ao cliente produzida</w:t>
            </w:r>
          </w:p>
        </w:tc>
      </w:tr>
      <w:tr w:rsidR="00C202BB" w:rsidRPr="00252D7B" w14:paraId="00F0CC81" w14:textId="77777777" w:rsidTr="00B70821">
        <w:trPr>
          <w:trHeight w:val="2646"/>
        </w:trPr>
        <w:tc>
          <w:tcPr>
            <w:tcW w:w="1284" w:type="pct"/>
            <w:hideMark/>
          </w:tcPr>
          <w:p w14:paraId="3AB1E6AD" w14:textId="77777777" w:rsidR="00C202BB" w:rsidRPr="00252D7B" w:rsidRDefault="00C202BB" w:rsidP="00B70821">
            <w:pPr>
              <w:widowControl/>
              <w:autoSpaceDE/>
              <w:autoSpaceDN/>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07 Realizar Contratação</w:t>
            </w:r>
          </w:p>
        </w:tc>
        <w:tc>
          <w:tcPr>
            <w:tcW w:w="1645" w:type="pct"/>
            <w:hideMark/>
          </w:tcPr>
          <w:p w14:paraId="55EB592E" w14:textId="77777777" w:rsidR="00C202BB" w:rsidRPr="00252D7B" w:rsidRDefault="00C202BB" w:rsidP="00B70821">
            <w:pPr>
              <w:widowControl/>
              <w:autoSpaceDE/>
              <w:autoSpaceDN/>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07.01 Realizar planejamento geral</w:t>
            </w:r>
            <w:r w:rsidRPr="00252D7B">
              <w:rPr>
                <w:rFonts w:asciiTheme="minorHAnsi" w:eastAsia="Times New Roman" w:hAnsiTheme="minorHAnsi" w:cstheme="minorHAnsi"/>
                <w:color w:val="000000"/>
                <w:lang w:bidi="ar-SA"/>
              </w:rPr>
              <w:br/>
              <w:t>07.02 Revisar planejamento geral</w:t>
            </w:r>
            <w:r w:rsidRPr="00252D7B">
              <w:rPr>
                <w:rFonts w:asciiTheme="minorHAnsi" w:eastAsia="Times New Roman" w:hAnsiTheme="minorHAnsi" w:cstheme="minorHAnsi"/>
                <w:color w:val="000000"/>
                <w:lang w:bidi="ar-SA"/>
              </w:rPr>
              <w:br/>
              <w:t>07.03 Planejar a contratação</w:t>
            </w:r>
            <w:r w:rsidRPr="00252D7B">
              <w:rPr>
                <w:rFonts w:asciiTheme="minorHAnsi" w:eastAsia="Times New Roman" w:hAnsiTheme="minorHAnsi" w:cstheme="minorHAnsi"/>
                <w:color w:val="000000"/>
                <w:lang w:bidi="ar-SA"/>
              </w:rPr>
              <w:br/>
              <w:t>07.04 Elaborar minuta</w:t>
            </w:r>
            <w:r w:rsidRPr="00252D7B">
              <w:rPr>
                <w:rFonts w:asciiTheme="minorHAnsi" w:eastAsia="Times New Roman" w:hAnsiTheme="minorHAnsi" w:cstheme="minorHAnsi"/>
                <w:color w:val="000000"/>
                <w:lang w:bidi="ar-SA"/>
              </w:rPr>
              <w:br/>
              <w:t>07.05 Atender recomendações jurídicas</w:t>
            </w:r>
            <w:r w:rsidRPr="00252D7B">
              <w:rPr>
                <w:rFonts w:asciiTheme="minorHAnsi" w:eastAsia="Times New Roman" w:hAnsiTheme="minorHAnsi" w:cstheme="minorHAnsi"/>
                <w:color w:val="000000"/>
                <w:lang w:bidi="ar-SA"/>
              </w:rPr>
              <w:br/>
              <w:t>07.06 Aprovar contratação</w:t>
            </w:r>
            <w:r w:rsidRPr="00252D7B">
              <w:rPr>
                <w:rFonts w:asciiTheme="minorHAnsi" w:eastAsia="Times New Roman" w:hAnsiTheme="minorHAnsi" w:cstheme="minorHAnsi"/>
                <w:color w:val="000000"/>
                <w:lang w:bidi="ar-SA"/>
              </w:rPr>
              <w:br/>
              <w:t>07.07 Realizar fase de publicidade</w:t>
            </w:r>
            <w:r w:rsidRPr="00252D7B">
              <w:rPr>
                <w:rFonts w:asciiTheme="minorHAnsi" w:eastAsia="Times New Roman" w:hAnsiTheme="minorHAnsi" w:cstheme="minorHAnsi"/>
                <w:color w:val="000000"/>
                <w:lang w:bidi="ar-SA"/>
              </w:rPr>
              <w:br/>
              <w:t>07.08 Realizar procedimento licitatório</w:t>
            </w:r>
            <w:r w:rsidRPr="00252D7B">
              <w:rPr>
                <w:rFonts w:asciiTheme="minorHAnsi" w:eastAsia="Times New Roman" w:hAnsiTheme="minorHAnsi" w:cstheme="minorHAnsi"/>
                <w:color w:val="000000"/>
                <w:lang w:bidi="ar-SA"/>
              </w:rPr>
              <w:br/>
              <w:t>07.11 Formalizar contrato</w:t>
            </w:r>
            <w:r w:rsidRPr="00252D7B">
              <w:rPr>
                <w:rFonts w:asciiTheme="minorHAnsi" w:eastAsia="Times New Roman" w:hAnsiTheme="minorHAnsi" w:cstheme="minorHAnsi"/>
                <w:color w:val="000000"/>
                <w:lang w:bidi="ar-SA"/>
              </w:rPr>
              <w:br/>
              <w:t>07.09 Realizar contratação direta</w:t>
            </w:r>
            <w:r w:rsidRPr="00252D7B">
              <w:rPr>
                <w:rFonts w:asciiTheme="minorHAnsi" w:eastAsia="Times New Roman" w:hAnsiTheme="minorHAnsi" w:cstheme="minorHAnsi"/>
                <w:color w:val="000000"/>
                <w:lang w:bidi="ar-SA"/>
              </w:rPr>
              <w:br/>
              <w:t>07.10 Aderir a Ata de registro de preço</w:t>
            </w:r>
          </w:p>
        </w:tc>
        <w:tc>
          <w:tcPr>
            <w:tcW w:w="2071" w:type="pct"/>
            <w:hideMark/>
          </w:tcPr>
          <w:p w14:paraId="40C92DDA" w14:textId="77777777" w:rsidR="00C202BB" w:rsidRPr="00252D7B" w:rsidRDefault="00C202BB" w:rsidP="00B70821">
            <w:pPr>
              <w:widowControl/>
              <w:autoSpaceDE/>
              <w:autoSpaceDN/>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Contrato; Ata de Registro de preço.</w:t>
            </w:r>
          </w:p>
        </w:tc>
      </w:tr>
      <w:tr w:rsidR="00C202BB" w:rsidRPr="00252D7B" w14:paraId="5EA392E3" w14:textId="77777777" w:rsidTr="00B70821">
        <w:trPr>
          <w:trHeight w:val="3053"/>
        </w:trPr>
        <w:tc>
          <w:tcPr>
            <w:tcW w:w="1284" w:type="pct"/>
            <w:hideMark/>
          </w:tcPr>
          <w:p w14:paraId="30E22F34" w14:textId="77777777" w:rsidR="00C202BB" w:rsidRPr="00252D7B" w:rsidRDefault="00C202BB" w:rsidP="00B70821">
            <w:pPr>
              <w:widowControl/>
              <w:autoSpaceDE/>
              <w:autoSpaceDN/>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lastRenderedPageBreak/>
              <w:t xml:space="preserve">08 Executar Contratos </w:t>
            </w:r>
          </w:p>
        </w:tc>
        <w:tc>
          <w:tcPr>
            <w:tcW w:w="1645" w:type="pct"/>
            <w:hideMark/>
          </w:tcPr>
          <w:p w14:paraId="7039BC86" w14:textId="77777777" w:rsidR="00C202BB" w:rsidRPr="00252D7B" w:rsidRDefault="00C202BB" w:rsidP="00B70821">
            <w:pPr>
              <w:widowControl/>
              <w:autoSpaceDE/>
              <w:autoSpaceDN/>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08.01 Elaborar Planejamento de Execução do Serviço ou Fornecimento de Materiais</w:t>
            </w:r>
            <w:r w:rsidRPr="00252D7B">
              <w:rPr>
                <w:rFonts w:asciiTheme="minorHAnsi" w:eastAsia="Times New Roman" w:hAnsiTheme="minorHAnsi" w:cstheme="minorHAnsi"/>
                <w:color w:val="000000"/>
                <w:lang w:bidi="ar-SA"/>
              </w:rPr>
              <w:br/>
              <w:t>08.02 Nomear gestor e fiscal do contrato</w:t>
            </w:r>
            <w:r w:rsidRPr="00252D7B">
              <w:rPr>
                <w:rFonts w:asciiTheme="minorHAnsi" w:eastAsia="Times New Roman" w:hAnsiTheme="minorHAnsi" w:cstheme="minorHAnsi"/>
                <w:color w:val="000000"/>
                <w:lang w:bidi="ar-SA"/>
              </w:rPr>
              <w:br/>
              <w:t>08.03 Fiscalizar Execução do Contrato</w:t>
            </w:r>
            <w:r w:rsidRPr="00252D7B">
              <w:rPr>
                <w:rFonts w:asciiTheme="minorHAnsi" w:eastAsia="Times New Roman" w:hAnsiTheme="minorHAnsi" w:cstheme="minorHAnsi"/>
                <w:color w:val="000000"/>
                <w:lang w:bidi="ar-SA"/>
              </w:rPr>
              <w:br/>
              <w:t>08.04 Elaborar Medição e Fatura dos Demais Contratos</w:t>
            </w:r>
            <w:r w:rsidRPr="00252D7B">
              <w:rPr>
                <w:rFonts w:asciiTheme="minorHAnsi" w:eastAsia="Times New Roman" w:hAnsiTheme="minorHAnsi" w:cstheme="minorHAnsi"/>
                <w:color w:val="000000"/>
                <w:lang w:bidi="ar-SA"/>
              </w:rPr>
              <w:br/>
              <w:t>08.05 Negociar Requerimento Administrativo das Contratadas</w:t>
            </w:r>
            <w:r w:rsidRPr="00252D7B">
              <w:rPr>
                <w:rFonts w:asciiTheme="minorHAnsi" w:eastAsia="Times New Roman" w:hAnsiTheme="minorHAnsi" w:cstheme="minorHAnsi"/>
                <w:color w:val="000000"/>
                <w:lang w:bidi="ar-SA"/>
              </w:rPr>
              <w:br/>
              <w:t>08.06 Elaborar Termo Aditivo</w:t>
            </w:r>
            <w:r w:rsidRPr="00252D7B">
              <w:rPr>
                <w:rFonts w:asciiTheme="minorHAnsi" w:eastAsia="Times New Roman" w:hAnsiTheme="minorHAnsi" w:cstheme="minorHAnsi"/>
                <w:color w:val="000000"/>
                <w:lang w:bidi="ar-SA"/>
              </w:rPr>
              <w:br/>
              <w:t>08.07 Gerir contratos</w:t>
            </w:r>
            <w:r w:rsidRPr="00252D7B">
              <w:rPr>
                <w:rFonts w:asciiTheme="minorHAnsi" w:eastAsia="Times New Roman" w:hAnsiTheme="minorHAnsi" w:cstheme="minorHAnsi"/>
                <w:color w:val="000000"/>
                <w:lang w:bidi="ar-SA"/>
              </w:rPr>
              <w:br/>
              <w:t>08.08 Realizar Pagamento</w:t>
            </w:r>
            <w:r w:rsidRPr="00252D7B">
              <w:rPr>
                <w:rFonts w:asciiTheme="minorHAnsi" w:eastAsia="Times New Roman" w:hAnsiTheme="minorHAnsi" w:cstheme="minorHAnsi"/>
                <w:color w:val="000000"/>
                <w:lang w:bidi="ar-SA"/>
              </w:rPr>
              <w:br/>
              <w:t>08.09 Encerrar Contrato</w:t>
            </w:r>
            <w:r w:rsidRPr="00252D7B">
              <w:rPr>
                <w:rFonts w:asciiTheme="minorHAnsi" w:eastAsia="Times New Roman" w:hAnsiTheme="minorHAnsi" w:cstheme="minorHAnsi"/>
                <w:color w:val="000000"/>
                <w:lang w:bidi="ar-SA"/>
              </w:rPr>
              <w:br/>
              <w:t>08.10 Gerir Conta Vinculada</w:t>
            </w:r>
          </w:p>
        </w:tc>
        <w:tc>
          <w:tcPr>
            <w:tcW w:w="2071" w:type="pct"/>
            <w:hideMark/>
          </w:tcPr>
          <w:p w14:paraId="720255D4" w14:textId="77777777" w:rsidR="00C202BB" w:rsidRPr="00252D7B" w:rsidRDefault="00C202BB" w:rsidP="00B70821">
            <w:pPr>
              <w:widowControl/>
              <w:autoSpaceDE/>
              <w:autoSpaceDN/>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Produtos; serviços; termos aditivos; termos de apostilamento, solicitação de pagamento; termo de rescisão; processos sancionatórios; decisão administrativa; encerramento contratual; processo de constituição de débito.</w:t>
            </w:r>
          </w:p>
        </w:tc>
      </w:tr>
      <w:tr w:rsidR="00C202BB" w:rsidRPr="00252D7B" w14:paraId="3402CD7F" w14:textId="77777777" w:rsidTr="00B70821">
        <w:trPr>
          <w:trHeight w:val="1892"/>
        </w:trPr>
        <w:tc>
          <w:tcPr>
            <w:tcW w:w="1284" w:type="pct"/>
            <w:hideMark/>
          </w:tcPr>
          <w:p w14:paraId="4446E575" w14:textId="77777777" w:rsidR="00C202BB" w:rsidRPr="00252D7B" w:rsidRDefault="00C202BB" w:rsidP="00B70821">
            <w:pPr>
              <w:widowControl/>
              <w:autoSpaceDE/>
              <w:autoSpaceDN/>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 xml:space="preserve">09 Gerir Pessoas  </w:t>
            </w:r>
          </w:p>
        </w:tc>
        <w:tc>
          <w:tcPr>
            <w:tcW w:w="1645" w:type="pct"/>
            <w:hideMark/>
          </w:tcPr>
          <w:p w14:paraId="6EDD8EEB" w14:textId="643CA6CE" w:rsidR="00C202BB" w:rsidRPr="00252D7B" w:rsidRDefault="00C202BB" w:rsidP="00B70821">
            <w:pPr>
              <w:widowControl/>
              <w:autoSpaceDE/>
              <w:autoSpaceDN/>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09.01 Gerir Recrutamento e Seleção</w:t>
            </w:r>
            <w:r w:rsidRPr="00252D7B">
              <w:rPr>
                <w:rFonts w:asciiTheme="minorHAnsi" w:eastAsia="Times New Roman" w:hAnsiTheme="minorHAnsi" w:cstheme="minorHAnsi"/>
                <w:color w:val="000000"/>
                <w:lang w:bidi="ar-SA"/>
              </w:rPr>
              <w:br/>
              <w:t>09.02 Gerir Admissão</w:t>
            </w:r>
            <w:r w:rsidRPr="00252D7B">
              <w:rPr>
                <w:rFonts w:asciiTheme="minorHAnsi" w:eastAsia="Times New Roman" w:hAnsiTheme="minorHAnsi" w:cstheme="minorHAnsi"/>
                <w:color w:val="000000"/>
                <w:lang w:bidi="ar-SA"/>
              </w:rPr>
              <w:br/>
              <w:t>09.03 Gerir Cadastro de Pessoal</w:t>
            </w:r>
            <w:r w:rsidRPr="00252D7B">
              <w:rPr>
                <w:rFonts w:asciiTheme="minorHAnsi" w:eastAsia="Times New Roman" w:hAnsiTheme="minorHAnsi" w:cstheme="minorHAnsi"/>
                <w:color w:val="000000"/>
                <w:lang w:bidi="ar-SA"/>
              </w:rPr>
              <w:br/>
              <w:t>09.04 Gerir Pagamento</w:t>
            </w:r>
            <w:r w:rsidRPr="00252D7B">
              <w:rPr>
                <w:rFonts w:asciiTheme="minorHAnsi" w:eastAsia="Times New Roman" w:hAnsiTheme="minorHAnsi" w:cstheme="minorHAnsi"/>
                <w:color w:val="000000"/>
                <w:lang w:bidi="ar-SA"/>
              </w:rPr>
              <w:br/>
              <w:t>09.05 Gerir Benefícios</w:t>
            </w:r>
            <w:r w:rsidRPr="00252D7B">
              <w:rPr>
                <w:rFonts w:asciiTheme="minorHAnsi" w:eastAsia="Times New Roman" w:hAnsiTheme="minorHAnsi" w:cstheme="minorHAnsi"/>
                <w:color w:val="000000"/>
                <w:lang w:bidi="ar-SA"/>
              </w:rPr>
              <w:br/>
              <w:t>09.06 Gerir Competências</w:t>
            </w:r>
            <w:r w:rsidRPr="00252D7B">
              <w:rPr>
                <w:rFonts w:asciiTheme="minorHAnsi" w:eastAsia="Times New Roman" w:hAnsiTheme="minorHAnsi" w:cstheme="minorHAnsi"/>
                <w:color w:val="000000"/>
                <w:lang w:bidi="ar-SA"/>
              </w:rPr>
              <w:br/>
              <w:t>09.07 Gerir Qualidade de Vida no Trabalho</w:t>
            </w:r>
            <w:r w:rsidRPr="00252D7B">
              <w:rPr>
                <w:rFonts w:asciiTheme="minorHAnsi" w:eastAsia="Times New Roman" w:hAnsiTheme="minorHAnsi" w:cstheme="minorHAnsi"/>
                <w:color w:val="000000"/>
                <w:lang w:bidi="ar-SA"/>
              </w:rPr>
              <w:br/>
              <w:t>09.08 Realizar Desligamento</w:t>
            </w:r>
          </w:p>
        </w:tc>
        <w:tc>
          <w:tcPr>
            <w:tcW w:w="2071" w:type="pct"/>
            <w:hideMark/>
          </w:tcPr>
          <w:p w14:paraId="44C0D045" w14:textId="77777777" w:rsidR="00C202BB" w:rsidRPr="00252D7B" w:rsidRDefault="00C202BB" w:rsidP="00B70821">
            <w:pPr>
              <w:widowControl/>
              <w:autoSpaceDE/>
              <w:autoSpaceDN/>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Pagamentos, Benefícios, Capacitações, Desligamentos, Contratações, Programas, Férias, Resposta aos órgãos de controle.</w:t>
            </w:r>
          </w:p>
        </w:tc>
      </w:tr>
      <w:tr w:rsidR="00C202BB" w:rsidRPr="00252D7B" w14:paraId="5CBE7A18" w14:textId="77777777" w:rsidTr="00B70821">
        <w:trPr>
          <w:trHeight w:val="900"/>
        </w:trPr>
        <w:tc>
          <w:tcPr>
            <w:tcW w:w="1284" w:type="pct"/>
            <w:hideMark/>
          </w:tcPr>
          <w:p w14:paraId="6A924039" w14:textId="77777777" w:rsidR="00C202BB" w:rsidRPr="00252D7B" w:rsidRDefault="00C202BB" w:rsidP="00B70821">
            <w:pPr>
              <w:widowControl/>
              <w:autoSpaceDE/>
              <w:autoSpaceDN/>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 xml:space="preserve">10 Gerir Recursos Orçamentários e Financeiros </w:t>
            </w:r>
          </w:p>
        </w:tc>
        <w:tc>
          <w:tcPr>
            <w:tcW w:w="1645" w:type="pct"/>
            <w:hideMark/>
          </w:tcPr>
          <w:p w14:paraId="07B6C8AA" w14:textId="77777777" w:rsidR="00C202BB" w:rsidRPr="00252D7B" w:rsidRDefault="00C202BB" w:rsidP="00B70821">
            <w:pPr>
              <w:widowControl/>
              <w:autoSpaceDE/>
              <w:autoSpaceDN/>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10.01 Gerir Orçamento</w:t>
            </w:r>
            <w:r w:rsidRPr="00252D7B">
              <w:rPr>
                <w:rFonts w:asciiTheme="minorHAnsi" w:eastAsia="Times New Roman" w:hAnsiTheme="minorHAnsi" w:cstheme="minorHAnsi"/>
                <w:color w:val="000000"/>
                <w:lang w:bidi="ar-SA"/>
              </w:rPr>
              <w:br/>
              <w:t>10.02 Realizar Procedimentos Fiscais e Tributários</w:t>
            </w:r>
            <w:r w:rsidRPr="00252D7B">
              <w:rPr>
                <w:rFonts w:asciiTheme="minorHAnsi" w:eastAsia="Times New Roman" w:hAnsiTheme="minorHAnsi" w:cstheme="minorHAnsi"/>
                <w:color w:val="000000"/>
                <w:lang w:bidi="ar-SA"/>
              </w:rPr>
              <w:br/>
              <w:t>10.03 Gerir Recursos Financeiros</w:t>
            </w:r>
            <w:r w:rsidRPr="00252D7B">
              <w:rPr>
                <w:rFonts w:asciiTheme="minorHAnsi" w:eastAsia="Times New Roman" w:hAnsiTheme="minorHAnsi" w:cstheme="minorHAnsi"/>
                <w:color w:val="000000"/>
                <w:lang w:bidi="ar-SA"/>
              </w:rPr>
              <w:br/>
              <w:t>10.04 Realizar Procedimentos Contábeis</w:t>
            </w:r>
            <w:r w:rsidRPr="00252D7B">
              <w:rPr>
                <w:rFonts w:asciiTheme="minorHAnsi" w:eastAsia="Times New Roman" w:hAnsiTheme="minorHAnsi" w:cstheme="minorHAnsi"/>
                <w:color w:val="000000"/>
                <w:lang w:bidi="ar-SA"/>
              </w:rPr>
              <w:br/>
              <w:t>10.05 Gerir Recursos de Transferências Voluntárias</w:t>
            </w:r>
            <w:r w:rsidRPr="00252D7B">
              <w:rPr>
                <w:rFonts w:asciiTheme="minorHAnsi" w:eastAsia="Times New Roman" w:hAnsiTheme="minorHAnsi" w:cstheme="minorHAnsi"/>
                <w:color w:val="000000"/>
                <w:lang w:bidi="ar-SA"/>
              </w:rPr>
              <w:br/>
              <w:t>10.06 Gerir Receita Própria</w:t>
            </w:r>
            <w:r w:rsidRPr="00252D7B">
              <w:rPr>
                <w:rFonts w:asciiTheme="minorHAnsi" w:eastAsia="Times New Roman" w:hAnsiTheme="minorHAnsi" w:cstheme="minorHAnsi"/>
                <w:color w:val="000000"/>
                <w:lang w:bidi="ar-SA"/>
              </w:rPr>
              <w:br/>
              <w:t xml:space="preserve">10.07 Gerir Custos </w:t>
            </w:r>
          </w:p>
        </w:tc>
        <w:tc>
          <w:tcPr>
            <w:tcW w:w="2071" w:type="pct"/>
            <w:hideMark/>
          </w:tcPr>
          <w:p w14:paraId="0A3CE233" w14:textId="77777777" w:rsidR="00C202BB" w:rsidRPr="00252D7B" w:rsidRDefault="00C202BB" w:rsidP="00B70821">
            <w:pPr>
              <w:widowControl/>
              <w:autoSpaceDE/>
              <w:autoSpaceDN/>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Disponibilidades orçamentárias, notas de empenho, bloqueios, remanejamentos, cancelamentos, relatório mensal e trimestral; obrigações principais e acessórias fiscais e tributárias, recolhimentos fiscais e relatório mensal; programações financeiras, emissão de documentos de arrecadação (DARs), emissão de guias de recolhimento (GRUs), emissão de ordens bancárias, relatório mensal e demais documentos financeiros; balancetes patrimoniais, demonstrações financeiras trimestrais e anuais, demonstração de resultado de exercício (DRE), atualização monetária e patrimonial, baixa patrimonial (tombamento), qualificação econômico financeira, análise de minutas contratuais, notas explicativa e relatórios mensais, trimestrais e anuais; notas de crédito e programação financeira; pagamentos diversos (custeio e investimento); análises de custos e relatórios gerenciais e painéis de custos.</w:t>
            </w:r>
          </w:p>
        </w:tc>
      </w:tr>
      <w:tr w:rsidR="00C202BB" w:rsidRPr="00252D7B" w14:paraId="1C28A45E" w14:textId="77777777" w:rsidTr="00B70821">
        <w:trPr>
          <w:trHeight w:val="1325"/>
        </w:trPr>
        <w:tc>
          <w:tcPr>
            <w:tcW w:w="1284" w:type="pct"/>
            <w:hideMark/>
          </w:tcPr>
          <w:p w14:paraId="125ED412" w14:textId="77777777" w:rsidR="00C202BB" w:rsidRPr="00252D7B" w:rsidRDefault="00C202BB" w:rsidP="00B70821">
            <w:pPr>
              <w:widowControl/>
              <w:autoSpaceDE/>
              <w:autoSpaceDN/>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 xml:space="preserve">11 Gerir Tecnologia da Informação </w:t>
            </w:r>
          </w:p>
        </w:tc>
        <w:tc>
          <w:tcPr>
            <w:tcW w:w="1645" w:type="pct"/>
            <w:hideMark/>
          </w:tcPr>
          <w:p w14:paraId="5AFA78D9" w14:textId="77777777" w:rsidR="00C202BB" w:rsidRPr="00252D7B" w:rsidRDefault="00C202BB" w:rsidP="00B70821">
            <w:pPr>
              <w:widowControl/>
              <w:autoSpaceDE/>
              <w:autoSpaceDN/>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 xml:space="preserve">11.01 Gerir Governança de TI </w:t>
            </w:r>
            <w:r w:rsidRPr="00252D7B">
              <w:rPr>
                <w:rFonts w:asciiTheme="minorHAnsi" w:eastAsia="Times New Roman" w:hAnsiTheme="minorHAnsi" w:cstheme="minorHAnsi"/>
                <w:color w:val="000000"/>
                <w:lang w:bidi="ar-SA"/>
              </w:rPr>
              <w:br/>
              <w:t xml:space="preserve">11.02 Gerir Demanda Interna de TI </w:t>
            </w:r>
            <w:r w:rsidRPr="00252D7B">
              <w:rPr>
                <w:rFonts w:asciiTheme="minorHAnsi" w:eastAsia="Times New Roman" w:hAnsiTheme="minorHAnsi" w:cstheme="minorHAnsi"/>
                <w:color w:val="000000"/>
                <w:lang w:bidi="ar-SA"/>
              </w:rPr>
              <w:br/>
              <w:t xml:space="preserve">11.03 Gerir Desenvolvimento </w:t>
            </w:r>
            <w:r w:rsidRPr="00252D7B">
              <w:rPr>
                <w:rFonts w:asciiTheme="minorHAnsi" w:eastAsia="Times New Roman" w:hAnsiTheme="minorHAnsi" w:cstheme="minorHAnsi"/>
                <w:color w:val="000000"/>
                <w:lang w:bidi="ar-SA"/>
              </w:rPr>
              <w:br/>
              <w:t>11.04 Gerir Entrega</w:t>
            </w:r>
            <w:r w:rsidRPr="00252D7B">
              <w:rPr>
                <w:rFonts w:asciiTheme="minorHAnsi" w:eastAsia="Times New Roman" w:hAnsiTheme="minorHAnsi" w:cstheme="minorHAnsi"/>
                <w:color w:val="000000"/>
                <w:lang w:bidi="ar-SA"/>
              </w:rPr>
              <w:br/>
              <w:t>11.05 Gerir Infraestrutura de TI</w:t>
            </w:r>
          </w:p>
        </w:tc>
        <w:tc>
          <w:tcPr>
            <w:tcW w:w="2071" w:type="pct"/>
            <w:hideMark/>
          </w:tcPr>
          <w:p w14:paraId="55FB1384" w14:textId="77777777" w:rsidR="00C202BB" w:rsidRPr="00252D7B" w:rsidRDefault="00C202BB" w:rsidP="00B70821">
            <w:pPr>
              <w:widowControl/>
              <w:autoSpaceDE/>
              <w:autoSpaceDN/>
              <w:rPr>
                <w:rFonts w:asciiTheme="minorHAnsi" w:eastAsia="Times New Roman" w:hAnsiTheme="minorHAnsi" w:cstheme="minorHAnsi"/>
                <w:lang w:bidi="ar-SA"/>
              </w:rPr>
            </w:pPr>
            <w:r w:rsidRPr="00252D7B">
              <w:rPr>
                <w:rFonts w:asciiTheme="minorHAnsi" w:eastAsia="Times New Roman" w:hAnsiTheme="minorHAnsi" w:cstheme="minorHAnsi"/>
                <w:lang w:bidi="ar-SA"/>
              </w:rPr>
              <w:t>Sistemas Estruturantes e não estruturantes, Sustentação da Infraestrutura de TIC, manutenção do parque tecnológico, instrução processual para aquisição/subscrição de softwares, políticas e normas de TIC.</w:t>
            </w:r>
          </w:p>
        </w:tc>
      </w:tr>
      <w:tr w:rsidR="00C202BB" w:rsidRPr="00252D7B" w14:paraId="7A8B4137" w14:textId="77777777" w:rsidTr="00B70821">
        <w:trPr>
          <w:trHeight w:val="833"/>
        </w:trPr>
        <w:tc>
          <w:tcPr>
            <w:tcW w:w="1284" w:type="pct"/>
            <w:hideMark/>
          </w:tcPr>
          <w:p w14:paraId="5E3675D3" w14:textId="77777777" w:rsidR="00C202BB" w:rsidRPr="00252D7B" w:rsidRDefault="00C202BB" w:rsidP="00B70821">
            <w:pPr>
              <w:widowControl/>
              <w:autoSpaceDE/>
              <w:autoSpaceDN/>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 xml:space="preserve">12 Gerir Logística </w:t>
            </w:r>
          </w:p>
        </w:tc>
        <w:tc>
          <w:tcPr>
            <w:tcW w:w="1645" w:type="pct"/>
            <w:hideMark/>
          </w:tcPr>
          <w:p w14:paraId="6A530B06" w14:textId="77777777" w:rsidR="00C202BB" w:rsidRPr="00252D7B" w:rsidRDefault="00C202BB" w:rsidP="00B70821">
            <w:pPr>
              <w:widowControl/>
              <w:autoSpaceDE/>
              <w:autoSpaceDN/>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12.01 Gerir bens móveis</w:t>
            </w:r>
            <w:r w:rsidRPr="00252D7B">
              <w:rPr>
                <w:rFonts w:asciiTheme="minorHAnsi" w:eastAsia="Times New Roman" w:hAnsiTheme="minorHAnsi" w:cstheme="minorHAnsi"/>
                <w:color w:val="000000"/>
                <w:lang w:bidi="ar-SA"/>
              </w:rPr>
              <w:br/>
              <w:t>12.02 Gerir os bens imóveis edificados</w:t>
            </w:r>
            <w:r w:rsidRPr="00252D7B">
              <w:rPr>
                <w:rFonts w:asciiTheme="minorHAnsi" w:eastAsia="Times New Roman" w:hAnsiTheme="minorHAnsi" w:cstheme="minorHAnsi"/>
                <w:color w:val="000000"/>
                <w:lang w:bidi="ar-SA"/>
              </w:rPr>
              <w:br/>
            </w:r>
            <w:r w:rsidRPr="00252D7B">
              <w:rPr>
                <w:rFonts w:asciiTheme="minorHAnsi" w:eastAsia="Times New Roman" w:hAnsiTheme="minorHAnsi" w:cstheme="minorHAnsi"/>
                <w:color w:val="000000"/>
                <w:lang w:bidi="ar-SA"/>
              </w:rPr>
              <w:lastRenderedPageBreak/>
              <w:t>12.03 Gerir material de consumo</w:t>
            </w:r>
            <w:r w:rsidRPr="00252D7B">
              <w:rPr>
                <w:rFonts w:asciiTheme="minorHAnsi" w:eastAsia="Times New Roman" w:hAnsiTheme="minorHAnsi" w:cstheme="minorHAnsi"/>
                <w:color w:val="000000"/>
                <w:lang w:bidi="ar-SA"/>
              </w:rPr>
              <w:br/>
              <w:t xml:space="preserve">12.04 Gerir serviços administrativos </w:t>
            </w:r>
          </w:p>
        </w:tc>
        <w:tc>
          <w:tcPr>
            <w:tcW w:w="2071" w:type="pct"/>
            <w:hideMark/>
          </w:tcPr>
          <w:p w14:paraId="0EDACA30" w14:textId="77777777" w:rsidR="00C202BB" w:rsidRPr="00252D7B" w:rsidRDefault="00C202BB" w:rsidP="00B70821">
            <w:pPr>
              <w:widowControl/>
              <w:autoSpaceDE/>
              <w:autoSpaceDN/>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lastRenderedPageBreak/>
              <w:t>Sustentação das atividades da área finalística, prover bens e serviços imprescindíveis ao funcionamento do negócio de maneira qualificada e sustentável.</w:t>
            </w:r>
          </w:p>
        </w:tc>
      </w:tr>
      <w:tr w:rsidR="00C202BB" w:rsidRPr="00252D7B" w14:paraId="5C9E3D79" w14:textId="77777777" w:rsidTr="00B70821">
        <w:trPr>
          <w:trHeight w:val="975"/>
        </w:trPr>
        <w:tc>
          <w:tcPr>
            <w:tcW w:w="1284" w:type="pct"/>
            <w:hideMark/>
          </w:tcPr>
          <w:p w14:paraId="4B51DA82" w14:textId="77777777" w:rsidR="00C202BB" w:rsidRPr="00252D7B" w:rsidRDefault="00C202BB" w:rsidP="00B70821">
            <w:pPr>
              <w:widowControl/>
              <w:autoSpaceDE/>
              <w:autoSpaceDN/>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 xml:space="preserve">13 Realizar Atuação Jurídica </w:t>
            </w:r>
          </w:p>
        </w:tc>
        <w:tc>
          <w:tcPr>
            <w:tcW w:w="1645" w:type="pct"/>
            <w:hideMark/>
          </w:tcPr>
          <w:p w14:paraId="1E388D10" w14:textId="77777777" w:rsidR="00C202BB" w:rsidRPr="00252D7B" w:rsidRDefault="00C202BB" w:rsidP="00B70821">
            <w:pPr>
              <w:widowControl/>
              <w:autoSpaceDE/>
              <w:autoSpaceDN/>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13.01 Representar Judicialmente</w:t>
            </w:r>
            <w:r w:rsidRPr="00252D7B">
              <w:rPr>
                <w:rFonts w:asciiTheme="minorHAnsi" w:eastAsia="Times New Roman" w:hAnsiTheme="minorHAnsi" w:cstheme="minorHAnsi"/>
                <w:color w:val="000000"/>
                <w:lang w:bidi="ar-SA"/>
              </w:rPr>
              <w:br/>
              <w:t>13.02 Representar Extra Judicialmente</w:t>
            </w:r>
            <w:r w:rsidRPr="00252D7B">
              <w:rPr>
                <w:rFonts w:asciiTheme="minorHAnsi" w:eastAsia="Times New Roman" w:hAnsiTheme="minorHAnsi" w:cstheme="minorHAnsi"/>
                <w:color w:val="000000"/>
                <w:lang w:bidi="ar-SA"/>
              </w:rPr>
              <w:br/>
              <w:t>13.03 Prestar Consultoria e Assessoramento Jurídico</w:t>
            </w:r>
          </w:p>
        </w:tc>
        <w:tc>
          <w:tcPr>
            <w:tcW w:w="2071" w:type="pct"/>
            <w:hideMark/>
          </w:tcPr>
          <w:p w14:paraId="7A885E80" w14:textId="77777777" w:rsidR="00C202BB" w:rsidRPr="00252D7B" w:rsidRDefault="00C202BB" w:rsidP="00B70821">
            <w:pPr>
              <w:widowControl/>
              <w:autoSpaceDE/>
              <w:autoSpaceDN/>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Petições judiciais e extrajudiciais; Pareceres, notas e outras informações jurídicas.</w:t>
            </w:r>
          </w:p>
        </w:tc>
      </w:tr>
    </w:tbl>
    <w:p w14:paraId="1785D070" w14:textId="783BF7A1" w:rsidR="005C0C13" w:rsidRPr="00252D7B" w:rsidRDefault="005C0C13" w:rsidP="00AC300B">
      <w:pPr>
        <w:rPr>
          <w:rFonts w:asciiTheme="minorHAnsi" w:hAnsiTheme="minorHAnsi" w:cstheme="minorHAnsi"/>
        </w:rPr>
      </w:pPr>
    </w:p>
    <w:p w14:paraId="2F97C750" w14:textId="678227D9" w:rsidR="00AC300B" w:rsidRPr="00252D7B" w:rsidRDefault="00AC300B">
      <w:pPr>
        <w:widowControl/>
        <w:autoSpaceDE/>
        <w:autoSpaceDN/>
        <w:spacing w:after="160" w:line="259" w:lineRule="auto"/>
        <w:rPr>
          <w:rFonts w:asciiTheme="minorHAnsi" w:hAnsiTheme="minorHAnsi" w:cstheme="minorHAnsi"/>
        </w:rPr>
      </w:pPr>
      <w:r w:rsidRPr="00252D7B">
        <w:rPr>
          <w:rFonts w:asciiTheme="minorHAnsi" w:hAnsiTheme="minorHAnsi" w:cstheme="minorHAnsi"/>
        </w:rPr>
        <w:br w:type="page"/>
      </w:r>
    </w:p>
    <w:p w14:paraId="40C8735E" w14:textId="77777777" w:rsidR="00990BA2" w:rsidRPr="00252D7B" w:rsidRDefault="00990BA2" w:rsidP="00F100A9">
      <w:pPr>
        <w:pStyle w:val="Ttulo2"/>
      </w:pPr>
      <w:bookmarkStart w:id="60" w:name="_Toc95830199"/>
      <w:bookmarkStart w:id="61" w:name="_Toc103680510"/>
      <w:r w:rsidRPr="00252D7B">
        <w:lastRenderedPageBreak/>
        <w:t>Empreendimentos ferroviários</w:t>
      </w:r>
      <w:bookmarkEnd w:id="60"/>
      <w:bookmarkEnd w:id="61"/>
    </w:p>
    <w:p w14:paraId="2AAC9B4D" w14:textId="11B33B52" w:rsidR="003C4EE5" w:rsidRPr="00252D7B" w:rsidRDefault="003C4EE5" w:rsidP="003C4EE5">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A </w:t>
      </w:r>
      <w:r w:rsidR="00610C91" w:rsidRPr="00252D7B">
        <w:rPr>
          <w:rFonts w:asciiTheme="minorHAnsi" w:hAnsiTheme="minorHAnsi" w:cstheme="minorHAnsi"/>
          <w:sz w:val="24"/>
          <w:szCs w:val="24"/>
        </w:rPr>
        <w:t>Valec</w:t>
      </w:r>
      <w:r w:rsidRPr="00252D7B">
        <w:rPr>
          <w:rFonts w:asciiTheme="minorHAnsi" w:hAnsiTheme="minorHAnsi" w:cstheme="minorHAnsi"/>
          <w:sz w:val="24"/>
          <w:szCs w:val="24"/>
        </w:rPr>
        <w:t xml:space="preserve"> tem relevante papel na ampliação da malha ferroviária e de sua infraestrutura, sendo associado ao desenvolvimento de estudos e projetos, soluções e serviços para os sistemas de transporte sobre trilhos, com impacto positivo na economia brasileira, aumentando a eficiência da matriz de transporte nacional, reduzindo os custos logísticos, além de promover a inovação e utilização de tecnologias mais sustentáveis ao meio ambiente.</w:t>
      </w:r>
    </w:p>
    <w:p w14:paraId="5E8EA720" w14:textId="689F003D" w:rsidR="004A4775" w:rsidRPr="00252D7B" w:rsidRDefault="003C4EE5" w:rsidP="003C4EE5">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Estão sob a responsabilidade da </w:t>
      </w:r>
      <w:r w:rsidR="00610C91" w:rsidRPr="00252D7B">
        <w:rPr>
          <w:rFonts w:asciiTheme="minorHAnsi" w:hAnsiTheme="minorHAnsi" w:cstheme="minorHAnsi"/>
          <w:sz w:val="24"/>
          <w:szCs w:val="24"/>
        </w:rPr>
        <w:t>Valec</w:t>
      </w:r>
      <w:r w:rsidRPr="00252D7B">
        <w:rPr>
          <w:rFonts w:asciiTheme="minorHAnsi" w:hAnsiTheme="minorHAnsi" w:cstheme="minorHAnsi"/>
          <w:sz w:val="24"/>
          <w:szCs w:val="24"/>
        </w:rPr>
        <w:t>, por meio de outorga legal, quatro ferrovias federais, a saber:</w:t>
      </w:r>
    </w:p>
    <w:p w14:paraId="21AE5A82" w14:textId="08308241" w:rsidR="004A4775" w:rsidRPr="00252D7B" w:rsidRDefault="004A4775" w:rsidP="00CC191F">
      <w:pPr>
        <w:pStyle w:val="PargrafodaLista"/>
        <w:numPr>
          <w:ilvl w:val="0"/>
          <w:numId w:val="4"/>
        </w:numPr>
        <w:spacing w:before="145"/>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EF</w:t>
      </w:r>
      <w:r w:rsidR="005E14B0" w:rsidRPr="00252D7B">
        <w:rPr>
          <w:rStyle w:val="jsgrdq"/>
          <w:rFonts w:asciiTheme="minorHAnsi" w:hAnsiTheme="minorHAnsi" w:cstheme="minorHAnsi"/>
          <w:sz w:val="24"/>
          <w:szCs w:val="24"/>
        </w:rPr>
        <w:t>-</w:t>
      </w:r>
      <w:r w:rsidRPr="00252D7B">
        <w:rPr>
          <w:rStyle w:val="jsgrdq"/>
          <w:rFonts w:asciiTheme="minorHAnsi" w:hAnsiTheme="minorHAnsi" w:cstheme="minorHAnsi"/>
          <w:sz w:val="24"/>
          <w:szCs w:val="24"/>
        </w:rPr>
        <w:t xml:space="preserve">151 (Ferrovia Norte-Sul, Trecho: Belém/PA - Panorama/SP); </w:t>
      </w:r>
    </w:p>
    <w:p w14:paraId="38D2E593" w14:textId="50954569" w:rsidR="004A4775" w:rsidRPr="00252D7B" w:rsidRDefault="004A4775" w:rsidP="00CC191F">
      <w:pPr>
        <w:pStyle w:val="PargrafodaLista"/>
        <w:numPr>
          <w:ilvl w:val="0"/>
          <w:numId w:val="4"/>
        </w:numPr>
        <w:spacing w:before="145"/>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EF</w:t>
      </w:r>
      <w:r w:rsidR="005E14B0" w:rsidRPr="00252D7B">
        <w:rPr>
          <w:rStyle w:val="jsgrdq"/>
          <w:rFonts w:asciiTheme="minorHAnsi" w:hAnsiTheme="minorHAnsi" w:cstheme="minorHAnsi"/>
          <w:sz w:val="24"/>
          <w:szCs w:val="24"/>
        </w:rPr>
        <w:t>-</w:t>
      </w:r>
      <w:r w:rsidRPr="00252D7B">
        <w:rPr>
          <w:rStyle w:val="jsgrdq"/>
          <w:rFonts w:asciiTheme="minorHAnsi" w:hAnsiTheme="minorHAnsi" w:cstheme="minorHAnsi"/>
          <w:sz w:val="24"/>
          <w:szCs w:val="24"/>
        </w:rPr>
        <w:t xml:space="preserve">334 (Ferrovia de Integração Oeste-Leste); </w:t>
      </w:r>
    </w:p>
    <w:p w14:paraId="0DBE02A9" w14:textId="1E551F4C" w:rsidR="004A4775" w:rsidRPr="00252D7B" w:rsidRDefault="004A4775" w:rsidP="00CC191F">
      <w:pPr>
        <w:pStyle w:val="PargrafodaLista"/>
        <w:numPr>
          <w:ilvl w:val="0"/>
          <w:numId w:val="4"/>
        </w:numPr>
        <w:spacing w:before="145"/>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EF</w:t>
      </w:r>
      <w:r w:rsidR="005E14B0" w:rsidRPr="00252D7B">
        <w:rPr>
          <w:rStyle w:val="jsgrdq"/>
          <w:rFonts w:asciiTheme="minorHAnsi" w:hAnsiTheme="minorHAnsi" w:cstheme="minorHAnsi"/>
          <w:sz w:val="24"/>
          <w:szCs w:val="24"/>
        </w:rPr>
        <w:t>-</w:t>
      </w:r>
      <w:r w:rsidRPr="00252D7B">
        <w:rPr>
          <w:rStyle w:val="jsgrdq"/>
          <w:rFonts w:asciiTheme="minorHAnsi" w:hAnsiTheme="minorHAnsi" w:cstheme="minorHAnsi"/>
          <w:sz w:val="24"/>
          <w:szCs w:val="24"/>
        </w:rPr>
        <w:t>354 (Ferrovia Transcontinental/Ferrovia de Integração Centro Oeste);</w:t>
      </w:r>
    </w:p>
    <w:p w14:paraId="4D78C118" w14:textId="45DA7EEA" w:rsidR="004A4775" w:rsidRPr="00252D7B" w:rsidRDefault="004A4775" w:rsidP="00CC191F">
      <w:pPr>
        <w:pStyle w:val="PargrafodaLista"/>
        <w:numPr>
          <w:ilvl w:val="0"/>
          <w:numId w:val="4"/>
        </w:numPr>
        <w:spacing w:before="145"/>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EF</w:t>
      </w:r>
      <w:r w:rsidR="005E14B0" w:rsidRPr="00252D7B">
        <w:rPr>
          <w:rStyle w:val="jsgrdq"/>
          <w:rFonts w:asciiTheme="minorHAnsi" w:hAnsiTheme="minorHAnsi" w:cstheme="minorHAnsi"/>
          <w:sz w:val="24"/>
          <w:szCs w:val="24"/>
        </w:rPr>
        <w:t>-</w:t>
      </w:r>
      <w:r w:rsidRPr="00252D7B">
        <w:rPr>
          <w:rStyle w:val="jsgrdq"/>
          <w:rFonts w:asciiTheme="minorHAnsi" w:hAnsiTheme="minorHAnsi" w:cstheme="minorHAnsi"/>
          <w:sz w:val="24"/>
          <w:szCs w:val="24"/>
        </w:rPr>
        <w:t>267 (Ferrovia do Pantanal).</w:t>
      </w:r>
    </w:p>
    <w:p w14:paraId="6F2DE25E" w14:textId="11D5AA4F" w:rsidR="0088733F" w:rsidRPr="00252D7B" w:rsidRDefault="0088733F" w:rsidP="00AC300B">
      <w:pPr>
        <w:pStyle w:val="PargrafodaLista"/>
        <w:tabs>
          <w:tab w:val="left" w:pos="426"/>
        </w:tabs>
        <w:spacing w:before="120" w:after="120"/>
        <w:ind w:left="426" w:right="2514" w:hanging="426"/>
        <w:rPr>
          <w:rFonts w:asciiTheme="minorHAnsi" w:hAnsiTheme="minorHAnsi" w:cstheme="minorHAnsi"/>
          <w:sz w:val="24"/>
          <w:szCs w:val="24"/>
        </w:rPr>
      </w:pPr>
    </w:p>
    <w:p w14:paraId="4CF35996" w14:textId="77777777" w:rsidR="00CF6DA7" w:rsidRPr="00252D7B" w:rsidRDefault="00CF6DA7" w:rsidP="00AC300B">
      <w:pPr>
        <w:pStyle w:val="PargrafodaLista"/>
        <w:tabs>
          <w:tab w:val="left" w:pos="426"/>
        </w:tabs>
        <w:spacing w:before="120" w:after="120"/>
        <w:ind w:left="426" w:right="2514" w:hanging="426"/>
        <w:rPr>
          <w:rFonts w:asciiTheme="minorHAnsi" w:hAnsiTheme="minorHAnsi" w:cstheme="minorHAnsi"/>
          <w:sz w:val="24"/>
          <w:szCs w:val="24"/>
        </w:rPr>
      </w:pPr>
    </w:p>
    <w:p w14:paraId="6C925406" w14:textId="373C0571" w:rsidR="00126EE4" w:rsidRPr="00252D7B" w:rsidRDefault="00126EE4" w:rsidP="00126EE4">
      <w:pPr>
        <w:pStyle w:val="Ttulo3"/>
        <w:rPr>
          <w:rFonts w:asciiTheme="minorHAnsi" w:hAnsiTheme="minorHAnsi" w:cstheme="minorHAnsi"/>
        </w:rPr>
      </w:pPr>
      <w:bookmarkStart w:id="62" w:name="_Toc103680511"/>
      <w:r w:rsidRPr="00252D7B">
        <w:rPr>
          <w:rFonts w:asciiTheme="minorHAnsi" w:hAnsiTheme="minorHAnsi" w:cstheme="minorHAnsi"/>
        </w:rPr>
        <w:t>EF</w:t>
      </w:r>
      <w:r w:rsidR="005E14B0" w:rsidRPr="00252D7B">
        <w:rPr>
          <w:rFonts w:asciiTheme="minorHAnsi" w:hAnsiTheme="minorHAnsi" w:cstheme="minorHAnsi"/>
        </w:rPr>
        <w:t>-</w:t>
      </w:r>
      <w:r w:rsidRPr="00252D7B">
        <w:rPr>
          <w:rFonts w:asciiTheme="minorHAnsi" w:hAnsiTheme="minorHAnsi" w:cstheme="minorHAnsi"/>
        </w:rPr>
        <w:t xml:space="preserve">151 </w:t>
      </w:r>
      <w:r w:rsidR="00192771" w:rsidRPr="00252D7B">
        <w:rPr>
          <w:rFonts w:asciiTheme="minorHAnsi" w:hAnsiTheme="minorHAnsi" w:cstheme="minorHAnsi"/>
        </w:rPr>
        <w:t>(</w:t>
      </w:r>
      <w:r w:rsidRPr="00252D7B">
        <w:rPr>
          <w:rFonts w:asciiTheme="minorHAnsi" w:hAnsiTheme="minorHAnsi" w:cstheme="minorHAnsi"/>
        </w:rPr>
        <w:t>Ferrovia Norte-Sul)</w:t>
      </w:r>
      <w:bookmarkEnd w:id="62"/>
    </w:p>
    <w:p w14:paraId="6FD215DF" w14:textId="1E9977C6" w:rsidR="00C263CC" w:rsidRPr="00252D7B" w:rsidRDefault="00C263CC" w:rsidP="00D351E3">
      <w:pPr>
        <w:pStyle w:val="Corpodetexto"/>
        <w:spacing w:before="120"/>
        <w:ind w:right="38"/>
        <w:jc w:val="both"/>
        <w:rPr>
          <w:rFonts w:asciiTheme="minorHAnsi" w:hAnsiTheme="minorHAnsi" w:cstheme="minorHAnsi"/>
          <w:sz w:val="24"/>
          <w:szCs w:val="24"/>
        </w:rPr>
      </w:pPr>
      <w:r w:rsidRPr="00252D7B">
        <w:rPr>
          <w:rFonts w:asciiTheme="minorHAnsi" w:hAnsiTheme="minorHAnsi" w:cstheme="minorHAnsi"/>
          <w:sz w:val="24"/>
          <w:szCs w:val="24"/>
        </w:rPr>
        <w:t>A construção da Ferrovia Norte-Sul – FNS teve início em 1987 com um traçado inicial de aproximadamente 1.550 km de extensão, entre Açailândia/MA e Anápolis/GO, passando pelos estados do Maranhão e Tocantins (Tramo Norte) e ampliado até Estrela D´Oeste/SP (Tramo Central e Extensão Sul).</w:t>
      </w:r>
    </w:p>
    <w:p w14:paraId="02A18A12" w14:textId="4318782C" w:rsidR="00D10FD2" w:rsidRPr="00252D7B" w:rsidRDefault="00D10FD2" w:rsidP="00215312">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Atualmente a FNS encontra-se subconcedida à iniciativa privada. O Tramo Norte, trecho com extensão de 720Km entre Açailândia/MA e Porto Nacional/TO, é operada pela FNS S.A. desde 2007. Já os trechos Tramo Central e Extensão Sul, de 1.537 Km entre Porto Nacional/TO e Estrela D’Oeste/SP, foi subconcedido à empresa Rumo Malha Central S.A em julho de 2019. Nesse sentido, a atuação da empresa se restringe ao monitoramento da prestação do serviço público de transporte, captação de receitas provenientes dos ativos ferroviários, bem como em atividades de meio ambiente e desapropriação que ainda se encontram sob a responsabilidade da </w:t>
      </w:r>
      <w:r w:rsidR="00610C91" w:rsidRPr="00252D7B">
        <w:rPr>
          <w:rFonts w:asciiTheme="minorHAnsi" w:hAnsiTheme="minorHAnsi" w:cstheme="minorHAnsi"/>
          <w:sz w:val="24"/>
          <w:szCs w:val="24"/>
        </w:rPr>
        <w:t>Valec</w:t>
      </w:r>
      <w:r w:rsidRPr="00252D7B">
        <w:rPr>
          <w:rFonts w:asciiTheme="minorHAnsi" w:hAnsiTheme="minorHAnsi" w:cstheme="minorHAnsi"/>
          <w:sz w:val="24"/>
          <w:szCs w:val="24"/>
        </w:rPr>
        <w:t>.</w:t>
      </w:r>
    </w:p>
    <w:p w14:paraId="026915D8" w14:textId="0A3A9043" w:rsidR="00126EE4" w:rsidRPr="00252D7B" w:rsidRDefault="00D10FD2" w:rsidP="00215312">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Em relação às atividades desenvolvidas no âmbito da gestão fundiária e ambiental cabe relatar que foram realizados trabalhos voltados à resolução de passivos cartorários e judiciais para regularização de áreas sem registro, bem como a manutenção da Licença de Operação 1381/07 referente ao Tramo Norte da Ferrovia, em tratativas para transferência à subconcessionária responsável pelo trecho.</w:t>
      </w:r>
    </w:p>
    <w:p w14:paraId="47C2601E" w14:textId="2AF59726" w:rsidR="00D10FD2" w:rsidRPr="00252D7B" w:rsidRDefault="00D10FD2" w:rsidP="00D10FD2">
      <w:pPr>
        <w:jc w:val="both"/>
        <w:rPr>
          <w:rFonts w:asciiTheme="minorHAnsi" w:hAnsiTheme="minorHAnsi" w:cstheme="minorHAnsi"/>
          <w:sz w:val="24"/>
          <w:szCs w:val="24"/>
        </w:rPr>
      </w:pPr>
    </w:p>
    <w:p w14:paraId="2AB451E4" w14:textId="77777777" w:rsidR="00AC300B" w:rsidRPr="00252D7B" w:rsidRDefault="00AC300B" w:rsidP="00D10FD2">
      <w:pPr>
        <w:jc w:val="both"/>
        <w:rPr>
          <w:rFonts w:asciiTheme="minorHAnsi" w:hAnsiTheme="minorHAnsi" w:cstheme="minorHAnsi"/>
          <w:sz w:val="24"/>
          <w:szCs w:val="24"/>
        </w:rPr>
      </w:pPr>
    </w:p>
    <w:p w14:paraId="61F35FBF" w14:textId="496A27B6" w:rsidR="00126EE4" w:rsidRPr="00252D7B" w:rsidRDefault="00126EE4" w:rsidP="00126EE4">
      <w:pPr>
        <w:pStyle w:val="Ttulo3"/>
        <w:rPr>
          <w:rFonts w:asciiTheme="minorHAnsi" w:hAnsiTheme="minorHAnsi" w:cstheme="minorHAnsi"/>
        </w:rPr>
      </w:pPr>
      <w:bookmarkStart w:id="63" w:name="_Toc103680512"/>
      <w:r w:rsidRPr="00252D7B">
        <w:rPr>
          <w:rFonts w:asciiTheme="minorHAnsi" w:hAnsiTheme="minorHAnsi" w:cstheme="minorHAnsi"/>
        </w:rPr>
        <w:t>EF</w:t>
      </w:r>
      <w:r w:rsidR="005E14B0" w:rsidRPr="00252D7B">
        <w:rPr>
          <w:rFonts w:asciiTheme="minorHAnsi" w:hAnsiTheme="minorHAnsi" w:cstheme="minorHAnsi"/>
        </w:rPr>
        <w:t>-</w:t>
      </w:r>
      <w:r w:rsidRPr="00252D7B">
        <w:rPr>
          <w:rFonts w:asciiTheme="minorHAnsi" w:hAnsiTheme="minorHAnsi" w:cstheme="minorHAnsi"/>
        </w:rPr>
        <w:t xml:space="preserve">334 </w:t>
      </w:r>
      <w:r w:rsidR="00A26402" w:rsidRPr="00252D7B">
        <w:rPr>
          <w:rFonts w:asciiTheme="minorHAnsi" w:hAnsiTheme="minorHAnsi" w:cstheme="minorHAnsi"/>
        </w:rPr>
        <w:t>(</w:t>
      </w:r>
      <w:r w:rsidRPr="00252D7B">
        <w:rPr>
          <w:rFonts w:asciiTheme="minorHAnsi" w:hAnsiTheme="minorHAnsi" w:cstheme="minorHAnsi"/>
        </w:rPr>
        <w:t>Ferrovia de Integração Oeste-Leste)</w:t>
      </w:r>
      <w:bookmarkEnd w:id="63"/>
    </w:p>
    <w:p w14:paraId="3CD53E53" w14:textId="77777777" w:rsidR="00CD231B" w:rsidRPr="00252D7B" w:rsidRDefault="00CD231B" w:rsidP="00215312">
      <w:pPr>
        <w:spacing w:before="120" w:after="120"/>
        <w:jc w:val="both"/>
        <w:rPr>
          <w:rFonts w:asciiTheme="minorHAnsi" w:hAnsiTheme="minorHAnsi" w:cstheme="minorHAnsi"/>
          <w:color w:val="000000" w:themeColor="text1"/>
          <w:sz w:val="24"/>
          <w:szCs w:val="24"/>
        </w:rPr>
      </w:pPr>
      <w:r w:rsidRPr="00252D7B">
        <w:rPr>
          <w:rFonts w:asciiTheme="minorHAnsi" w:hAnsiTheme="minorHAnsi" w:cstheme="minorHAnsi"/>
          <w:color w:val="000000" w:themeColor="text1"/>
          <w:sz w:val="24"/>
          <w:szCs w:val="24"/>
        </w:rPr>
        <w:t>Com aproximadamente 1500 km de extensão, a Ferrovia de Integração Oeste Leste – FIOL ligará o futuro porto de Ilhéus/BA a Figueirópolis/TO, ponto em que se conectará com a Ferrovia Norte Sul.</w:t>
      </w:r>
    </w:p>
    <w:p w14:paraId="5BC4C5A6" w14:textId="77777777" w:rsidR="00CD231B" w:rsidRPr="00252D7B" w:rsidRDefault="00CD231B" w:rsidP="00215312">
      <w:pPr>
        <w:spacing w:before="120" w:after="120"/>
        <w:jc w:val="both"/>
        <w:rPr>
          <w:rFonts w:asciiTheme="minorHAnsi" w:hAnsiTheme="minorHAnsi" w:cstheme="minorHAnsi"/>
          <w:color w:val="000000" w:themeColor="text1"/>
          <w:sz w:val="24"/>
          <w:szCs w:val="24"/>
        </w:rPr>
      </w:pPr>
      <w:r w:rsidRPr="00252D7B">
        <w:rPr>
          <w:rFonts w:asciiTheme="minorHAnsi" w:hAnsiTheme="minorHAnsi" w:cstheme="minorHAnsi"/>
          <w:color w:val="000000" w:themeColor="text1"/>
          <w:sz w:val="24"/>
          <w:szCs w:val="24"/>
        </w:rPr>
        <w:t>Para sua implantação, o empreendimento FIOL foi dividido em três trechos, a saber:</w:t>
      </w:r>
    </w:p>
    <w:p w14:paraId="26DF66CB" w14:textId="77777777" w:rsidR="00CD231B" w:rsidRPr="00252D7B" w:rsidRDefault="00CD231B" w:rsidP="00CC191F">
      <w:pPr>
        <w:pStyle w:val="PargrafodaLista"/>
        <w:numPr>
          <w:ilvl w:val="0"/>
          <w:numId w:val="4"/>
        </w:numPr>
        <w:spacing w:before="120" w:after="120"/>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FIOL I (Ilhéus/BA a Caetité/BA);</w:t>
      </w:r>
    </w:p>
    <w:p w14:paraId="63774C64" w14:textId="77777777" w:rsidR="00CD231B" w:rsidRPr="00252D7B" w:rsidRDefault="00CD231B" w:rsidP="00CC191F">
      <w:pPr>
        <w:pStyle w:val="PargrafodaLista"/>
        <w:numPr>
          <w:ilvl w:val="0"/>
          <w:numId w:val="4"/>
        </w:numPr>
        <w:spacing w:before="120" w:after="120"/>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FIOL II (Caetité/BA a Barreiras/BA), e</w:t>
      </w:r>
    </w:p>
    <w:p w14:paraId="72BA7F94" w14:textId="77777777" w:rsidR="00CD231B" w:rsidRPr="00252D7B" w:rsidRDefault="00CD231B" w:rsidP="00CC191F">
      <w:pPr>
        <w:pStyle w:val="PargrafodaLista"/>
        <w:numPr>
          <w:ilvl w:val="0"/>
          <w:numId w:val="4"/>
        </w:numPr>
        <w:spacing w:before="120" w:after="120"/>
        <w:ind w:left="992" w:hanging="357"/>
        <w:contextualSpacing w:val="0"/>
        <w:jc w:val="both"/>
        <w:rPr>
          <w:rFonts w:asciiTheme="minorHAnsi" w:hAnsiTheme="minorHAnsi" w:cstheme="minorHAnsi"/>
          <w:color w:val="000000" w:themeColor="text1"/>
          <w:sz w:val="24"/>
          <w:szCs w:val="24"/>
        </w:rPr>
      </w:pPr>
      <w:r w:rsidRPr="00252D7B">
        <w:rPr>
          <w:rStyle w:val="jsgrdq"/>
          <w:rFonts w:asciiTheme="minorHAnsi" w:hAnsiTheme="minorHAnsi" w:cstheme="minorHAnsi"/>
          <w:sz w:val="24"/>
          <w:szCs w:val="24"/>
        </w:rPr>
        <w:t>FIOL III (Barreiras/BA a Figueirópolis/TO).</w:t>
      </w:r>
    </w:p>
    <w:p w14:paraId="62C75A0C" w14:textId="77777777" w:rsidR="00CD231B" w:rsidRPr="00252D7B" w:rsidRDefault="00CD231B" w:rsidP="00215312">
      <w:pPr>
        <w:spacing w:before="120" w:after="120"/>
        <w:jc w:val="both"/>
        <w:rPr>
          <w:rFonts w:asciiTheme="minorHAnsi" w:hAnsiTheme="minorHAnsi" w:cstheme="minorHAnsi"/>
          <w:color w:val="000000" w:themeColor="text1"/>
          <w:sz w:val="24"/>
          <w:szCs w:val="24"/>
        </w:rPr>
      </w:pPr>
    </w:p>
    <w:p w14:paraId="77BD3624" w14:textId="38872170" w:rsidR="00CD231B" w:rsidRPr="00252D7B" w:rsidRDefault="00CD231B" w:rsidP="00215312">
      <w:pPr>
        <w:spacing w:before="120" w:after="120"/>
        <w:jc w:val="both"/>
        <w:rPr>
          <w:rFonts w:asciiTheme="minorHAnsi" w:hAnsiTheme="minorHAnsi" w:cstheme="minorHAnsi"/>
          <w:color w:val="000000" w:themeColor="text1"/>
          <w:sz w:val="24"/>
          <w:szCs w:val="24"/>
        </w:rPr>
      </w:pPr>
      <w:r w:rsidRPr="00252D7B">
        <w:rPr>
          <w:rFonts w:asciiTheme="minorHAnsi" w:hAnsiTheme="minorHAnsi" w:cstheme="minorHAnsi"/>
          <w:color w:val="000000" w:themeColor="text1"/>
          <w:sz w:val="24"/>
          <w:szCs w:val="24"/>
        </w:rPr>
        <w:lastRenderedPageBreak/>
        <w:t xml:space="preserve">O trecho denominado FIOL I encontra-se subconcedido desde o leilão ocorrido em 08/04/2021. O ativo foi arrematado pela empresa </w:t>
      </w:r>
      <w:r w:rsidR="0030527B">
        <w:rPr>
          <w:rFonts w:asciiTheme="minorHAnsi" w:hAnsiTheme="minorHAnsi" w:cstheme="minorHAnsi"/>
          <w:color w:val="000000" w:themeColor="text1"/>
          <w:sz w:val="24"/>
          <w:szCs w:val="24"/>
        </w:rPr>
        <w:t>Bahia Mineração S.A.</w:t>
      </w:r>
      <w:r w:rsidRPr="00252D7B">
        <w:rPr>
          <w:rFonts w:asciiTheme="minorHAnsi" w:hAnsiTheme="minorHAnsi" w:cstheme="minorHAnsi"/>
          <w:color w:val="000000" w:themeColor="text1"/>
          <w:sz w:val="24"/>
          <w:szCs w:val="24"/>
        </w:rPr>
        <w:t>, com 74,6% de avanço físico, pelo valor da outorga de R$ 32,7 milhões com previsão de investimentos da ordem de R$ 3,3 bilhões, sendo R$ 1,6 bilhões na conclusão das obras. O Contrato da subconcessão foi assinado em 02/09/2021.</w:t>
      </w:r>
    </w:p>
    <w:p w14:paraId="30D2FA24" w14:textId="07264860" w:rsidR="00CD231B" w:rsidRPr="00252D7B" w:rsidRDefault="00CD231B" w:rsidP="00215312">
      <w:pPr>
        <w:spacing w:before="120" w:after="120"/>
        <w:jc w:val="both"/>
        <w:rPr>
          <w:rFonts w:asciiTheme="minorHAnsi" w:hAnsiTheme="minorHAnsi" w:cstheme="minorHAnsi"/>
          <w:color w:val="000000" w:themeColor="text1"/>
          <w:sz w:val="24"/>
          <w:szCs w:val="24"/>
        </w:rPr>
      </w:pPr>
      <w:r w:rsidRPr="00252D7B">
        <w:rPr>
          <w:rFonts w:asciiTheme="minorHAnsi" w:hAnsiTheme="minorHAnsi" w:cstheme="minorHAnsi"/>
          <w:color w:val="000000" w:themeColor="text1"/>
          <w:sz w:val="24"/>
          <w:szCs w:val="24"/>
        </w:rPr>
        <w:t xml:space="preserve">O trecho denominado FIOL II, com 485 km de extensão, encontra-se em fase de construção e é subdividido entre os lotes </w:t>
      </w:r>
      <w:r w:rsidR="00044743">
        <w:rPr>
          <w:rFonts w:asciiTheme="minorHAnsi" w:hAnsiTheme="minorHAnsi" w:cstheme="minorHAnsi"/>
          <w:color w:val="000000" w:themeColor="text1"/>
          <w:sz w:val="24"/>
          <w:szCs w:val="24"/>
        </w:rPr>
        <w:t>0</w:t>
      </w:r>
      <w:r w:rsidR="003E61E1">
        <w:rPr>
          <w:rFonts w:asciiTheme="minorHAnsi" w:hAnsiTheme="minorHAnsi" w:cstheme="minorHAnsi"/>
          <w:color w:val="000000" w:themeColor="text1"/>
          <w:sz w:val="24"/>
          <w:szCs w:val="24"/>
        </w:rPr>
        <w:t>5F</w:t>
      </w:r>
      <w:r w:rsidRPr="00252D7B">
        <w:rPr>
          <w:rFonts w:asciiTheme="minorHAnsi" w:hAnsiTheme="minorHAnsi" w:cstheme="minorHAnsi"/>
          <w:color w:val="000000" w:themeColor="text1"/>
          <w:sz w:val="24"/>
          <w:szCs w:val="24"/>
        </w:rPr>
        <w:t xml:space="preserve">, </w:t>
      </w:r>
      <w:r w:rsidR="00044743">
        <w:rPr>
          <w:rFonts w:asciiTheme="minorHAnsi" w:hAnsiTheme="minorHAnsi" w:cstheme="minorHAnsi"/>
          <w:color w:val="000000" w:themeColor="text1"/>
          <w:sz w:val="24"/>
          <w:szCs w:val="24"/>
        </w:rPr>
        <w:t>0</w:t>
      </w:r>
      <w:r w:rsidR="003E61E1">
        <w:rPr>
          <w:rFonts w:asciiTheme="minorHAnsi" w:hAnsiTheme="minorHAnsi" w:cstheme="minorHAnsi"/>
          <w:color w:val="000000" w:themeColor="text1"/>
          <w:sz w:val="24"/>
          <w:szCs w:val="24"/>
        </w:rPr>
        <w:t>5F</w:t>
      </w:r>
      <w:r w:rsidRPr="00252D7B">
        <w:rPr>
          <w:rFonts w:asciiTheme="minorHAnsi" w:hAnsiTheme="minorHAnsi" w:cstheme="minorHAnsi"/>
          <w:color w:val="000000" w:themeColor="text1"/>
          <w:sz w:val="24"/>
          <w:szCs w:val="24"/>
        </w:rPr>
        <w:t xml:space="preserve">A (Ponte sobre o Rio São Francisco), </w:t>
      </w:r>
      <w:r w:rsidR="00044743">
        <w:rPr>
          <w:rFonts w:asciiTheme="minorHAnsi" w:hAnsiTheme="minorHAnsi" w:cstheme="minorHAnsi"/>
          <w:color w:val="000000" w:themeColor="text1"/>
          <w:sz w:val="24"/>
          <w:szCs w:val="24"/>
        </w:rPr>
        <w:t>0</w:t>
      </w:r>
      <w:r w:rsidR="003E61E1">
        <w:rPr>
          <w:rFonts w:asciiTheme="minorHAnsi" w:hAnsiTheme="minorHAnsi" w:cstheme="minorHAnsi"/>
          <w:color w:val="000000" w:themeColor="text1"/>
          <w:sz w:val="24"/>
          <w:szCs w:val="24"/>
        </w:rPr>
        <w:t>6F</w:t>
      </w:r>
      <w:r w:rsidRPr="00252D7B">
        <w:rPr>
          <w:rFonts w:asciiTheme="minorHAnsi" w:hAnsiTheme="minorHAnsi" w:cstheme="minorHAnsi"/>
          <w:color w:val="000000" w:themeColor="text1"/>
          <w:sz w:val="24"/>
          <w:szCs w:val="24"/>
        </w:rPr>
        <w:t xml:space="preserve"> e </w:t>
      </w:r>
      <w:r w:rsidR="00044743">
        <w:rPr>
          <w:rFonts w:asciiTheme="minorHAnsi" w:hAnsiTheme="minorHAnsi" w:cstheme="minorHAnsi"/>
          <w:color w:val="000000" w:themeColor="text1"/>
          <w:sz w:val="24"/>
          <w:szCs w:val="24"/>
        </w:rPr>
        <w:t>0</w:t>
      </w:r>
      <w:r w:rsidR="003E61E1">
        <w:rPr>
          <w:rFonts w:asciiTheme="minorHAnsi" w:hAnsiTheme="minorHAnsi" w:cstheme="minorHAnsi"/>
          <w:color w:val="000000" w:themeColor="text1"/>
          <w:sz w:val="24"/>
          <w:szCs w:val="24"/>
        </w:rPr>
        <w:t>7F</w:t>
      </w:r>
      <w:r w:rsidRPr="00252D7B">
        <w:rPr>
          <w:rFonts w:asciiTheme="minorHAnsi" w:hAnsiTheme="minorHAnsi" w:cstheme="minorHAnsi"/>
          <w:color w:val="000000" w:themeColor="text1"/>
          <w:sz w:val="24"/>
          <w:szCs w:val="24"/>
        </w:rPr>
        <w:t xml:space="preserve">. O projeto será expandido até a Ferrovia Norte-Sul por meio da futura construção da FIOL III. A </w:t>
      </w:r>
      <w:r w:rsidR="005E7310" w:rsidRPr="00252D7B">
        <w:rPr>
          <w:rFonts w:asciiTheme="minorHAnsi" w:hAnsiTheme="minorHAnsi" w:cstheme="minorHAnsi"/>
          <w:color w:val="000000" w:themeColor="text1"/>
          <w:sz w:val="24"/>
          <w:szCs w:val="24"/>
        </w:rPr>
        <w:t>Figura 5</w:t>
      </w:r>
      <w:r w:rsidRPr="00252D7B">
        <w:rPr>
          <w:rFonts w:asciiTheme="minorHAnsi" w:hAnsiTheme="minorHAnsi" w:cstheme="minorHAnsi"/>
          <w:color w:val="000000" w:themeColor="text1"/>
          <w:sz w:val="24"/>
          <w:szCs w:val="24"/>
        </w:rPr>
        <w:t xml:space="preserve"> apresenta as informações relativas a cada um dos lotes que compõem a FIOL I e II.</w:t>
      </w:r>
    </w:p>
    <w:p w14:paraId="727CFCDA" w14:textId="77777777" w:rsidR="00FC5D13" w:rsidRPr="00252D7B" w:rsidRDefault="00FC5D13" w:rsidP="003A7523">
      <w:pPr>
        <w:jc w:val="both"/>
        <w:rPr>
          <w:rFonts w:asciiTheme="minorHAnsi" w:hAnsiTheme="minorHAnsi" w:cstheme="minorHAnsi"/>
          <w:color w:val="000000" w:themeColor="text1"/>
        </w:rPr>
      </w:pPr>
    </w:p>
    <w:p w14:paraId="1AECC6A2" w14:textId="11411EDC" w:rsidR="00126EE4" w:rsidRPr="00252D7B" w:rsidRDefault="00126EE4" w:rsidP="001E77E3">
      <w:pPr>
        <w:pStyle w:val="Legenda"/>
        <w:jc w:val="center"/>
        <w:rPr>
          <w:rFonts w:asciiTheme="minorHAnsi" w:hAnsiTheme="minorHAnsi" w:cstheme="minorHAnsi"/>
          <w:sz w:val="20"/>
          <w:szCs w:val="20"/>
        </w:rPr>
      </w:pPr>
      <w:bookmarkStart w:id="64" w:name="_Toc103680741"/>
      <w:r w:rsidRPr="00252D7B">
        <w:rPr>
          <w:rFonts w:asciiTheme="minorHAnsi" w:hAnsiTheme="minorHAnsi" w:cstheme="minorHAnsi"/>
          <w:sz w:val="20"/>
          <w:szCs w:val="20"/>
        </w:rPr>
        <w:t xml:space="preserve">Figura </w:t>
      </w:r>
      <w:r w:rsidR="00F46BDB" w:rsidRPr="00252D7B">
        <w:rPr>
          <w:rFonts w:asciiTheme="minorHAnsi" w:hAnsiTheme="minorHAnsi" w:cstheme="minorHAnsi"/>
          <w:sz w:val="20"/>
          <w:szCs w:val="20"/>
        </w:rPr>
        <w:fldChar w:fldCharType="begin"/>
      </w:r>
      <w:r w:rsidR="00F46BDB" w:rsidRPr="00252D7B">
        <w:rPr>
          <w:rFonts w:asciiTheme="minorHAnsi" w:hAnsiTheme="minorHAnsi" w:cstheme="minorHAnsi"/>
          <w:sz w:val="20"/>
          <w:szCs w:val="20"/>
        </w:rPr>
        <w:instrText xml:space="preserve"> SEQ Figura \* ARABIC </w:instrText>
      </w:r>
      <w:r w:rsidR="00F46BDB"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5</w:t>
      </w:r>
      <w:r w:rsidR="00F46BDB" w:rsidRPr="00252D7B">
        <w:rPr>
          <w:rFonts w:asciiTheme="minorHAnsi" w:hAnsiTheme="minorHAnsi" w:cstheme="minorHAnsi"/>
          <w:sz w:val="20"/>
          <w:szCs w:val="20"/>
        </w:rPr>
        <w:fldChar w:fldCharType="end"/>
      </w:r>
      <w:r w:rsidRPr="00252D7B">
        <w:rPr>
          <w:rFonts w:asciiTheme="minorHAnsi" w:hAnsiTheme="minorHAnsi" w:cstheme="minorHAnsi"/>
          <w:sz w:val="20"/>
          <w:szCs w:val="20"/>
        </w:rPr>
        <w:t xml:space="preserve"> </w:t>
      </w:r>
      <w:r w:rsidR="000118B9" w:rsidRPr="00252D7B">
        <w:rPr>
          <w:rFonts w:asciiTheme="minorHAnsi" w:hAnsiTheme="minorHAnsi" w:cstheme="minorHAnsi"/>
          <w:sz w:val="20"/>
          <w:szCs w:val="20"/>
        </w:rPr>
        <w:t>–</w:t>
      </w:r>
      <w:r w:rsidRPr="00252D7B">
        <w:rPr>
          <w:rFonts w:asciiTheme="minorHAnsi" w:hAnsiTheme="minorHAnsi" w:cstheme="minorHAnsi"/>
          <w:sz w:val="20"/>
          <w:szCs w:val="20"/>
        </w:rPr>
        <w:t xml:space="preserve"> </w:t>
      </w:r>
      <w:r w:rsidR="00FC5D13" w:rsidRPr="00252D7B">
        <w:rPr>
          <w:rFonts w:asciiTheme="minorHAnsi" w:hAnsiTheme="minorHAnsi" w:cstheme="minorHAnsi"/>
          <w:sz w:val="20"/>
          <w:szCs w:val="20"/>
        </w:rPr>
        <w:t>Ferrovia de Integração Oeste-Leste – FIOL</w:t>
      </w:r>
      <w:bookmarkEnd w:id="64"/>
    </w:p>
    <w:p w14:paraId="088CFECF" w14:textId="77777777" w:rsidR="00126EE4" w:rsidRPr="00252D7B" w:rsidRDefault="00126EE4" w:rsidP="00126EE4">
      <w:pPr>
        <w:spacing w:before="120" w:after="120"/>
        <w:jc w:val="center"/>
        <w:rPr>
          <w:rFonts w:asciiTheme="minorHAnsi" w:hAnsiTheme="minorHAnsi" w:cstheme="minorHAnsi"/>
        </w:rPr>
      </w:pPr>
      <w:r w:rsidRPr="00252D7B">
        <w:rPr>
          <w:rFonts w:asciiTheme="minorHAnsi" w:hAnsiTheme="minorHAnsi" w:cstheme="minorHAnsi"/>
          <w:noProof/>
          <w:szCs w:val="24"/>
        </w:rPr>
        <w:drawing>
          <wp:inline distT="0" distB="0" distL="0" distR="0" wp14:anchorId="4CCDF0B4" wp14:editId="2D5EA206">
            <wp:extent cx="5343246" cy="3371850"/>
            <wp:effectExtent l="0" t="0" r="0" b="0"/>
            <wp:docPr id="13" name="Imagem 13"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01102" cy="3534570"/>
                    </a:xfrm>
                    <a:prstGeom prst="rect">
                      <a:avLst/>
                    </a:prstGeom>
                    <a:noFill/>
                    <a:ln>
                      <a:noFill/>
                    </a:ln>
                  </pic:spPr>
                </pic:pic>
              </a:graphicData>
            </a:graphic>
          </wp:inline>
        </w:drawing>
      </w:r>
    </w:p>
    <w:p w14:paraId="66EBC439" w14:textId="3D8B4CB0" w:rsidR="00CA3940" w:rsidRPr="00252D7B" w:rsidRDefault="00CA3940" w:rsidP="00215312">
      <w:pPr>
        <w:spacing w:before="120" w:after="120"/>
        <w:jc w:val="both"/>
        <w:rPr>
          <w:rFonts w:asciiTheme="minorHAnsi" w:hAnsiTheme="minorHAnsi" w:cstheme="minorHAnsi"/>
          <w:color w:val="000000" w:themeColor="text1"/>
          <w:sz w:val="24"/>
          <w:szCs w:val="24"/>
        </w:rPr>
      </w:pPr>
      <w:r w:rsidRPr="00252D7B">
        <w:rPr>
          <w:rFonts w:asciiTheme="minorHAnsi" w:hAnsiTheme="minorHAnsi" w:cstheme="minorHAnsi"/>
          <w:color w:val="000000" w:themeColor="text1"/>
          <w:sz w:val="24"/>
          <w:szCs w:val="24"/>
        </w:rPr>
        <w:t xml:space="preserve">Na FIOL II pode-se destacar os lotes </w:t>
      </w:r>
      <w:r w:rsidR="0046196B">
        <w:rPr>
          <w:rFonts w:asciiTheme="minorHAnsi" w:hAnsiTheme="minorHAnsi" w:cstheme="minorHAnsi"/>
          <w:color w:val="000000" w:themeColor="text1"/>
          <w:sz w:val="24"/>
          <w:szCs w:val="24"/>
        </w:rPr>
        <w:t>0</w:t>
      </w:r>
      <w:r w:rsidRPr="00252D7B">
        <w:rPr>
          <w:rFonts w:asciiTheme="minorHAnsi" w:hAnsiTheme="minorHAnsi" w:cstheme="minorHAnsi"/>
          <w:color w:val="000000" w:themeColor="text1"/>
          <w:sz w:val="24"/>
          <w:szCs w:val="24"/>
        </w:rPr>
        <w:t xml:space="preserve">5F e </w:t>
      </w:r>
      <w:r w:rsidR="0046196B">
        <w:rPr>
          <w:rFonts w:asciiTheme="minorHAnsi" w:hAnsiTheme="minorHAnsi" w:cstheme="minorHAnsi"/>
          <w:color w:val="000000" w:themeColor="text1"/>
          <w:sz w:val="24"/>
          <w:szCs w:val="24"/>
        </w:rPr>
        <w:t>0</w:t>
      </w:r>
      <w:r w:rsidRPr="00252D7B">
        <w:rPr>
          <w:rFonts w:asciiTheme="minorHAnsi" w:hAnsiTheme="minorHAnsi" w:cstheme="minorHAnsi"/>
          <w:color w:val="000000" w:themeColor="text1"/>
          <w:sz w:val="24"/>
          <w:szCs w:val="24"/>
        </w:rPr>
        <w:t xml:space="preserve">7F com, respectivamente 63,60% e 66,77% de execução física conforme ilustrado na </w:t>
      </w:r>
      <w:r w:rsidR="008A2B5E" w:rsidRPr="00252D7B">
        <w:rPr>
          <w:rFonts w:asciiTheme="minorHAnsi" w:hAnsiTheme="minorHAnsi" w:cstheme="minorHAnsi"/>
          <w:color w:val="000000" w:themeColor="text1"/>
          <w:sz w:val="24"/>
          <w:szCs w:val="24"/>
        </w:rPr>
        <w:fldChar w:fldCharType="begin"/>
      </w:r>
      <w:r w:rsidR="008A2B5E" w:rsidRPr="00252D7B">
        <w:rPr>
          <w:rFonts w:asciiTheme="minorHAnsi" w:hAnsiTheme="minorHAnsi" w:cstheme="minorHAnsi"/>
          <w:color w:val="000000" w:themeColor="text1"/>
          <w:sz w:val="24"/>
          <w:szCs w:val="24"/>
        </w:rPr>
        <w:instrText xml:space="preserve"> REF _Ref97571125 \h  \* MERGEFORMAT </w:instrText>
      </w:r>
      <w:r w:rsidR="008A2B5E" w:rsidRPr="00252D7B">
        <w:rPr>
          <w:rFonts w:asciiTheme="minorHAnsi" w:hAnsiTheme="minorHAnsi" w:cstheme="minorHAnsi"/>
          <w:color w:val="000000" w:themeColor="text1"/>
          <w:sz w:val="24"/>
          <w:szCs w:val="24"/>
        </w:rPr>
      </w:r>
      <w:r w:rsidR="008A2B5E" w:rsidRPr="00252D7B">
        <w:rPr>
          <w:rFonts w:asciiTheme="minorHAnsi" w:hAnsiTheme="minorHAnsi" w:cstheme="minorHAnsi"/>
          <w:color w:val="000000" w:themeColor="text1"/>
          <w:sz w:val="24"/>
          <w:szCs w:val="24"/>
        </w:rPr>
        <w:fldChar w:fldCharType="separate"/>
      </w:r>
      <w:r w:rsidR="00C12888" w:rsidRPr="00C12888">
        <w:rPr>
          <w:rFonts w:asciiTheme="minorHAnsi" w:hAnsiTheme="minorHAnsi" w:cstheme="minorHAnsi"/>
          <w:color w:val="000000" w:themeColor="text1"/>
          <w:sz w:val="24"/>
          <w:szCs w:val="24"/>
        </w:rPr>
        <w:t>Tabela 1</w:t>
      </w:r>
      <w:r w:rsidR="008A2B5E" w:rsidRPr="00252D7B">
        <w:rPr>
          <w:rFonts w:asciiTheme="minorHAnsi" w:hAnsiTheme="minorHAnsi" w:cstheme="minorHAnsi"/>
          <w:color w:val="000000" w:themeColor="text1"/>
          <w:sz w:val="24"/>
          <w:szCs w:val="24"/>
        </w:rPr>
        <w:fldChar w:fldCharType="end"/>
      </w:r>
      <w:r w:rsidRPr="00252D7B">
        <w:rPr>
          <w:rFonts w:asciiTheme="minorHAnsi" w:hAnsiTheme="minorHAnsi" w:cstheme="minorHAnsi"/>
          <w:color w:val="000000" w:themeColor="text1"/>
          <w:sz w:val="24"/>
          <w:szCs w:val="24"/>
        </w:rPr>
        <w:t xml:space="preserve"> e </w:t>
      </w:r>
      <w:r w:rsidR="008A2B5E" w:rsidRPr="00252D7B">
        <w:rPr>
          <w:rFonts w:asciiTheme="minorHAnsi" w:hAnsiTheme="minorHAnsi" w:cstheme="minorHAnsi"/>
          <w:color w:val="000000" w:themeColor="text1"/>
          <w:sz w:val="24"/>
          <w:szCs w:val="24"/>
        </w:rPr>
        <w:t xml:space="preserve">no </w:t>
      </w:r>
      <w:r w:rsidR="008A2B5E" w:rsidRPr="00252D7B">
        <w:rPr>
          <w:rFonts w:asciiTheme="minorHAnsi" w:hAnsiTheme="minorHAnsi" w:cstheme="minorHAnsi"/>
          <w:color w:val="000000" w:themeColor="text1"/>
          <w:sz w:val="24"/>
          <w:szCs w:val="24"/>
        </w:rPr>
        <w:fldChar w:fldCharType="begin"/>
      </w:r>
      <w:r w:rsidR="008A2B5E" w:rsidRPr="00252D7B">
        <w:rPr>
          <w:rFonts w:asciiTheme="minorHAnsi" w:hAnsiTheme="minorHAnsi" w:cstheme="minorHAnsi"/>
          <w:color w:val="000000" w:themeColor="text1"/>
          <w:sz w:val="24"/>
          <w:szCs w:val="24"/>
        </w:rPr>
        <w:instrText xml:space="preserve"> REF _Ref97569503 \h  \* MERGEFORMAT </w:instrText>
      </w:r>
      <w:r w:rsidR="008A2B5E" w:rsidRPr="00252D7B">
        <w:rPr>
          <w:rFonts w:asciiTheme="minorHAnsi" w:hAnsiTheme="minorHAnsi" w:cstheme="minorHAnsi"/>
          <w:color w:val="000000" w:themeColor="text1"/>
          <w:sz w:val="24"/>
          <w:szCs w:val="24"/>
        </w:rPr>
      </w:r>
      <w:r w:rsidR="008A2B5E" w:rsidRPr="00252D7B">
        <w:rPr>
          <w:rFonts w:asciiTheme="minorHAnsi" w:hAnsiTheme="minorHAnsi" w:cstheme="minorHAnsi"/>
          <w:color w:val="000000" w:themeColor="text1"/>
          <w:sz w:val="24"/>
          <w:szCs w:val="24"/>
        </w:rPr>
        <w:fldChar w:fldCharType="separate"/>
      </w:r>
      <w:r w:rsidR="00C12888" w:rsidRPr="00C12888">
        <w:rPr>
          <w:rFonts w:asciiTheme="minorHAnsi" w:hAnsiTheme="minorHAnsi" w:cstheme="minorHAnsi"/>
          <w:color w:val="000000" w:themeColor="text1"/>
          <w:sz w:val="24"/>
          <w:szCs w:val="24"/>
        </w:rPr>
        <w:t>Gráfico 1</w:t>
      </w:r>
      <w:r w:rsidR="008A2B5E" w:rsidRPr="00252D7B">
        <w:rPr>
          <w:rFonts w:asciiTheme="minorHAnsi" w:hAnsiTheme="minorHAnsi" w:cstheme="minorHAnsi"/>
          <w:color w:val="000000" w:themeColor="text1"/>
          <w:sz w:val="24"/>
          <w:szCs w:val="24"/>
        </w:rPr>
        <w:fldChar w:fldCharType="end"/>
      </w:r>
      <w:r w:rsidRPr="00252D7B">
        <w:rPr>
          <w:rFonts w:asciiTheme="minorHAnsi" w:hAnsiTheme="minorHAnsi" w:cstheme="minorHAnsi"/>
          <w:color w:val="000000" w:themeColor="text1"/>
          <w:sz w:val="24"/>
          <w:szCs w:val="24"/>
        </w:rPr>
        <w:t xml:space="preserve">. Com relação ao lote </w:t>
      </w:r>
      <w:r w:rsidR="0046196B">
        <w:rPr>
          <w:rFonts w:asciiTheme="minorHAnsi" w:hAnsiTheme="minorHAnsi" w:cstheme="minorHAnsi"/>
          <w:color w:val="000000" w:themeColor="text1"/>
          <w:sz w:val="24"/>
          <w:szCs w:val="24"/>
        </w:rPr>
        <w:t>0</w:t>
      </w:r>
      <w:r w:rsidR="003E61E1">
        <w:rPr>
          <w:rFonts w:asciiTheme="minorHAnsi" w:hAnsiTheme="minorHAnsi" w:cstheme="minorHAnsi"/>
          <w:color w:val="000000" w:themeColor="text1"/>
          <w:sz w:val="24"/>
          <w:szCs w:val="24"/>
        </w:rPr>
        <w:t>6F</w:t>
      </w:r>
      <w:r w:rsidRPr="00252D7B">
        <w:rPr>
          <w:rFonts w:asciiTheme="minorHAnsi" w:hAnsiTheme="minorHAnsi" w:cstheme="minorHAnsi"/>
          <w:color w:val="000000" w:themeColor="text1"/>
          <w:sz w:val="24"/>
          <w:szCs w:val="24"/>
        </w:rPr>
        <w:t xml:space="preserve">, em setembro/2020 foi assinado o Termo de Execução Decentralizada – TED nº 001/2020 entre a </w:t>
      </w:r>
      <w:r w:rsidR="00610C91" w:rsidRPr="00252D7B">
        <w:rPr>
          <w:rFonts w:asciiTheme="minorHAnsi" w:hAnsiTheme="minorHAnsi" w:cstheme="minorHAnsi"/>
          <w:color w:val="000000" w:themeColor="text1"/>
          <w:sz w:val="24"/>
          <w:szCs w:val="24"/>
        </w:rPr>
        <w:t>Valec</w:t>
      </w:r>
      <w:r w:rsidRPr="00252D7B">
        <w:rPr>
          <w:rFonts w:asciiTheme="minorHAnsi" w:hAnsiTheme="minorHAnsi" w:cstheme="minorHAnsi"/>
          <w:color w:val="000000" w:themeColor="text1"/>
          <w:sz w:val="24"/>
          <w:szCs w:val="24"/>
        </w:rPr>
        <w:t xml:space="preserve"> e o Exército Brasileiro para execução das obras no subtrecho entre os quilômetros 645+700 a 664+040 (18,34km). Quanto ao remanescente do lote 06</w:t>
      </w:r>
      <w:r w:rsidR="0046196B">
        <w:rPr>
          <w:rFonts w:asciiTheme="minorHAnsi" w:hAnsiTheme="minorHAnsi" w:cstheme="minorHAnsi"/>
          <w:color w:val="000000" w:themeColor="text1"/>
          <w:sz w:val="24"/>
          <w:szCs w:val="24"/>
        </w:rPr>
        <w:t>F</w:t>
      </w:r>
      <w:r w:rsidRPr="00252D7B">
        <w:rPr>
          <w:rFonts w:asciiTheme="minorHAnsi" w:hAnsiTheme="minorHAnsi" w:cstheme="minorHAnsi"/>
          <w:color w:val="000000" w:themeColor="text1"/>
          <w:sz w:val="24"/>
          <w:szCs w:val="24"/>
        </w:rPr>
        <w:t>, foi assinado ainda em dezembro de 2021 contrato para a retomada das obras no local.</w:t>
      </w:r>
    </w:p>
    <w:p w14:paraId="3F1E8752" w14:textId="77777777" w:rsidR="00983893" w:rsidRPr="00252D7B" w:rsidRDefault="00983893" w:rsidP="00983893">
      <w:pPr>
        <w:jc w:val="both"/>
        <w:rPr>
          <w:rFonts w:asciiTheme="minorHAnsi" w:hAnsiTheme="minorHAnsi" w:cstheme="minorHAnsi"/>
          <w:color w:val="000000" w:themeColor="text1"/>
          <w:sz w:val="24"/>
          <w:szCs w:val="24"/>
        </w:rPr>
      </w:pPr>
    </w:p>
    <w:p w14:paraId="3904D697" w14:textId="0E275252" w:rsidR="00A7014F" w:rsidRPr="00252D7B" w:rsidRDefault="00A7014F" w:rsidP="001E77E3">
      <w:pPr>
        <w:pStyle w:val="Legenda"/>
        <w:jc w:val="center"/>
        <w:rPr>
          <w:rFonts w:asciiTheme="minorHAnsi" w:hAnsiTheme="minorHAnsi" w:cstheme="minorHAnsi"/>
          <w:sz w:val="20"/>
          <w:szCs w:val="20"/>
        </w:rPr>
      </w:pPr>
      <w:bookmarkStart w:id="65" w:name="_Ref97571125"/>
      <w:bookmarkStart w:id="66" w:name="_Toc103680663"/>
      <w:r w:rsidRPr="00252D7B">
        <w:rPr>
          <w:rFonts w:asciiTheme="minorHAnsi" w:hAnsiTheme="minorHAnsi" w:cstheme="minorHAnsi"/>
          <w:sz w:val="20"/>
          <w:szCs w:val="20"/>
        </w:rPr>
        <w:t xml:space="preserve">Tabela </w:t>
      </w:r>
      <w:r w:rsidR="00FA416F" w:rsidRPr="00252D7B">
        <w:rPr>
          <w:rFonts w:asciiTheme="minorHAnsi" w:hAnsiTheme="minorHAnsi" w:cstheme="minorHAnsi"/>
          <w:sz w:val="20"/>
          <w:szCs w:val="20"/>
        </w:rPr>
        <w:fldChar w:fldCharType="begin"/>
      </w:r>
      <w:r w:rsidR="00FA416F" w:rsidRPr="00252D7B">
        <w:rPr>
          <w:rFonts w:asciiTheme="minorHAnsi" w:hAnsiTheme="minorHAnsi" w:cstheme="minorHAnsi"/>
          <w:sz w:val="20"/>
          <w:szCs w:val="20"/>
        </w:rPr>
        <w:instrText xml:space="preserve"> SEQ Tabela \* ARABIC </w:instrText>
      </w:r>
      <w:r w:rsidR="00FA416F"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1</w:t>
      </w:r>
      <w:r w:rsidR="00FA416F" w:rsidRPr="00252D7B">
        <w:rPr>
          <w:rFonts w:asciiTheme="minorHAnsi" w:hAnsiTheme="minorHAnsi" w:cstheme="minorHAnsi"/>
          <w:sz w:val="20"/>
          <w:szCs w:val="20"/>
        </w:rPr>
        <w:fldChar w:fldCharType="end"/>
      </w:r>
      <w:bookmarkEnd w:id="65"/>
      <w:r w:rsidRPr="00252D7B">
        <w:rPr>
          <w:rFonts w:asciiTheme="minorHAnsi" w:hAnsiTheme="minorHAnsi" w:cstheme="minorHAnsi"/>
          <w:sz w:val="20"/>
          <w:szCs w:val="20"/>
        </w:rPr>
        <w:t xml:space="preserve"> – Resumo do andamento das obras na FIOL II</w:t>
      </w:r>
      <w:bookmarkEnd w:id="66"/>
    </w:p>
    <w:tbl>
      <w:tblPr>
        <w:tblStyle w:val="Tabelacomgrade"/>
        <w:tblW w:w="7938" w:type="dxa"/>
        <w:jc w:val="center"/>
        <w:tblLook w:val="04A0" w:firstRow="1" w:lastRow="0" w:firstColumn="1" w:lastColumn="0" w:noHBand="0" w:noVBand="1"/>
      </w:tblPr>
      <w:tblGrid>
        <w:gridCol w:w="1701"/>
        <w:gridCol w:w="3261"/>
        <w:gridCol w:w="2976"/>
      </w:tblGrid>
      <w:tr w:rsidR="00A7014F" w:rsidRPr="00252D7B" w14:paraId="06CE2A58" w14:textId="77777777" w:rsidTr="00AE0B7A">
        <w:trPr>
          <w:tblHeader/>
          <w:jc w:val="center"/>
        </w:trPr>
        <w:tc>
          <w:tcPr>
            <w:tcW w:w="1701" w:type="dxa"/>
            <w:tcBorders>
              <w:left w:val="nil"/>
            </w:tcBorders>
            <w:shd w:val="clear" w:color="auto" w:fill="D9D9D9" w:themeFill="background1" w:themeFillShade="D9"/>
            <w:hideMark/>
          </w:tcPr>
          <w:p w14:paraId="09A93FD1" w14:textId="77777777" w:rsidR="00A7014F" w:rsidRPr="00252D7B" w:rsidRDefault="00A7014F" w:rsidP="00E03684">
            <w:pPr>
              <w:widowControl/>
              <w:autoSpaceDE/>
              <w:autoSpaceDN/>
              <w:jc w:val="center"/>
              <w:rPr>
                <w:rFonts w:asciiTheme="minorHAnsi" w:eastAsia="Times New Roman" w:hAnsiTheme="minorHAnsi" w:cstheme="minorHAnsi"/>
                <w:b/>
                <w:bCs/>
                <w:color w:val="000000"/>
                <w:sz w:val="20"/>
                <w:szCs w:val="20"/>
                <w:lang w:eastAsia="pt-BR" w:bidi="ar-SA"/>
              </w:rPr>
            </w:pPr>
            <w:r w:rsidRPr="00252D7B">
              <w:rPr>
                <w:rFonts w:asciiTheme="minorHAnsi" w:eastAsia="Times New Roman" w:hAnsiTheme="minorHAnsi" w:cstheme="minorHAnsi"/>
                <w:b/>
                <w:bCs/>
                <w:color w:val="000000"/>
                <w:sz w:val="20"/>
                <w:szCs w:val="20"/>
                <w:lang w:eastAsia="pt-BR" w:bidi="ar-SA"/>
              </w:rPr>
              <w:t>Lote</w:t>
            </w:r>
          </w:p>
        </w:tc>
        <w:tc>
          <w:tcPr>
            <w:tcW w:w="3261" w:type="dxa"/>
            <w:shd w:val="clear" w:color="auto" w:fill="D9D9D9" w:themeFill="background1" w:themeFillShade="D9"/>
            <w:hideMark/>
          </w:tcPr>
          <w:p w14:paraId="3D01EA0D" w14:textId="77777777" w:rsidR="00A7014F" w:rsidRPr="00252D7B" w:rsidRDefault="00A7014F" w:rsidP="00E03684">
            <w:pPr>
              <w:widowControl/>
              <w:autoSpaceDE/>
              <w:autoSpaceDN/>
              <w:jc w:val="center"/>
              <w:rPr>
                <w:rFonts w:asciiTheme="minorHAnsi" w:eastAsia="Times New Roman" w:hAnsiTheme="minorHAnsi" w:cstheme="minorHAnsi"/>
                <w:b/>
                <w:bCs/>
                <w:color w:val="000000"/>
                <w:sz w:val="20"/>
                <w:szCs w:val="20"/>
                <w:lang w:eastAsia="pt-BR" w:bidi="ar-SA"/>
              </w:rPr>
            </w:pPr>
            <w:r w:rsidRPr="00252D7B">
              <w:rPr>
                <w:rFonts w:asciiTheme="minorHAnsi" w:eastAsia="Times New Roman" w:hAnsiTheme="minorHAnsi" w:cstheme="minorHAnsi"/>
                <w:b/>
                <w:bCs/>
                <w:color w:val="000000"/>
                <w:sz w:val="20"/>
                <w:szCs w:val="20"/>
                <w:lang w:eastAsia="pt-BR" w:bidi="ar-SA"/>
              </w:rPr>
              <w:t>Avanço Físico em 2021</w:t>
            </w:r>
          </w:p>
        </w:tc>
        <w:tc>
          <w:tcPr>
            <w:tcW w:w="2976" w:type="dxa"/>
            <w:tcBorders>
              <w:right w:val="nil"/>
            </w:tcBorders>
            <w:shd w:val="clear" w:color="auto" w:fill="D9D9D9" w:themeFill="background1" w:themeFillShade="D9"/>
          </w:tcPr>
          <w:p w14:paraId="0D7CC640" w14:textId="77777777" w:rsidR="00A7014F" w:rsidRPr="00252D7B" w:rsidRDefault="00A7014F" w:rsidP="00E03684">
            <w:pPr>
              <w:widowControl/>
              <w:autoSpaceDE/>
              <w:autoSpaceDN/>
              <w:jc w:val="center"/>
              <w:rPr>
                <w:rFonts w:asciiTheme="minorHAnsi" w:eastAsia="Times New Roman" w:hAnsiTheme="minorHAnsi" w:cstheme="minorHAnsi"/>
                <w:b/>
                <w:bCs/>
                <w:color w:val="000000"/>
                <w:sz w:val="20"/>
                <w:szCs w:val="20"/>
                <w:lang w:eastAsia="pt-BR" w:bidi="ar-SA"/>
              </w:rPr>
            </w:pPr>
            <w:r w:rsidRPr="00252D7B">
              <w:rPr>
                <w:rFonts w:asciiTheme="minorHAnsi" w:eastAsia="Times New Roman" w:hAnsiTheme="minorHAnsi" w:cstheme="minorHAnsi"/>
                <w:b/>
                <w:bCs/>
                <w:color w:val="000000"/>
                <w:sz w:val="20"/>
                <w:szCs w:val="20"/>
                <w:lang w:eastAsia="pt-BR" w:bidi="ar-SA"/>
              </w:rPr>
              <w:t>Avanço Físico Acumulado</w:t>
            </w:r>
          </w:p>
        </w:tc>
      </w:tr>
      <w:tr w:rsidR="00A7014F" w:rsidRPr="00252D7B" w14:paraId="1321EDB5" w14:textId="77777777" w:rsidTr="00AE0B7A">
        <w:trPr>
          <w:jc w:val="center"/>
        </w:trPr>
        <w:tc>
          <w:tcPr>
            <w:tcW w:w="1701" w:type="dxa"/>
            <w:tcBorders>
              <w:left w:val="nil"/>
            </w:tcBorders>
            <w:hideMark/>
          </w:tcPr>
          <w:p w14:paraId="2E3B2213" w14:textId="488903D4" w:rsidR="00A7014F" w:rsidRPr="00252D7B" w:rsidRDefault="0046196B" w:rsidP="00E03684">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Pr>
                <w:rFonts w:asciiTheme="minorHAnsi" w:eastAsia="Times New Roman" w:hAnsiTheme="minorHAnsi" w:cstheme="minorHAnsi"/>
                <w:color w:val="000000"/>
                <w:sz w:val="20"/>
                <w:szCs w:val="20"/>
                <w:lang w:eastAsia="pt-BR" w:bidi="ar-SA"/>
              </w:rPr>
              <w:t>0</w:t>
            </w:r>
            <w:r w:rsidR="00A7014F" w:rsidRPr="00252D7B">
              <w:rPr>
                <w:rFonts w:asciiTheme="minorHAnsi" w:eastAsia="Times New Roman" w:hAnsiTheme="minorHAnsi" w:cstheme="minorHAnsi"/>
                <w:color w:val="000000"/>
                <w:sz w:val="20"/>
                <w:szCs w:val="20"/>
                <w:lang w:eastAsia="pt-BR" w:bidi="ar-SA"/>
              </w:rPr>
              <w:t>5F</w:t>
            </w:r>
          </w:p>
        </w:tc>
        <w:tc>
          <w:tcPr>
            <w:tcW w:w="3261" w:type="dxa"/>
            <w:vAlign w:val="center"/>
            <w:hideMark/>
          </w:tcPr>
          <w:p w14:paraId="2D96FDE8" w14:textId="77777777" w:rsidR="00A7014F" w:rsidRPr="00252D7B" w:rsidRDefault="00A7014F" w:rsidP="00E03684">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12,81%</w:t>
            </w:r>
          </w:p>
        </w:tc>
        <w:tc>
          <w:tcPr>
            <w:tcW w:w="2976" w:type="dxa"/>
            <w:tcBorders>
              <w:right w:val="nil"/>
            </w:tcBorders>
          </w:tcPr>
          <w:p w14:paraId="1497804E" w14:textId="77777777" w:rsidR="00A7014F" w:rsidRPr="00252D7B" w:rsidRDefault="00A7014F" w:rsidP="00E03684">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63,31%</w:t>
            </w:r>
          </w:p>
        </w:tc>
      </w:tr>
      <w:tr w:rsidR="00A7014F" w:rsidRPr="00252D7B" w14:paraId="01CBE76D" w14:textId="77777777" w:rsidTr="00AE0B7A">
        <w:trPr>
          <w:jc w:val="center"/>
        </w:trPr>
        <w:tc>
          <w:tcPr>
            <w:tcW w:w="1701" w:type="dxa"/>
            <w:tcBorders>
              <w:left w:val="nil"/>
            </w:tcBorders>
          </w:tcPr>
          <w:p w14:paraId="73231C37" w14:textId="732E1261" w:rsidR="00A7014F" w:rsidRPr="00252D7B" w:rsidRDefault="0046196B" w:rsidP="00E03684">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Pr>
                <w:rFonts w:asciiTheme="minorHAnsi" w:eastAsia="Times New Roman" w:hAnsiTheme="minorHAnsi" w:cstheme="minorHAnsi"/>
                <w:color w:val="000000"/>
                <w:sz w:val="20"/>
                <w:szCs w:val="20"/>
                <w:lang w:eastAsia="pt-BR" w:bidi="ar-SA"/>
              </w:rPr>
              <w:t>0</w:t>
            </w:r>
            <w:r w:rsidR="00A7014F" w:rsidRPr="00252D7B">
              <w:rPr>
                <w:rFonts w:asciiTheme="minorHAnsi" w:eastAsia="Times New Roman" w:hAnsiTheme="minorHAnsi" w:cstheme="minorHAnsi"/>
                <w:color w:val="000000"/>
                <w:sz w:val="20"/>
                <w:szCs w:val="20"/>
                <w:lang w:eastAsia="pt-BR" w:bidi="ar-SA"/>
              </w:rPr>
              <w:t>6F</w:t>
            </w:r>
            <w:r w:rsidR="0049340D" w:rsidRPr="00252D7B">
              <w:rPr>
                <w:rFonts w:asciiTheme="minorHAnsi" w:eastAsia="Times New Roman" w:hAnsiTheme="minorHAnsi" w:cstheme="minorHAnsi"/>
                <w:color w:val="000000"/>
                <w:sz w:val="20"/>
                <w:szCs w:val="20"/>
                <w:lang w:eastAsia="pt-BR" w:bidi="ar-SA"/>
              </w:rPr>
              <w:t xml:space="preserve"> / </w:t>
            </w:r>
            <w:r>
              <w:rPr>
                <w:rFonts w:asciiTheme="minorHAnsi" w:eastAsia="Times New Roman" w:hAnsiTheme="minorHAnsi" w:cstheme="minorHAnsi"/>
                <w:color w:val="000000"/>
                <w:sz w:val="20"/>
                <w:szCs w:val="20"/>
                <w:lang w:eastAsia="pt-BR" w:bidi="ar-SA"/>
              </w:rPr>
              <w:t>0</w:t>
            </w:r>
            <w:r w:rsidR="00714E50" w:rsidRPr="00252D7B">
              <w:rPr>
                <w:rFonts w:asciiTheme="minorHAnsi" w:eastAsia="Times New Roman" w:hAnsiTheme="minorHAnsi" w:cstheme="minorHAnsi"/>
                <w:color w:val="000000"/>
                <w:sz w:val="20"/>
                <w:szCs w:val="20"/>
                <w:lang w:eastAsia="pt-BR" w:bidi="ar-SA"/>
              </w:rPr>
              <w:t>6FA</w:t>
            </w:r>
          </w:p>
        </w:tc>
        <w:tc>
          <w:tcPr>
            <w:tcW w:w="3261" w:type="dxa"/>
            <w:vAlign w:val="center"/>
          </w:tcPr>
          <w:p w14:paraId="24FE5BF3" w14:textId="77777777" w:rsidR="00A7014F" w:rsidRPr="00252D7B" w:rsidRDefault="00A7014F" w:rsidP="00E03684">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3,66%</w:t>
            </w:r>
          </w:p>
        </w:tc>
        <w:tc>
          <w:tcPr>
            <w:tcW w:w="2976" w:type="dxa"/>
            <w:tcBorders>
              <w:right w:val="nil"/>
            </w:tcBorders>
          </w:tcPr>
          <w:p w14:paraId="4D1A3764" w14:textId="6984B2DA" w:rsidR="00A7014F" w:rsidRPr="00252D7B" w:rsidRDefault="0049340D" w:rsidP="00E03684">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13,9</w:t>
            </w:r>
            <w:r w:rsidR="00A7014F" w:rsidRPr="00252D7B">
              <w:rPr>
                <w:rFonts w:asciiTheme="minorHAnsi" w:eastAsia="Times New Roman" w:hAnsiTheme="minorHAnsi" w:cstheme="minorHAnsi"/>
                <w:color w:val="000000"/>
                <w:sz w:val="20"/>
                <w:szCs w:val="20"/>
                <w:lang w:eastAsia="pt-BR" w:bidi="ar-SA"/>
              </w:rPr>
              <w:t>%</w:t>
            </w:r>
          </w:p>
        </w:tc>
      </w:tr>
      <w:tr w:rsidR="00A7014F" w:rsidRPr="00252D7B" w14:paraId="01357908" w14:textId="77777777" w:rsidTr="00AE0B7A">
        <w:trPr>
          <w:jc w:val="center"/>
        </w:trPr>
        <w:tc>
          <w:tcPr>
            <w:tcW w:w="1701" w:type="dxa"/>
            <w:tcBorders>
              <w:left w:val="nil"/>
            </w:tcBorders>
          </w:tcPr>
          <w:p w14:paraId="7A2E582B" w14:textId="498419BC" w:rsidR="00A7014F" w:rsidRPr="00252D7B" w:rsidRDefault="0046196B" w:rsidP="00E03684">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Pr>
                <w:rFonts w:asciiTheme="minorHAnsi" w:eastAsia="Times New Roman" w:hAnsiTheme="minorHAnsi" w:cstheme="minorHAnsi"/>
                <w:color w:val="000000"/>
                <w:sz w:val="20"/>
                <w:szCs w:val="20"/>
                <w:lang w:eastAsia="pt-BR" w:bidi="ar-SA"/>
              </w:rPr>
              <w:t>0</w:t>
            </w:r>
            <w:r w:rsidR="00A7014F" w:rsidRPr="00252D7B">
              <w:rPr>
                <w:rFonts w:asciiTheme="minorHAnsi" w:eastAsia="Times New Roman" w:hAnsiTheme="minorHAnsi" w:cstheme="minorHAnsi"/>
                <w:color w:val="000000"/>
                <w:sz w:val="20"/>
                <w:szCs w:val="20"/>
                <w:lang w:eastAsia="pt-BR" w:bidi="ar-SA"/>
              </w:rPr>
              <w:t>7F</w:t>
            </w:r>
          </w:p>
        </w:tc>
        <w:tc>
          <w:tcPr>
            <w:tcW w:w="3261" w:type="dxa"/>
            <w:vAlign w:val="center"/>
          </w:tcPr>
          <w:p w14:paraId="5EF954D8" w14:textId="77777777" w:rsidR="00A7014F" w:rsidRPr="00252D7B" w:rsidRDefault="00A7014F" w:rsidP="00E03684">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9,89%</w:t>
            </w:r>
          </w:p>
        </w:tc>
        <w:tc>
          <w:tcPr>
            <w:tcW w:w="2976" w:type="dxa"/>
            <w:tcBorders>
              <w:right w:val="nil"/>
            </w:tcBorders>
          </w:tcPr>
          <w:p w14:paraId="1E38B99D" w14:textId="658C4E53" w:rsidR="00A7014F" w:rsidRPr="00252D7B" w:rsidRDefault="00A7014F" w:rsidP="00E03684">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66,3</w:t>
            </w:r>
            <w:r w:rsidR="00983893" w:rsidRPr="00252D7B">
              <w:rPr>
                <w:rFonts w:asciiTheme="minorHAnsi" w:eastAsia="Times New Roman" w:hAnsiTheme="minorHAnsi" w:cstheme="minorHAnsi"/>
                <w:color w:val="000000"/>
                <w:sz w:val="20"/>
                <w:szCs w:val="20"/>
                <w:lang w:eastAsia="pt-BR" w:bidi="ar-SA"/>
              </w:rPr>
              <w:t>77</w:t>
            </w:r>
            <w:r w:rsidRPr="00252D7B">
              <w:rPr>
                <w:rFonts w:asciiTheme="minorHAnsi" w:eastAsia="Times New Roman" w:hAnsiTheme="minorHAnsi" w:cstheme="minorHAnsi"/>
                <w:color w:val="000000"/>
                <w:sz w:val="20"/>
                <w:szCs w:val="20"/>
                <w:lang w:eastAsia="pt-BR" w:bidi="ar-SA"/>
              </w:rPr>
              <w:t>%</w:t>
            </w:r>
          </w:p>
        </w:tc>
      </w:tr>
    </w:tbl>
    <w:p w14:paraId="5E4F26C9" w14:textId="1BB81B4C" w:rsidR="00AC300B" w:rsidRPr="00252D7B" w:rsidRDefault="00AC300B" w:rsidP="00126EE4">
      <w:pPr>
        <w:spacing w:before="120" w:after="120"/>
        <w:rPr>
          <w:rFonts w:asciiTheme="minorHAnsi" w:hAnsiTheme="minorHAnsi" w:cstheme="minorHAnsi"/>
        </w:rPr>
      </w:pPr>
    </w:p>
    <w:p w14:paraId="00FBE74A" w14:textId="77777777" w:rsidR="00AC300B" w:rsidRPr="00252D7B" w:rsidRDefault="00AC300B">
      <w:pPr>
        <w:widowControl/>
        <w:autoSpaceDE/>
        <w:autoSpaceDN/>
        <w:spacing w:after="160" w:line="259" w:lineRule="auto"/>
        <w:rPr>
          <w:rFonts w:asciiTheme="minorHAnsi" w:hAnsiTheme="minorHAnsi" w:cstheme="minorHAnsi"/>
        </w:rPr>
      </w:pPr>
      <w:r w:rsidRPr="00252D7B">
        <w:rPr>
          <w:rFonts w:asciiTheme="minorHAnsi" w:hAnsiTheme="minorHAnsi" w:cstheme="minorHAnsi"/>
        </w:rPr>
        <w:br w:type="page"/>
      </w:r>
    </w:p>
    <w:p w14:paraId="1AE2F5CF" w14:textId="6331E72D" w:rsidR="00C86B7E" w:rsidRPr="00252D7B" w:rsidRDefault="00C86B7E" w:rsidP="001E77E3">
      <w:pPr>
        <w:pStyle w:val="Legenda"/>
        <w:jc w:val="center"/>
        <w:rPr>
          <w:rFonts w:asciiTheme="minorHAnsi" w:hAnsiTheme="minorHAnsi" w:cstheme="minorHAnsi"/>
          <w:sz w:val="20"/>
          <w:szCs w:val="20"/>
        </w:rPr>
      </w:pPr>
      <w:bookmarkStart w:id="67" w:name="_Ref97569503"/>
      <w:bookmarkStart w:id="68" w:name="_Ref97571137"/>
      <w:bookmarkStart w:id="69" w:name="_Toc103680766"/>
      <w:r w:rsidRPr="00252D7B">
        <w:rPr>
          <w:rFonts w:asciiTheme="minorHAnsi" w:hAnsiTheme="minorHAnsi" w:cstheme="minorHAnsi"/>
          <w:sz w:val="20"/>
          <w:szCs w:val="20"/>
        </w:rPr>
        <w:lastRenderedPageBreak/>
        <w:t xml:space="preserve">Gráfico </w:t>
      </w:r>
      <w:r w:rsidR="004328AC" w:rsidRPr="00252D7B">
        <w:rPr>
          <w:rFonts w:asciiTheme="minorHAnsi" w:hAnsiTheme="minorHAnsi" w:cstheme="minorHAnsi"/>
          <w:sz w:val="20"/>
          <w:szCs w:val="20"/>
        </w:rPr>
        <w:fldChar w:fldCharType="begin"/>
      </w:r>
      <w:r w:rsidR="004328AC" w:rsidRPr="00252D7B">
        <w:rPr>
          <w:rFonts w:asciiTheme="minorHAnsi" w:hAnsiTheme="minorHAnsi" w:cstheme="minorHAnsi"/>
          <w:sz w:val="20"/>
          <w:szCs w:val="20"/>
        </w:rPr>
        <w:instrText xml:space="preserve"> SEQ Gráfico \* ARABIC </w:instrText>
      </w:r>
      <w:r w:rsidR="004328AC"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1</w:t>
      </w:r>
      <w:r w:rsidR="004328AC" w:rsidRPr="00252D7B">
        <w:rPr>
          <w:rFonts w:asciiTheme="minorHAnsi" w:hAnsiTheme="minorHAnsi" w:cstheme="minorHAnsi"/>
          <w:sz w:val="20"/>
          <w:szCs w:val="20"/>
        </w:rPr>
        <w:fldChar w:fldCharType="end"/>
      </w:r>
      <w:bookmarkEnd w:id="67"/>
      <w:r w:rsidRPr="00252D7B">
        <w:rPr>
          <w:rFonts w:asciiTheme="minorHAnsi" w:hAnsiTheme="minorHAnsi" w:cstheme="minorHAnsi"/>
          <w:sz w:val="20"/>
          <w:szCs w:val="20"/>
        </w:rPr>
        <w:t xml:space="preserve"> – Avanços físico e financeiro da FIOL II</w:t>
      </w:r>
      <w:bookmarkEnd w:id="68"/>
      <w:bookmarkEnd w:id="69"/>
    </w:p>
    <w:p w14:paraId="30C10C9A" w14:textId="77777777" w:rsidR="00126EE4" w:rsidRPr="00252D7B" w:rsidRDefault="00126EE4" w:rsidP="00126EE4">
      <w:pPr>
        <w:spacing w:before="120"/>
        <w:rPr>
          <w:rFonts w:asciiTheme="minorHAnsi" w:hAnsiTheme="minorHAnsi" w:cstheme="minorHAnsi"/>
        </w:rPr>
      </w:pPr>
      <w:r w:rsidRPr="00252D7B">
        <w:rPr>
          <w:rFonts w:asciiTheme="minorHAnsi" w:hAnsiTheme="minorHAnsi" w:cstheme="minorHAnsi"/>
          <w:noProof/>
        </w:rPr>
        <w:drawing>
          <wp:inline distT="0" distB="0" distL="0" distR="0" wp14:anchorId="4908C862" wp14:editId="70FC2C31">
            <wp:extent cx="6188710" cy="2485215"/>
            <wp:effectExtent l="0" t="0" r="2540" b="0"/>
            <wp:docPr id="15" name="Imagem 15"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8710" cy="2485215"/>
                    </a:xfrm>
                    <a:prstGeom prst="rect">
                      <a:avLst/>
                    </a:prstGeom>
                    <a:noFill/>
                  </pic:spPr>
                </pic:pic>
              </a:graphicData>
            </a:graphic>
          </wp:inline>
        </w:drawing>
      </w:r>
    </w:p>
    <w:p w14:paraId="790D4450" w14:textId="0CCFF2F8" w:rsidR="00126EE4" w:rsidRPr="00252D7B" w:rsidRDefault="00126EE4" w:rsidP="00126EE4">
      <w:pPr>
        <w:rPr>
          <w:rFonts w:asciiTheme="minorHAnsi" w:hAnsiTheme="minorHAnsi" w:cstheme="minorHAnsi"/>
        </w:rPr>
      </w:pPr>
    </w:p>
    <w:p w14:paraId="60FD9102" w14:textId="7EE96E10" w:rsidR="00215312" w:rsidRPr="00252D7B" w:rsidRDefault="00215312" w:rsidP="00215312">
      <w:pPr>
        <w:spacing w:before="120" w:after="120"/>
        <w:jc w:val="both"/>
        <w:rPr>
          <w:rFonts w:asciiTheme="minorHAnsi" w:hAnsiTheme="minorHAnsi" w:cstheme="minorHAnsi"/>
          <w:color w:val="000000" w:themeColor="text1"/>
          <w:sz w:val="24"/>
          <w:szCs w:val="24"/>
        </w:rPr>
      </w:pPr>
      <w:r w:rsidRPr="00252D7B">
        <w:rPr>
          <w:rFonts w:asciiTheme="minorHAnsi" w:hAnsiTheme="minorHAnsi" w:cstheme="minorHAnsi"/>
          <w:color w:val="000000" w:themeColor="text1"/>
          <w:sz w:val="24"/>
          <w:szCs w:val="24"/>
        </w:rPr>
        <w:t xml:space="preserve">Cabe ressaltar que, ao longo do ano de 2021, a </w:t>
      </w:r>
      <w:r w:rsidR="00610C91" w:rsidRPr="00252D7B">
        <w:rPr>
          <w:rFonts w:asciiTheme="minorHAnsi" w:hAnsiTheme="minorHAnsi" w:cstheme="minorHAnsi"/>
          <w:color w:val="000000" w:themeColor="text1"/>
          <w:sz w:val="24"/>
          <w:szCs w:val="24"/>
        </w:rPr>
        <w:t>Valec</w:t>
      </w:r>
      <w:r w:rsidRPr="00252D7B">
        <w:rPr>
          <w:rFonts w:asciiTheme="minorHAnsi" w:hAnsiTheme="minorHAnsi" w:cstheme="minorHAnsi"/>
          <w:color w:val="000000" w:themeColor="text1"/>
          <w:sz w:val="24"/>
          <w:szCs w:val="24"/>
        </w:rPr>
        <w:t xml:space="preserve"> finalizou outras importantes contratações essenciais para a gestão ambiental e territorial de modo a possibilitar a manutenção e/ou retomada de serviços e atividades intrínsecos às diversas etapas dos projetos e dos empreendimentos sob sua responsabilidade, além de incorporar as recomendações do Acórdão nº 84/2020 do Tribunal de Contas da União ao realizar, deforma inovadora, a contratação de serviços por produtos, conforme pode ser observado abaixo:</w:t>
      </w:r>
    </w:p>
    <w:p w14:paraId="7AB0EF83" w14:textId="77777777" w:rsidR="00215312" w:rsidRPr="00252D7B" w:rsidRDefault="00215312" w:rsidP="00014D55">
      <w:pPr>
        <w:pStyle w:val="PargrafodaLista"/>
        <w:numPr>
          <w:ilvl w:val="0"/>
          <w:numId w:val="4"/>
        </w:numPr>
        <w:spacing w:before="120" w:after="120"/>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b/>
          <w:bCs/>
          <w:sz w:val="24"/>
          <w:szCs w:val="24"/>
        </w:rPr>
        <w:t>Contrato nº 14/2021:</w:t>
      </w:r>
      <w:r w:rsidRPr="00252D7B">
        <w:rPr>
          <w:rStyle w:val="jsgrdq"/>
          <w:rFonts w:asciiTheme="minorHAnsi" w:hAnsiTheme="minorHAnsi" w:cstheme="minorHAnsi"/>
          <w:sz w:val="24"/>
          <w:szCs w:val="24"/>
        </w:rPr>
        <w:t xml:space="preserve"> consultoria especializada em arqueologia para realização de serviços de levantamento, salvamento (resgate), análise laboratorial, monitoramento, obtenção de endosso institucional e destinação para a guarda definitiva de material arqueológico nas obras de construção da Ferrovia De Integração Oeste-Leste - FIOL.</w:t>
      </w:r>
    </w:p>
    <w:p w14:paraId="70E1631B" w14:textId="472FACA6" w:rsidR="00215312" w:rsidRPr="00252D7B" w:rsidRDefault="00215312" w:rsidP="00014D55">
      <w:pPr>
        <w:pStyle w:val="PargrafodaLista"/>
        <w:numPr>
          <w:ilvl w:val="0"/>
          <w:numId w:val="4"/>
        </w:numPr>
        <w:spacing w:before="120" w:after="120"/>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b/>
          <w:bCs/>
          <w:sz w:val="24"/>
          <w:szCs w:val="24"/>
        </w:rPr>
        <w:t>Contrato nº 17/2021:</w:t>
      </w:r>
      <w:r w:rsidRPr="00252D7B">
        <w:rPr>
          <w:rStyle w:val="jsgrdq"/>
          <w:rFonts w:asciiTheme="minorHAnsi" w:hAnsiTheme="minorHAnsi" w:cstheme="minorHAnsi"/>
          <w:sz w:val="24"/>
          <w:szCs w:val="24"/>
        </w:rPr>
        <w:t xml:space="preserve"> gerenciamento, apoio técnico, monitoramento ambiental e execução de estudos e programas ambientais dos empreendimentos da </w:t>
      </w:r>
      <w:r w:rsidR="00610C91" w:rsidRPr="00252D7B">
        <w:rPr>
          <w:rStyle w:val="jsgrdq"/>
          <w:rFonts w:asciiTheme="minorHAnsi" w:hAnsiTheme="minorHAnsi" w:cstheme="minorHAnsi"/>
          <w:sz w:val="24"/>
          <w:szCs w:val="24"/>
        </w:rPr>
        <w:t>Valec</w:t>
      </w:r>
      <w:r w:rsidRPr="00252D7B">
        <w:rPr>
          <w:rStyle w:val="jsgrdq"/>
          <w:rFonts w:asciiTheme="minorHAnsi" w:hAnsiTheme="minorHAnsi" w:cstheme="minorHAnsi"/>
          <w:sz w:val="24"/>
          <w:szCs w:val="24"/>
        </w:rPr>
        <w:t>.</w:t>
      </w:r>
    </w:p>
    <w:p w14:paraId="11A40004" w14:textId="77777777" w:rsidR="00215312" w:rsidRPr="00252D7B" w:rsidRDefault="00215312" w:rsidP="00014D55">
      <w:pPr>
        <w:pStyle w:val="PargrafodaLista"/>
        <w:numPr>
          <w:ilvl w:val="0"/>
          <w:numId w:val="4"/>
        </w:numPr>
        <w:spacing w:before="120" w:after="120"/>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b/>
          <w:bCs/>
          <w:sz w:val="24"/>
          <w:szCs w:val="24"/>
        </w:rPr>
        <w:t>Contrato nº 20/2021:</w:t>
      </w:r>
      <w:r w:rsidRPr="00252D7B">
        <w:rPr>
          <w:rStyle w:val="jsgrdq"/>
          <w:rFonts w:asciiTheme="minorHAnsi" w:hAnsiTheme="minorHAnsi" w:cstheme="minorHAnsi"/>
          <w:sz w:val="24"/>
          <w:szCs w:val="24"/>
        </w:rPr>
        <w:t xml:space="preserve"> prestação de serviços de desapropriação, monitoramento e gestão fundiária na Ferrovia de Integração Oeste-Leste - FIOL E na Ferrovia de Integração Centro-Oeste – FICO.</w:t>
      </w:r>
    </w:p>
    <w:p w14:paraId="5BA16102" w14:textId="77777777" w:rsidR="00215312" w:rsidRPr="00252D7B" w:rsidRDefault="00215312" w:rsidP="00014D55">
      <w:pPr>
        <w:pStyle w:val="PargrafodaLista"/>
        <w:numPr>
          <w:ilvl w:val="0"/>
          <w:numId w:val="4"/>
        </w:numPr>
        <w:spacing w:before="120" w:after="120"/>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b/>
          <w:bCs/>
          <w:sz w:val="24"/>
          <w:szCs w:val="24"/>
        </w:rPr>
        <w:t>Contrato nº 25/2021:</w:t>
      </w:r>
      <w:r w:rsidRPr="00252D7B">
        <w:rPr>
          <w:rStyle w:val="jsgrdq"/>
          <w:rFonts w:asciiTheme="minorHAnsi" w:hAnsiTheme="minorHAnsi" w:cstheme="minorHAnsi"/>
          <w:sz w:val="24"/>
          <w:szCs w:val="24"/>
        </w:rPr>
        <w:t xml:space="preserve"> execução dos serviços de gestão espeleológica.</w:t>
      </w:r>
    </w:p>
    <w:p w14:paraId="0D029F23" w14:textId="187D0B44" w:rsidR="00126EE4" w:rsidRPr="00252D7B" w:rsidRDefault="00126EE4" w:rsidP="00126EE4">
      <w:pPr>
        <w:spacing w:before="120"/>
        <w:rPr>
          <w:rFonts w:asciiTheme="minorHAnsi" w:hAnsiTheme="minorHAnsi" w:cstheme="minorHAnsi"/>
          <w:sz w:val="24"/>
          <w:szCs w:val="24"/>
        </w:rPr>
      </w:pPr>
      <w:r w:rsidRPr="00252D7B">
        <w:rPr>
          <w:rFonts w:asciiTheme="minorHAnsi" w:hAnsiTheme="minorHAnsi" w:cstheme="minorHAnsi"/>
          <w:sz w:val="24"/>
          <w:szCs w:val="24"/>
        </w:rPr>
        <w:t xml:space="preserve">O </w:t>
      </w:r>
      <w:r w:rsidR="005E7310" w:rsidRPr="00252D7B">
        <w:rPr>
          <w:rFonts w:asciiTheme="minorHAnsi" w:hAnsiTheme="minorHAnsi" w:cstheme="minorHAnsi"/>
          <w:color w:val="000000" w:themeColor="text1"/>
          <w:sz w:val="24"/>
          <w:szCs w:val="24"/>
        </w:rPr>
        <w:t>Gráfico 2</w:t>
      </w:r>
      <w:r w:rsidRPr="00252D7B">
        <w:rPr>
          <w:rFonts w:asciiTheme="minorHAnsi" w:hAnsiTheme="minorHAnsi" w:cstheme="minorHAnsi"/>
          <w:sz w:val="24"/>
          <w:szCs w:val="24"/>
        </w:rPr>
        <w:t xml:space="preserve"> </w:t>
      </w:r>
      <w:r w:rsidR="00961309" w:rsidRPr="00252D7B">
        <w:rPr>
          <w:rFonts w:asciiTheme="minorHAnsi" w:hAnsiTheme="minorHAnsi" w:cstheme="minorHAnsi"/>
          <w:sz w:val="24"/>
          <w:szCs w:val="24"/>
        </w:rPr>
        <w:t xml:space="preserve">e o </w:t>
      </w:r>
      <w:r w:rsidR="00DD4EE1" w:rsidRPr="00252D7B">
        <w:rPr>
          <w:rFonts w:asciiTheme="minorHAnsi" w:hAnsiTheme="minorHAnsi" w:cstheme="minorHAnsi"/>
          <w:sz w:val="24"/>
          <w:szCs w:val="24"/>
        </w:rPr>
        <w:fldChar w:fldCharType="begin"/>
      </w:r>
      <w:r w:rsidR="00DD4EE1" w:rsidRPr="00252D7B">
        <w:rPr>
          <w:rFonts w:asciiTheme="minorHAnsi" w:hAnsiTheme="minorHAnsi" w:cstheme="minorHAnsi"/>
          <w:sz w:val="24"/>
          <w:szCs w:val="24"/>
        </w:rPr>
        <w:instrText xml:space="preserve"> REF _Toc531274850 \h  \* MERGEFORMAT </w:instrText>
      </w:r>
      <w:r w:rsidR="00DD4EE1" w:rsidRPr="00252D7B">
        <w:rPr>
          <w:rFonts w:asciiTheme="minorHAnsi" w:hAnsiTheme="minorHAnsi" w:cstheme="minorHAnsi"/>
          <w:sz w:val="24"/>
          <w:szCs w:val="24"/>
        </w:rPr>
      </w:r>
      <w:r w:rsidR="00DD4EE1" w:rsidRPr="00252D7B">
        <w:rPr>
          <w:rFonts w:asciiTheme="minorHAnsi" w:hAnsiTheme="minorHAnsi" w:cstheme="minorHAnsi"/>
          <w:sz w:val="24"/>
          <w:szCs w:val="24"/>
        </w:rPr>
        <w:fldChar w:fldCharType="separate"/>
      </w:r>
      <w:r w:rsidR="00C12888" w:rsidRPr="00C12888">
        <w:rPr>
          <w:rFonts w:asciiTheme="minorHAnsi" w:hAnsiTheme="minorHAnsi" w:cstheme="minorHAnsi"/>
          <w:sz w:val="24"/>
          <w:szCs w:val="24"/>
        </w:rPr>
        <w:t xml:space="preserve">Gráfico </w:t>
      </w:r>
      <w:r w:rsidR="00C12888" w:rsidRPr="00C12888">
        <w:rPr>
          <w:rFonts w:asciiTheme="minorHAnsi" w:hAnsiTheme="minorHAnsi" w:cstheme="minorHAnsi"/>
          <w:noProof/>
          <w:sz w:val="24"/>
          <w:szCs w:val="24"/>
        </w:rPr>
        <w:t>3</w:t>
      </w:r>
      <w:r w:rsidR="00DD4EE1" w:rsidRPr="00252D7B">
        <w:rPr>
          <w:rFonts w:asciiTheme="minorHAnsi" w:hAnsiTheme="minorHAnsi" w:cstheme="minorHAnsi"/>
          <w:sz w:val="24"/>
          <w:szCs w:val="24"/>
        </w:rPr>
        <w:fldChar w:fldCharType="end"/>
      </w:r>
      <w:r w:rsidR="00DD4EE1" w:rsidRPr="00252D7B">
        <w:rPr>
          <w:rFonts w:asciiTheme="minorHAnsi" w:hAnsiTheme="minorHAnsi" w:cstheme="minorHAnsi"/>
          <w:sz w:val="24"/>
          <w:szCs w:val="24"/>
        </w:rPr>
        <w:t xml:space="preserve"> </w:t>
      </w:r>
      <w:r w:rsidRPr="00252D7B">
        <w:rPr>
          <w:rFonts w:asciiTheme="minorHAnsi" w:hAnsiTheme="minorHAnsi" w:cstheme="minorHAnsi"/>
          <w:sz w:val="24"/>
          <w:szCs w:val="24"/>
        </w:rPr>
        <w:t>ilustra</w:t>
      </w:r>
      <w:r w:rsidR="00DD4EE1" w:rsidRPr="00252D7B">
        <w:rPr>
          <w:rFonts w:asciiTheme="minorHAnsi" w:hAnsiTheme="minorHAnsi" w:cstheme="minorHAnsi"/>
          <w:sz w:val="24"/>
          <w:szCs w:val="24"/>
        </w:rPr>
        <w:t>m</w:t>
      </w:r>
      <w:r w:rsidRPr="00252D7B">
        <w:rPr>
          <w:rFonts w:asciiTheme="minorHAnsi" w:hAnsiTheme="minorHAnsi" w:cstheme="minorHAnsi"/>
          <w:sz w:val="24"/>
          <w:szCs w:val="24"/>
        </w:rPr>
        <w:t xml:space="preserve"> informações dos diversos contratos da FIOL II.</w:t>
      </w:r>
    </w:p>
    <w:p w14:paraId="389FAEBF" w14:textId="74792325" w:rsidR="005E7310" w:rsidRPr="00252D7B" w:rsidRDefault="005E7310" w:rsidP="00126EE4">
      <w:pPr>
        <w:rPr>
          <w:rFonts w:asciiTheme="minorHAnsi" w:hAnsiTheme="minorHAnsi" w:cstheme="minorHAnsi"/>
        </w:rPr>
      </w:pPr>
    </w:p>
    <w:p w14:paraId="11AEA83F" w14:textId="77777777" w:rsidR="005E7310" w:rsidRPr="00252D7B" w:rsidRDefault="005E7310">
      <w:pPr>
        <w:widowControl/>
        <w:autoSpaceDE/>
        <w:autoSpaceDN/>
        <w:spacing w:after="160" w:line="259" w:lineRule="auto"/>
        <w:rPr>
          <w:rFonts w:asciiTheme="minorHAnsi" w:hAnsiTheme="minorHAnsi" w:cstheme="minorHAnsi"/>
        </w:rPr>
      </w:pPr>
      <w:r w:rsidRPr="00252D7B">
        <w:rPr>
          <w:rFonts w:asciiTheme="minorHAnsi" w:hAnsiTheme="minorHAnsi" w:cstheme="minorHAnsi"/>
        </w:rPr>
        <w:br w:type="page"/>
      </w:r>
    </w:p>
    <w:p w14:paraId="414F4635" w14:textId="77777777" w:rsidR="00126EE4" w:rsidRPr="00252D7B" w:rsidRDefault="00126EE4" w:rsidP="00126EE4">
      <w:pPr>
        <w:rPr>
          <w:rFonts w:asciiTheme="minorHAnsi" w:hAnsiTheme="minorHAnsi" w:cstheme="minorHAnsi"/>
        </w:rPr>
      </w:pPr>
    </w:p>
    <w:p w14:paraId="60FFB598" w14:textId="50F03E51" w:rsidR="00126EE4" w:rsidRPr="00252D7B" w:rsidRDefault="00126EE4" w:rsidP="001E77E3">
      <w:pPr>
        <w:pStyle w:val="Legenda"/>
        <w:jc w:val="center"/>
        <w:rPr>
          <w:rFonts w:asciiTheme="minorHAnsi" w:hAnsiTheme="minorHAnsi" w:cstheme="minorHAnsi"/>
          <w:sz w:val="20"/>
          <w:szCs w:val="20"/>
        </w:rPr>
      </w:pPr>
      <w:bookmarkStart w:id="70" w:name="_Toc103680767"/>
      <w:r w:rsidRPr="00252D7B">
        <w:rPr>
          <w:rFonts w:asciiTheme="minorHAnsi" w:hAnsiTheme="minorHAnsi" w:cstheme="minorHAnsi"/>
          <w:sz w:val="20"/>
          <w:szCs w:val="20"/>
        </w:rPr>
        <w:t xml:space="preserve">Gráfico </w:t>
      </w:r>
      <w:r w:rsidR="004328AC" w:rsidRPr="00252D7B">
        <w:rPr>
          <w:rFonts w:asciiTheme="minorHAnsi" w:hAnsiTheme="minorHAnsi" w:cstheme="minorHAnsi"/>
          <w:sz w:val="20"/>
          <w:szCs w:val="20"/>
        </w:rPr>
        <w:fldChar w:fldCharType="begin"/>
      </w:r>
      <w:r w:rsidR="004328AC" w:rsidRPr="00252D7B">
        <w:rPr>
          <w:rFonts w:asciiTheme="minorHAnsi" w:hAnsiTheme="minorHAnsi" w:cstheme="minorHAnsi"/>
          <w:sz w:val="20"/>
          <w:szCs w:val="20"/>
        </w:rPr>
        <w:instrText xml:space="preserve"> SEQ Gráfico \* ARABIC </w:instrText>
      </w:r>
      <w:r w:rsidR="004328AC"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2</w:t>
      </w:r>
      <w:r w:rsidR="004328AC" w:rsidRPr="00252D7B">
        <w:rPr>
          <w:rFonts w:asciiTheme="minorHAnsi" w:hAnsiTheme="minorHAnsi" w:cstheme="minorHAnsi"/>
          <w:sz w:val="20"/>
          <w:szCs w:val="20"/>
        </w:rPr>
        <w:fldChar w:fldCharType="end"/>
      </w:r>
      <w:r w:rsidRPr="00252D7B">
        <w:rPr>
          <w:rFonts w:asciiTheme="minorHAnsi" w:hAnsiTheme="minorHAnsi" w:cstheme="minorHAnsi"/>
          <w:sz w:val="20"/>
          <w:szCs w:val="20"/>
        </w:rPr>
        <w:t xml:space="preserve"> </w:t>
      </w:r>
      <w:r w:rsidR="000118B9" w:rsidRPr="00252D7B">
        <w:rPr>
          <w:rFonts w:asciiTheme="minorHAnsi" w:hAnsiTheme="minorHAnsi" w:cstheme="minorHAnsi"/>
          <w:sz w:val="20"/>
          <w:szCs w:val="20"/>
        </w:rPr>
        <w:t>–</w:t>
      </w:r>
      <w:r w:rsidRPr="00252D7B">
        <w:rPr>
          <w:rFonts w:asciiTheme="minorHAnsi" w:hAnsiTheme="minorHAnsi" w:cstheme="minorHAnsi"/>
          <w:sz w:val="20"/>
          <w:szCs w:val="20"/>
        </w:rPr>
        <w:t xml:space="preserve"> Distribuição do Custo Total FIOL II</w:t>
      </w:r>
      <w:bookmarkEnd w:id="70"/>
    </w:p>
    <w:p w14:paraId="4CE66AC0" w14:textId="77777777" w:rsidR="00126EE4" w:rsidRPr="00252D7B" w:rsidRDefault="00126EE4" w:rsidP="00126EE4">
      <w:pPr>
        <w:spacing w:before="120" w:after="120"/>
        <w:jc w:val="center"/>
        <w:rPr>
          <w:rFonts w:asciiTheme="minorHAnsi" w:hAnsiTheme="minorHAnsi" w:cstheme="minorHAnsi"/>
        </w:rPr>
      </w:pPr>
      <w:r w:rsidRPr="00252D7B">
        <w:rPr>
          <w:rFonts w:asciiTheme="minorHAnsi" w:hAnsiTheme="minorHAnsi" w:cstheme="minorHAnsi"/>
          <w:noProof/>
        </w:rPr>
        <w:drawing>
          <wp:inline distT="0" distB="0" distL="0" distR="0" wp14:anchorId="153856C7" wp14:editId="6AA9A280">
            <wp:extent cx="4785189" cy="2142699"/>
            <wp:effectExtent l="0" t="0" r="0" b="0"/>
            <wp:docPr id="14" name="Imagem 14" descr="Gráfico, Gráfico de explosão sola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45389" cy="2214433"/>
                    </a:xfrm>
                    <a:prstGeom prst="rect">
                      <a:avLst/>
                    </a:prstGeom>
                    <a:noFill/>
                  </pic:spPr>
                </pic:pic>
              </a:graphicData>
            </a:graphic>
          </wp:inline>
        </w:drawing>
      </w:r>
    </w:p>
    <w:p w14:paraId="393598F8" w14:textId="77777777" w:rsidR="00126EE4" w:rsidRPr="00252D7B" w:rsidRDefault="00126EE4" w:rsidP="00DD4EE1">
      <w:pPr>
        <w:jc w:val="center"/>
        <w:rPr>
          <w:rFonts w:asciiTheme="minorHAnsi" w:hAnsiTheme="minorHAnsi" w:cstheme="minorHAnsi"/>
        </w:rPr>
      </w:pPr>
    </w:p>
    <w:p w14:paraId="583A356A" w14:textId="32B28343" w:rsidR="00126EE4" w:rsidRPr="00252D7B" w:rsidRDefault="00126EE4" w:rsidP="001E77E3">
      <w:pPr>
        <w:pStyle w:val="Legenda"/>
        <w:jc w:val="center"/>
        <w:rPr>
          <w:rFonts w:asciiTheme="minorHAnsi" w:hAnsiTheme="minorHAnsi" w:cstheme="minorHAnsi"/>
          <w:sz w:val="20"/>
          <w:szCs w:val="20"/>
        </w:rPr>
      </w:pPr>
      <w:bookmarkStart w:id="71" w:name="_Toc531274850"/>
      <w:bookmarkStart w:id="72" w:name="_Toc103680768"/>
      <w:r w:rsidRPr="00252D7B">
        <w:rPr>
          <w:rFonts w:asciiTheme="minorHAnsi" w:hAnsiTheme="minorHAnsi" w:cstheme="minorHAnsi"/>
          <w:sz w:val="20"/>
          <w:szCs w:val="20"/>
        </w:rPr>
        <w:t xml:space="preserve">Gráfico </w:t>
      </w:r>
      <w:r w:rsidR="004328AC" w:rsidRPr="00252D7B">
        <w:rPr>
          <w:rFonts w:asciiTheme="minorHAnsi" w:hAnsiTheme="minorHAnsi" w:cstheme="minorHAnsi"/>
          <w:sz w:val="20"/>
          <w:szCs w:val="20"/>
        </w:rPr>
        <w:fldChar w:fldCharType="begin"/>
      </w:r>
      <w:r w:rsidR="004328AC" w:rsidRPr="00252D7B">
        <w:rPr>
          <w:rFonts w:asciiTheme="minorHAnsi" w:hAnsiTheme="minorHAnsi" w:cstheme="minorHAnsi"/>
          <w:sz w:val="20"/>
          <w:szCs w:val="20"/>
        </w:rPr>
        <w:instrText xml:space="preserve"> SEQ Gráfico \* ARABIC </w:instrText>
      </w:r>
      <w:r w:rsidR="004328AC"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3</w:t>
      </w:r>
      <w:r w:rsidR="004328AC" w:rsidRPr="00252D7B">
        <w:rPr>
          <w:rFonts w:asciiTheme="minorHAnsi" w:hAnsiTheme="minorHAnsi" w:cstheme="minorHAnsi"/>
          <w:sz w:val="20"/>
          <w:szCs w:val="20"/>
        </w:rPr>
        <w:fldChar w:fldCharType="end"/>
      </w:r>
      <w:bookmarkEnd w:id="71"/>
      <w:r w:rsidRPr="00252D7B">
        <w:rPr>
          <w:rFonts w:asciiTheme="minorHAnsi" w:hAnsiTheme="minorHAnsi" w:cstheme="minorHAnsi"/>
          <w:sz w:val="20"/>
          <w:szCs w:val="20"/>
        </w:rPr>
        <w:t xml:space="preserve"> – Custo Total da FIOL II por lote</w:t>
      </w:r>
      <w:bookmarkEnd w:id="72"/>
    </w:p>
    <w:p w14:paraId="4C1FFCBF" w14:textId="77777777" w:rsidR="00126EE4" w:rsidRPr="00252D7B" w:rsidRDefault="00126EE4" w:rsidP="00F841E8">
      <w:pPr>
        <w:spacing w:before="120"/>
        <w:jc w:val="center"/>
        <w:rPr>
          <w:rFonts w:asciiTheme="minorHAnsi" w:hAnsiTheme="minorHAnsi" w:cstheme="minorHAnsi"/>
        </w:rPr>
      </w:pPr>
      <w:r w:rsidRPr="00252D7B">
        <w:rPr>
          <w:rFonts w:asciiTheme="minorHAnsi" w:hAnsiTheme="minorHAnsi" w:cstheme="minorHAnsi"/>
          <w:noProof/>
        </w:rPr>
        <w:drawing>
          <wp:inline distT="0" distB="0" distL="0" distR="0" wp14:anchorId="36FF8C9D" wp14:editId="2F38CC8B">
            <wp:extent cx="4972358" cy="2265529"/>
            <wp:effectExtent l="0" t="0" r="0" b="1905"/>
            <wp:docPr id="1" name="Imagem 1" descr="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35592" cy="2294340"/>
                    </a:xfrm>
                    <a:prstGeom prst="rect">
                      <a:avLst/>
                    </a:prstGeom>
                    <a:noFill/>
                  </pic:spPr>
                </pic:pic>
              </a:graphicData>
            </a:graphic>
          </wp:inline>
        </w:drawing>
      </w:r>
    </w:p>
    <w:p w14:paraId="2E1F717D" w14:textId="77777777" w:rsidR="00F841E8" w:rsidRPr="00252D7B" w:rsidRDefault="00F841E8" w:rsidP="00F841E8">
      <w:pPr>
        <w:jc w:val="both"/>
        <w:rPr>
          <w:rFonts w:asciiTheme="minorHAnsi" w:hAnsiTheme="minorHAnsi" w:cstheme="minorHAnsi"/>
          <w:sz w:val="24"/>
          <w:szCs w:val="24"/>
        </w:rPr>
      </w:pPr>
    </w:p>
    <w:p w14:paraId="0ED18D6C" w14:textId="7D738819" w:rsidR="001709E4" w:rsidRPr="00252D7B" w:rsidRDefault="001709E4" w:rsidP="001F38EF">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Ainda em 2021, por força da subconcessão da FIOL I, a Licença de Instalação N° 1200/2018 foi retificada e dividida por trechos, FIOL I e II, além de emitidas autorizações de captura, coleta e transporte de material biológico - ABIO nº 68/2021 e 69/2021 para estudos e manejo de fauna, Autorização para Supressão de Vegetação - ASV nº 1053.9.2021.35879 e Portarias permissivas do Iphan nº 36/2021 e nº 45/2021 para execução das atividades de arqueologia na FIOL II. Além das licenças, a </w:t>
      </w:r>
      <w:r w:rsidR="00610C91" w:rsidRPr="00252D7B">
        <w:rPr>
          <w:rFonts w:asciiTheme="minorHAnsi" w:hAnsiTheme="minorHAnsi" w:cstheme="minorHAnsi"/>
          <w:sz w:val="24"/>
          <w:szCs w:val="24"/>
        </w:rPr>
        <w:t>Valec</w:t>
      </w:r>
      <w:r w:rsidRPr="00252D7B">
        <w:rPr>
          <w:rFonts w:asciiTheme="minorHAnsi" w:hAnsiTheme="minorHAnsi" w:cstheme="minorHAnsi"/>
          <w:sz w:val="24"/>
          <w:szCs w:val="24"/>
        </w:rPr>
        <w:t xml:space="preserve"> também avançou na liberação de frentes de obra por meio de processos de desapropriação. Em 2021, alcançou-se um total de 98,54% das frentes de obra liberadas.</w:t>
      </w:r>
    </w:p>
    <w:p w14:paraId="52B10825" w14:textId="791DFE74" w:rsidR="00126EE4" w:rsidRPr="00252D7B" w:rsidRDefault="00126EE4" w:rsidP="00A47F02">
      <w:pPr>
        <w:pStyle w:val="PargrafodaLista"/>
        <w:tabs>
          <w:tab w:val="left" w:pos="540"/>
        </w:tabs>
        <w:spacing w:before="120"/>
        <w:ind w:left="426" w:right="2514"/>
        <w:rPr>
          <w:rFonts w:asciiTheme="minorHAnsi" w:hAnsiTheme="minorHAnsi" w:cstheme="minorHAnsi"/>
          <w:sz w:val="24"/>
          <w:szCs w:val="24"/>
        </w:rPr>
      </w:pPr>
    </w:p>
    <w:p w14:paraId="0EB79AB6" w14:textId="77777777" w:rsidR="00CF6DA7" w:rsidRPr="00252D7B" w:rsidRDefault="00CF6DA7" w:rsidP="00A47F02">
      <w:pPr>
        <w:pStyle w:val="PargrafodaLista"/>
        <w:tabs>
          <w:tab w:val="left" w:pos="540"/>
        </w:tabs>
        <w:spacing w:before="120"/>
        <w:ind w:left="426" w:right="2514"/>
        <w:rPr>
          <w:rFonts w:asciiTheme="minorHAnsi" w:hAnsiTheme="minorHAnsi" w:cstheme="minorHAnsi"/>
          <w:sz w:val="24"/>
          <w:szCs w:val="24"/>
        </w:rPr>
      </w:pPr>
    </w:p>
    <w:p w14:paraId="075763D9" w14:textId="4FB9C189" w:rsidR="009A083C" w:rsidRPr="00252D7B" w:rsidRDefault="009A083C" w:rsidP="009A083C">
      <w:pPr>
        <w:pStyle w:val="Ttulo3"/>
        <w:rPr>
          <w:rFonts w:asciiTheme="minorHAnsi" w:hAnsiTheme="minorHAnsi" w:cstheme="minorHAnsi"/>
        </w:rPr>
      </w:pPr>
      <w:bookmarkStart w:id="73" w:name="_Toc103680513"/>
      <w:r w:rsidRPr="00252D7B">
        <w:rPr>
          <w:rFonts w:asciiTheme="minorHAnsi" w:hAnsiTheme="minorHAnsi" w:cstheme="minorHAnsi"/>
        </w:rPr>
        <w:t>EF-354 (Ferrovia Transcontinental e Ferrovia de Integração Centro-Oeste)</w:t>
      </w:r>
      <w:bookmarkEnd w:id="73"/>
    </w:p>
    <w:p w14:paraId="3E9E3933" w14:textId="1CACD8B1" w:rsidR="009A083C" w:rsidRPr="00252D7B" w:rsidRDefault="009A083C" w:rsidP="009A083C">
      <w:pPr>
        <w:spacing w:before="120" w:after="120"/>
        <w:jc w:val="both"/>
        <w:rPr>
          <w:rFonts w:asciiTheme="minorHAnsi" w:hAnsiTheme="minorHAnsi" w:cstheme="minorHAnsi"/>
          <w:color w:val="000000" w:themeColor="text1"/>
          <w:sz w:val="24"/>
          <w:szCs w:val="24"/>
        </w:rPr>
      </w:pPr>
      <w:r w:rsidRPr="00252D7B">
        <w:rPr>
          <w:rFonts w:asciiTheme="minorHAnsi" w:hAnsiTheme="minorHAnsi" w:cstheme="minorHAnsi"/>
          <w:color w:val="000000" w:themeColor="text1"/>
          <w:sz w:val="24"/>
          <w:szCs w:val="24"/>
        </w:rPr>
        <w:t xml:space="preserve">A Ferrovia Transcontinental foi planejada para ter aproximadamente 4.400 km de extensão em solo brasileiro, entre o Porto do Açu, no litoral do estado do Rio de Janeiro e a localidade de Boqueirão da Esperança/AC, como parte da ligação entre os oceanos Atlântico, no Brasil, e Pacífico, no Peru. O trecho entre Mara Rosa/GO e Vilhena/RO, com extensão aproximada de 1.641 km, é a parte mais </w:t>
      </w:r>
      <w:r w:rsidRPr="00252D7B">
        <w:rPr>
          <w:rFonts w:asciiTheme="minorHAnsi" w:hAnsiTheme="minorHAnsi" w:cstheme="minorHAnsi"/>
          <w:color w:val="000000" w:themeColor="text1"/>
          <w:sz w:val="24"/>
          <w:szCs w:val="24"/>
        </w:rPr>
        <w:lastRenderedPageBreak/>
        <w:t>conhecida de seu traçado e encontra-se subdividida nos seguintes trechos:</w:t>
      </w:r>
    </w:p>
    <w:p w14:paraId="57052A4D" w14:textId="77777777" w:rsidR="009A083C" w:rsidRPr="00252D7B" w:rsidRDefault="009A083C" w:rsidP="00014D55">
      <w:pPr>
        <w:pStyle w:val="PargrafodaLista"/>
        <w:numPr>
          <w:ilvl w:val="0"/>
          <w:numId w:val="4"/>
        </w:numPr>
        <w:spacing w:before="120" w:after="120"/>
        <w:ind w:left="992" w:hanging="357"/>
        <w:contextualSpacing w:val="0"/>
        <w:jc w:val="both"/>
        <w:rPr>
          <w:rStyle w:val="jsgrdq"/>
          <w:rFonts w:asciiTheme="minorHAnsi" w:hAnsiTheme="minorHAnsi" w:cstheme="minorHAnsi"/>
        </w:rPr>
      </w:pPr>
      <w:r w:rsidRPr="00252D7B">
        <w:rPr>
          <w:rStyle w:val="jsgrdq"/>
          <w:rFonts w:asciiTheme="minorHAnsi" w:hAnsiTheme="minorHAnsi" w:cstheme="minorHAnsi"/>
        </w:rPr>
        <w:t>FICO I (Mara Rosa/GO a Água-Boa/MT) com 383 km de extensão;</w:t>
      </w:r>
    </w:p>
    <w:p w14:paraId="7C349E77" w14:textId="77777777" w:rsidR="009A083C" w:rsidRPr="00252D7B" w:rsidRDefault="009A083C" w:rsidP="00014D55">
      <w:pPr>
        <w:pStyle w:val="PargrafodaLista"/>
        <w:numPr>
          <w:ilvl w:val="0"/>
          <w:numId w:val="4"/>
        </w:numPr>
        <w:spacing w:before="120" w:after="120"/>
        <w:ind w:left="992" w:hanging="357"/>
        <w:contextualSpacing w:val="0"/>
        <w:jc w:val="both"/>
        <w:rPr>
          <w:rStyle w:val="jsgrdq"/>
          <w:rFonts w:asciiTheme="minorHAnsi" w:hAnsiTheme="minorHAnsi" w:cstheme="minorHAnsi"/>
        </w:rPr>
      </w:pPr>
      <w:r w:rsidRPr="00252D7B">
        <w:rPr>
          <w:rStyle w:val="jsgrdq"/>
          <w:rFonts w:asciiTheme="minorHAnsi" w:hAnsiTheme="minorHAnsi" w:cstheme="minorHAnsi"/>
        </w:rPr>
        <w:t>FICO II (Água-Boa/MT a Lucas do Rio Verde/MT) com 505 km de extensão;</w:t>
      </w:r>
    </w:p>
    <w:p w14:paraId="09B03AE9" w14:textId="77777777" w:rsidR="009A083C" w:rsidRPr="00252D7B" w:rsidRDefault="009A083C" w:rsidP="00014D55">
      <w:pPr>
        <w:pStyle w:val="PargrafodaLista"/>
        <w:numPr>
          <w:ilvl w:val="0"/>
          <w:numId w:val="4"/>
        </w:numPr>
        <w:spacing w:before="120" w:after="120"/>
        <w:ind w:left="992" w:hanging="357"/>
        <w:contextualSpacing w:val="0"/>
        <w:jc w:val="both"/>
        <w:rPr>
          <w:rStyle w:val="jsgrdq"/>
          <w:rFonts w:asciiTheme="minorHAnsi" w:hAnsiTheme="minorHAnsi" w:cstheme="minorHAnsi"/>
        </w:rPr>
      </w:pPr>
      <w:r w:rsidRPr="00252D7B">
        <w:rPr>
          <w:rStyle w:val="jsgrdq"/>
          <w:rFonts w:asciiTheme="minorHAnsi" w:hAnsiTheme="minorHAnsi" w:cstheme="minorHAnsi"/>
        </w:rPr>
        <w:t>FICO III (Lucas do Rio Verde/MT a Vilhena/RO) com 646 km de extensão;</w:t>
      </w:r>
    </w:p>
    <w:p w14:paraId="48D0C3E7" w14:textId="1F53BAA6" w:rsidR="009A083C" w:rsidRPr="00252D7B" w:rsidRDefault="009A083C" w:rsidP="009A083C">
      <w:pPr>
        <w:spacing w:before="120" w:after="120"/>
        <w:jc w:val="both"/>
        <w:rPr>
          <w:rFonts w:asciiTheme="minorHAnsi" w:hAnsiTheme="minorHAnsi" w:cstheme="minorHAnsi"/>
          <w:color w:val="000000" w:themeColor="text1"/>
          <w:sz w:val="24"/>
          <w:szCs w:val="24"/>
        </w:rPr>
      </w:pPr>
      <w:r w:rsidRPr="00252D7B">
        <w:rPr>
          <w:rFonts w:asciiTheme="minorHAnsi" w:hAnsiTheme="minorHAnsi" w:cstheme="minorHAnsi"/>
          <w:color w:val="000000" w:themeColor="text1"/>
          <w:sz w:val="24"/>
          <w:szCs w:val="24"/>
        </w:rPr>
        <w:t>A construção da FICO I será realizada por meio do Investimento Cruzado celebrado entre a VALE</w:t>
      </w:r>
      <w:r w:rsidR="00BC0F02">
        <w:rPr>
          <w:rFonts w:asciiTheme="minorHAnsi" w:hAnsiTheme="minorHAnsi" w:cstheme="minorHAnsi"/>
          <w:color w:val="000000" w:themeColor="text1"/>
          <w:sz w:val="24"/>
          <w:szCs w:val="24"/>
        </w:rPr>
        <w:t xml:space="preserve"> S/A</w:t>
      </w:r>
      <w:r w:rsidRPr="00252D7B">
        <w:rPr>
          <w:rFonts w:asciiTheme="minorHAnsi" w:hAnsiTheme="minorHAnsi" w:cstheme="minorHAnsi"/>
          <w:color w:val="000000" w:themeColor="text1"/>
          <w:sz w:val="24"/>
          <w:szCs w:val="24"/>
        </w:rPr>
        <w:t xml:space="preserve">, a Agência Nacional de Transportes Terrestres- ANTT e a </w:t>
      </w:r>
      <w:r w:rsidR="00610C91" w:rsidRPr="00252D7B">
        <w:rPr>
          <w:rFonts w:asciiTheme="minorHAnsi" w:hAnsiTheme="minorHAnsi" w:cstheme="minorHAnsi"/>
          <w:color w:val="000000" w:themeColor="text1"/>
          <w:sz w:val="24"/>
          <w:szCs w:val="24"/>
        </w:rPr>
        <w:t>Valec</w:t>
      </w:r>
      <w:r w:rsidRPr="00252D7B">
        <w:rPr>
          <w:rFonts w:asciiTheme="minorHAnsi" w:hAnsiTheme="minorHAnsi" w:cstheme="minorHAnsi"/>
          <w:color w:val="000000" w:themeColor="text1"/>
          <w:sz w:val="24"/>
          <w:szCs w:val="24"/>
        </w:rPr>
        <w:t>, mediante a assinatura do Anexo 9 do 3º Termo Aditivo de prorrogação antecipada do Contrato de Concessão da Estrada de Ferro Vitória a Minas.</w:t>
      </w:r>
    </w:p>
    <w:p w14:paraId="0BF844CC" w14:textId="3C42AC82" w:rsidR="009A083C" w:rsidRPr="00252D7B" w:rsidRDefault="009A083C" w:rsidP="009A083C">
      <w:pPr>
        <w:spacing w:before="120" w:after="120"/>
        <w:jc w:val="both"/>
        <w:rPr>
          <w:rFonts w:asciiTheme="minorHAnsi" w:hAnsiTheme="minorHAnsi" w:cstheme="minorHAnsi"/>
          <w:color w:val="000000" w:themeColor="text1"/>
          <w:sz w:val="24"/>
          <w:szCs w:val="24"/>
        </w:rPr>
      </w:pPr>
      <w:r w:rsidRPr="00252D7B">
        <w:rPr>
          <w:rFonts w:asciiTheme="minorHAnsi" w:hAnsiTheme="minorHAnsi" w:cstheme="minorHAnsi"/>
          <w:color w:val="000000" w:themeColor="text1"/>
          <w:sz w:val="24"/>
          <w:szCs w:val="24"/>
        </w:rPr>
        <w:t xml:space="preserve">Dentre as obrigações assumidas pela </w:t>
      </w:r>
      <w:r w:rsidR="00610C91" w:rsidRPr="00252D7B">
        <w:rPr>
          <w:rFonts w:asciiTheme="minorHAnsi" w:hAnsiTheme="minorHAnsi" w:cstheme="minorHAnsi"/>
          <w:color w:val="000000" w:themeColor="text1"/>
          <w:sz w:val="24"/>
          <w:szCs w:val="24"/>
        </w:rPr>
        <w:t>Valec</w:t>
      </w:r>
      <w:r w:rsidRPr="00252D7B">
        <w:rPr>
          <w:rFonts w:asciiTheme="minorHAnsi" w:hAnsiTheme="minorHAnsi" w:cstheme="minorHAnsi"/>
          <w:color w:val="000000" w:themeColor="text1"/>
          <w:sz w:val="24"/>
          <w:szCs w:val="24"/>
        </w:rPr>
        <w:t xml:space="preserve">, está a execução de todo o procedimento de desapropriação disposto na legislação e em conformidade com a Deliberação nº 174, de 31 de março de 2020, expedida pela Diretoria Colegiada da ANTT, que declara a utilidade pública, para efeito de desapropriação e afetação para fins ferroviários, em favor da União, dos bens relacionados à implantação da FICO. Foram liberados, somente em 2021, um total de 86,2% das frentes de obra dos 30km iniciais previstos. </w:t>
      </w:r>
    </w:p>
    <w:p w14:paraId="4E73EB59" w14:textId="62B3514E" w:rsidR="009A083C" w:rsidRPr="00252D7B" w:rsidRDefault="009A083C" w:rsidP="009A083C">
      <w:pPr>
        <w:spacing w:before="120" w:after="120"/>
        <w:jc w:val="both"/>
        <w:rPr>
          <w:rFonts w:asciiTheme="minorHAnsi" w:hAnsiTheme="minorHAnsi" w:cstheme="minorHAnsi"/>
          <w:color w:val="000000" w:themeColor="text1"/>
          <w:sz w:val="24"/>
          <w:szCs w:val="24"/>
        </w:rPr>
      </w:pPr>
      <w:r w:rsidRPr="00252D7B">
        <w:rPr>
          <w:rFonts w:asciiTheme="minorHAnsi" w:hAnsiTheme="minorHAnsi" w:cstheme="minorHAnsi"/>
          <w:color w:val="000000" w:themeColor="text1"/>
          <w:sz w:val="24"/>
          <w:szCs w:val="24"/>
        </w:rPr>
        <w:t xml:space="preserve">De forma complementar, está previsto ainda no Acordo de Obrigações de Investimento a aquisição de </w:t>
      </w:r>
      <w:r w:rsidRPr="00252D7B">
        <w:rPr>
          <w:rFonts w:asciiTheme="minorHAnsi" w:hAnsiTheme="minorHAnsi" w:cstheme="minorHAnsi"/>
          <w:sz w:val="24"/>
          <w:szCs w:val="24"/>
        </w:rPr>
        <w:t>56.432,25 toneladas de trilhos e 32.095 peças de dormentes monoblocos protendidos de concreto para implantação da FIOL II.</w:t>
      </w:r>
      <w:r w:rsidRPr="00252D7B">
        <w:rPr>
          <w:rFonts w:asciiTheme="minorHAnsi" w:hAnsiTheme="minorHAnsi" w:cstheme="minorHAnsi"/>
          <w:color w:val="000000" w:themeColor="text1"/>
          <w:sz w:val="24"/>
          <w:szCs w:val="24"/>
        </w:rPr>
        <w:t xml:space="preserve"> Até dezembro de 2021, os trilhos previstos para o lote </w:t>
      </w:r>
      <w:r w:rsidR="00044743">
        <w:rPr>
          <w:rFonts w:asciiTheme="minorHAnsi" w:hAnsiTheme="minorHAnsi" w:cstheme="minorHAnsi"/>
          <w:color w:val="000000" w:themeColor="text1"/>
          <w:sz w:val="24"/>
          <w:szCs w:val="24"/>
        </w:rPr>
        <w:t>0</w:t>
      </w:r>
      <w:r w:rsidRPr="00252D7B">
        <w:rPr>
          <w:rFonts w:asciiTheme="minorHAnsi" w:hAnsiTheme="minorHAnsi" w:cstheme="minorHAnsi"/>
          <w:color w:val="000000" w:themeColor="text1"/>
          <w:sz w:val="24"/>
          <w:szCs w:val="24"/>
        </w:rPr>
        <w:t>5</w:t>
      </w:r>
      <w:r w:rsidR="00BC0F02">
        <w:rPr>
          <w:rFonts w:asciiTheme="minorHAnsi" w:hAnsiTheme="minorHAnsi" w:cstheme="minorHAnsi"/>
          <w:color w:val="000000" w:themeColor="text1"/>
          <w:sz w:val="24"/>
          <w:szCs w:val="24"/>
        </w:rPr>
        <w:t>F</w:t>
      </w:r>
      <w:r w:rsidRPr="00252D7B">
        <w:rPr>
          <w:rFonts w:asciiTheme="minorHAnsi" w:hAnsiTheme="minorHAnsi" w:cstheme="minorHAnsi"/>
          <w:color w:val="000000" w:themeColor="text1"/>
          <w:sz w:val="24"/>
          <w:szCs w:val="24"/>
        </w:rPr>
        <w:t xml:space="preserve"> e </w:t>
      </w:r>
      <w:r w:rsidR="00044743">
        <w:rPr>
          <w:rFonts w:asciiTheme="minorHAnsi" w:hAnsiTheme="minorHAnsi" w:cstheme="minorHAnsi"/>
          <w:color w:val="000000" w:themeColor="text1"/>
          <w:sz w:val="24"/>
          <w:szCs w:val="24"/>
        </w:rPr>
        <w:t>0</w:t>
      </w:r>
      <w:r w:rsidRPr="00252D7B">
        <w:rPr>
          <w:rFonts w:asciiTheme="minorHAnsi" w:hAnsiTheme="minorHAnsi" w:cstheme="minorHAnsi"/>
          <w:color w:val="000000" w:themeColor="text1"/>
          <w:sz w:val="24"/>
          <w:szCs w:val="24"/>
        </w:rPr>
        <w:t>7</w:t>
      </w:r>
      <w:r w:rsidR="00BC0F02">
        <w:rPr>
          <w:rFonts w:asciiTheme="minorHAnsi" w:hAnsiTheme="minorHAnsi" w:cstheme="minorHAnsi"/>
          <w:color w:val="000000" w:themeColor="text1"/>
          <w:sz w:val="24"/>
          <w:szCs w:val="24"/>
        </w:rPr>
        <w:t>F</w:t>
      </w:r>
      <w:r w:rsidRPr="00252D7B">
        <w:rPr>
          <w:rFonts w:asciiTheme="minorHAnsi" w:hAnsiTheme="minorHAnsi" w:cstheme="minorHAnsi"/>
          <w:color w:val="000000" w:themeColor="text1"/>
          <w:sz w:val="24"/>
          <w:szCs w:val="24"/>
        </w:rPr>
        <w:t xml:space="preserve"> foram entregues e armazenados, bem como objeto de inspeção e certificação de qualidade. Para o lote </w:t>
      </w:r>
      <w:r w:rsidR="00044743">
        <w:rPr>
          <w:rFonts w:asciiTheme="minorHAnsi" w:hAnsiTheme="minorHAnsi" w:cstheme="minorHAnsi"/>
          <w:color w:val="000000" w:themeColor="text1"/>
          <w:sz w:val="24"/>
          <w:szCs w:val="24"/>
        </w:rPr>
        <w:t>0</w:t>
      </w:r>
      <w:r w:rsidRPr="00252D7B">
        <w:rPr>
          <w:rFonts w:asciiTheme="minorHAnsi" w:hAnsiTheme="minorHAnsi" w:cstheme="minorHAnsi"/>
          <w:color w:val="000000" w:themeColor="text1"/>
          <w:sz w:val="24"/>
          <w:szCs w:val="24"/>
        </w:rPr>
        <w:t>6F, o processo encontra-se em andamento, bem como a produção e transporte dos dormentes.</w:t>
      </w:r>
    </w:p>
    <w:p w14:paraId="501899BC" w14:textId="1C155524" w:rsidR="009A083C" w:rsidRPr="00252D7B" w:rsidRDefault="009A083C" w:rsidP="009A083C">
      <w:pPr>
        <w:spacing w:before="120" w:after="120"/>
        <w:jc w:val="both"/>
        <w:rPr>
          <w:rFonts w:asciiTheme="minorHAnsi" w:hAnsiTheme="minorHAnsi" w:cstheme="minorHAnsi"/>
          <w:color w:val="000000" w:themeColor="text1"/>
          <w:sz w:val="24"/>
          <w:szCs w:val="24"/>
        </w:rPr>
      </w:pPr>
      <w:r w:rsidRPr="00252D7B">
        <w:rPr>
          <w:rFonts w:asciiTheme="minorHAnsi" w:hAnsiTheme="minorHAnsi" w:cstheme="minorHAnsi"/>
          <w:color w:val="000000" w:themeColor="text1"/>
          <w:sz w:val="24"/>
          <w:szCs w:val="24"/>
        </w:rPr>
        <w:t xml:space="preserve">Há também importantes ações como a emissão da Licença de Instalação 1364/2020, bem como a Autorização de Supressão Vegetal 1053.9.2021.35877, imprescindíveis à execução das obras na ferrovia, cujas tratativas já foram concluídas em consonância com o art. 3º, XIII, da Lei 13.971. O processo de transferência de titularidade do licenciamento ambiental da </w:t>
      </w:r>
      <w:r w:rsidR="00610C91" w:rsidRPr="00252D7B">
        <w:rPr>
          <w:rFonts w:asciiTheme="minorHAnsi" w:hAnsiTheme="minorHAnsi" w:cstheme="minorHAnsi"/>
          <w:color w:val="000000" w:themeColor="text1"/>
          <w:sz w:val="24"/>
          <w:szCs w:val="24"/>
        </w:rPr>
        <w:t>Valec</w:t>
      </w:r>
      <w:r w:rsidRPr="00252D7B">
        <w:rPr>
          <w:rFonts w:asciiTheme="minorHAnsi" w:hAnsiTheme="minorHAnsi" w:cstheme="minorHAnsi"/>
          <w:color w:val="000000" w:themeColor="text1"/>
          <w:sz w:val="24"/>
          <w:szCs w:val="24"/>
        </w:rPr>
        <w:t xml:space="preserve"> para a VALE foi também concluído em 24/08/2021.</w:t>
      </w:r>
    </w:p>
    <w:p w14:paraId="5ACEAA6C" w14:textId="77777777" w:rsidR="009A083C" w:rsidRPr="00252D7B" w:rsidRDefault="009A083C" w:rsidP="009A083C">
      <w:pPr>
        <w:spacing w:before="120" w:after="120"/>
        <w:jc w:val="both"/>
        <w:rPr>
          <w:rFonts w:asciiTheme="minorHAnsi" w:hAnsiTheme="minorHAnsi" w:cstheme="minorHAnsi"/>
          <w:color w:val="000000" w:themeColor="text1"/>
          <w:sz w:val="24"/>
          <w:szCs w:val="24"/>
        </w:rPr>
      </w:pPr>
      <w:r w:rsidRPr="00252D7B">
        <w:rPr>
          <w:rFonts w:asciiTheme="minorHAnsi" w:hAnsiTheme="minorHAnsi" w:cstheme="minorHAnsi"/>
          <w:color w:val="000000" w:themeColor="text1"/>
          <w:sz w:val="24"/>
          <w:szCs w:val="24"/>
        </w:rPr>
        <w:t>A Ferrovia Transcontinental também engloba o trecho entre Vilhena a Porto Velho, cuja extensão é de 770 km. O trecho interligará a região produtora de grãos e outros produtos agroindustriais do oeste do estado de Mato Grosso e do Sul de Rondônia à Hidrovia do Rio Madeira, em Porto Velho. Além disso, estabelecerá um corredor logístico intermodal importante para acesso aos portos de Itacoatiara/AM e Santarém/PA, que são vias de exportação e importação relevantes em direção à América do Norte, Europa e Ásia.</w:t>
      </w:r>
    </w:p>
    <w:p w14:paraId="6FF299F1" w14:textId="65FE8B1B" w:rsidR="009A083C" w:rsidRPr="00252D7B" w:rsidRDefault="009A083C" w:rsidP="00180054">
      <w:pPr>
        <w:pStyle w:val="PargrafodaLista"/>
        <w:tabs>
          <w:tab w:val="left" w:pos="540"/>
        </w:tabs>
        <w:ind w:left="426" w:right="2514"/>
        <w:rPr>
          <w:rFonts w:asciiTheme="minorHAnsi" w:hAnsiTheme="minorHAnsi" w:cstheme="minorHAnsi"/>
          <w:sz w:val="24"/>
          <w:szCs w:val="24"/>
        </w:rPr>
      </w:pPr>
    </w:p>
    <w:p w14:paraId="712B7AAD" w14:textId="77777777" w:rsidR="00CF6DA7" w:rsidRPr="00252D7B" w:rsidRDefault="00CF6DA7" w:rsidP="00180054">
      <w:pPr>
        <w:pStyle w:val="PargrafodaLista"/>
        <w:tabs>
          <w:tab w:val="left" w:pos="540"/>
        </w:tabs>
        <w:ind w:left="426" w:right="2514"/>
        <w:rPr>
          <w:rFonts w:asciiTheme="minorHAnsi" w:hAnsiTheme="minorHAnsi" w:cstheme="minorHAnsi"/>
          <w:sz w:val="24"/>
          <w:szCs w:val="24"/>
        </w:rPr>
      </w:pPr>
    </w:p>
    <w:p w14:paraId="03E9F0D3" w14:textId="78EDC984" w:rsidR="00990BA2" w:rsidRPr="00252D7B" w:rsidRDefault="0088733F" w:rsidP="0088733F">
      <w:pPr>
        <w:pStyle w:val="Ttulo3"/>
        <w:rPr>
          <w:rFonts w:asciiTheme="minorHAnsi" w:hAnsiTheme="minorHAnsi" w:cstheme="minorHAnsi"/>
        </w:rPr>
      </w:pPr>
      <w:bookmarkStart w:id="74" w:name="_Toc103680514"/>
      <w:r w:rsidRPr="00252D7B">
        <w:rPr>
          <w:rFonts w:asciiTheme="minorHAnsi" w:hAnsiTheme="minorHAnsi" w:cstheme="minorHAnsi"/>
        </w:rPr>
        <w:t>Terminais Logísticos de Carga: Gestão e fiscalização dos contratos ao longo de 2021</w:t>
      </w:r>
      <w:bookmarkEnd w:id="74"/>
    </w:p>
    <w:p w14:paraId="3CDE61F5" w14:textId="586F26A0" w:rsidR="00405E50" w:rsidRPr="00252D7B" w:rsidRDefault="00405E50" w:rsidP="00405E50">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Em conformidade com a Lei n° 11.772, de 17 de setembro de 2008, que atribui a </w:t>
      </w:r>
      <w:r w:rsidR="00610C91" w:rsidRPr="00252D7B">
        <w:rPr>
          <w:rFonts w:asciiTheme="minorHAnsi" w:hAnsiTheme="minorHAnsi" w:cstheme="minorHAnsi"/>
          <w:sz w:val="24"/>
          <w:szCs w:val="24"/>
        </w:rPr>
        <w:t>Valec</w:t>
      </w:r>
      <w:r w:rsidRPr="00252D7B">
        <w:rPr>
          <w:rFonts w:asciiTheme="minorHAnsi" w:hAnsiTheme="minorHAnsi" w:cstheme="minorHAnsi"/>
          <w:sz w:val="24"/>
          <w:szCs w:val="24"/>
        </w:rPr>
        <w:t xml:space="preserve"> a função social de construção e exploração de infraestrutura ferroviária, tem sido empreendido esforços no sentido de auxiliar o Ministério da Infraestrutura na missão de incrementar a participação do modo ferroviário na matriz de transporte nacional, em linha aos indicativos presentes no Plano Nacional de Logística, por meio da transferência à iniciativa privada da exploração econômica de áreas para implementação de terminais de armazenagem e transbordo.</w:t>
      </w:r>
    </w:p>
    <w:p w14:paraId="3A60C47A" w14:textId="4AF76735" w:rsidR="00405E50" w:rsidRPr="00252D7B" w:rsidRDefault="00405E50" w:rsidP="00405E50">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Estas ações também têm contribuído para reduzir sua dependência futura do Orçamento Geral da União, uma vez que esta transferência à iniciativa privada ocorre mediante contraprestações </w:t>
      </w:r>
      <w:r w:rsidRPr="00252D7B">
        <w:rPr>
          <w:rFonts w:asciiTheme="minorHAnsi" w:hAnsiTheme="minorHAnsi" w:cstheme="minorHAnsi"/>
          <w:sz w:val="24"/>
          <w:szCs w:val="24"/>
        </w:rPr>
        <w:lastRenderedPageBreak/>
        <w:t xml:space="preserve">pecuniárias direcionadas para a </w:t>
      </w:r>
      <w:r w:rsidR="00610C91" w:rsidRPr="00252D7B">
        <w:rPr>
          <w:rFonts w:asciiTheme="minorHAnsi" w:hAnsiTheme="minorHAnsi" w:cstheme="minorHAnsi"/>
          <w:sz w:val="24"/>
          <w:szCs w:val="24"/>
        </w:rPr>
        <w:t>Valec</w:t>
      </w:r>
      <w:r w:rsidRPr="00252D7B">
        <w:rPr>
          <w:rFonts w:asciiTheme="minorHAnsi" w:hAnsiTheme="minorHAnsi" w:cstheme="minorHAnsi"/>
          <w:sz w:val="24"/>
          <w:szCs w:val="24"/>
        </w:rPr>
        <w:t xml:space="preserve">. </w:t>
      </w:r>
    </w:p>
    <w:p w14:paraId="2D5E594F" w14:textId="77777777" w:rsidR="00405E50" w:rsidRPr="00252D7B" w:rsidRDefault="00405E50" w:rsidP="00405E50">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As principais ações desenvolvidas durante o ano de 2021 se concentraram na consolidação dos seguintes processos de outorga, a saber:</w:t>
      </w:r>
    </w:p>
    <w:p w14:paraId="1794EF23" w14:textId="77777777" w:rsidR="00405E50" w:rsidRPr="00252D7B" w:rsidRDefault="00405E50" w:rsidP="00014D55">
      <w:pPr>
        <w:pStyle w:val="PargrafodaLista"/>
        <w:numPr>
          <w:ilvl w:val="0"/>
          <w:numId w:val="4"/>
        </w:numPr>
        <w:spacing w:before="120" w:after="120"/>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 xml:space="preserve">Lote 05 em Porto Franco-MA, certame este vencido pela VLi cujo objeto foi a operação de terminal de grãos (projeto do tipo </w:t>
      </w:r>
      <w:r w:rsidRPr="00252D7B">
        <w:rPr>
          <w:rStyle w:val="jsgrdq"/>
          <w:rFonts w:asciiTheme="minorHAnsi" w:hAnsiTheme="minorHAnsi" w:cstheme="minorHAnsi"/>
          <w:i/>
          <w:iCs/>
          <w:sz w:val="24"/>
          <w:szCs w:val="24"/>
        </w:rPr>
        <w:t>brownfield</w:t>
      </w:r>
      <w:r w:rsidRPr="00252D7B">
        <w:rPr>
          <w:rStyle w:val="jsgrdq"/>
          <w:rFonts w:asciiTheme="minorHAnsi" w:hAnsiTheme="minorHAnsi" w:cstheme="minorHAnsi"/>
          <w:sz w:val="24"/>
          <w:szCs w:val="24"/>
        </w:rPr>
        <w:t xml:space="preserve">); </w:t>
      </w:r>
    </w:p>
    <w:p w14:paraId="47A6D779" w14:textId="77777777" w:rsidR="00405E50" w:rsidRPr="00252D7B" w:rsidRDefault="00405E50" w:rsidP="00014D55">
      <w:pPr>
        <w:pStyle w:val="PargrafodaLista"/>
        <w:numPr>
          <w:ilvl w:val="0"/>
          <w:numId w:val="4"/>
        </w:numPr>
        <w:spacing w:before="120" w:after="120"/>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 xml:space="preserve">Terminal de Minério em Guaraí-TO, certame este vencido pela MSB Minerações (projeto do tipo </w:t>
      </w:r>
      <w:r w:rsidRPr="00252D7B">
        <w:rPr>
          <w:rStyle w:val="jsgrdq"/>
          <w:rFonts w:asciiTheme="minorHAnsi" w:hAnsiTheme="minorHAnsi" w:cstheme="minorHAnsi"/>
          <w:i/>
          <w:iCs/>
          <w:sz w:val="24"/>
          <w:szCs w:val="24"/>
        </w:rPr>
        <w:t>greenfield</w:t>
      </w:r>
      <w:r w:rsidRPr="00252D7B">
        <w:rPr>
          <w:rStyle w:val="jsgrdq"/>
          <w:rFonts w:asciiTheme="minorHAnsi" w:hAnsiTheme="minorHAnsi" w:cstheme="minorHAnsi"/>
          <w:sz w:val="24"/>
          <w:szCs w:val="24"/>
        </w:rPr>
        <w:t xml:space="preserve">); </w:t>
      </w:r>
    </w:p>
    <w:p w14:paraId="66A51AEA" w14:textId="77777777" w:rsidR="00405E50" w:rsidRPr="00252D7B" w:rsidRDefault="00405E50" w:rsidP="00014D55">
      <w:pPr>
        <w:pStyle w:val="PargrafodaLista"/>
        <w:numPr>
          <w:ilvl w:val="0"/>
          <w:numId w:val="4"/>
        </w:numPr>
        <w:spacing w:before="120" w:after="120"/>
        <w:ind w:left="992" w:hanging="357"/>
        <w:contextualSpacing w:val="0"/>
        <w:jc w:val="both"/>
        <w:rPr>
          <w:rFonts w:asciiTheme="minorHAnsi" w:hAnsiTheme="minorHAnsi" w:cstheme="minorHAnsi"/>
          <w:sz w:val="24"/>
          <w:szCs w:val="24"/>
        </w:rPr>
      </w:pPr>
      <w:r w:rsidRPr="00252D7B">
        <w:rPr>
          <w:rStyle w:val="jsgrdq"/>
          <w:rFonts w:asciiTheme="minorHAnsi" w:hAnsiTheme="minorHAnsi" w:cstheme="minorHAnsi"/>
          <w:sz w:val="24"/>
          <w:szCs w:val="24"/>
        </w:rPr>
        <w:t xml:space="preserve">Permissão de acesso ao Pátio de Porto Franco-MA pela empresa ADM do Brasil Ltda (projeto do tipo </w:t>
      </w:r>
      <w:r w:rsidRPr="00252D7B">
        <w:rPr>
          <w:rStyle w:val="jsgrdq"/>
          <w:rFonts w:asciiTheme="minorHAnsi" w:hAnsiTheme="minorHAnsi" w:cstheme="minorHAnsi"/>
          <w:i/>
          <w:iCs/>
          <w:sz w:val="24"/>
          <w:szCs w:val="24"/>
        </w:rPr>
        <w:t>brownfield</w:t>
      </w:r>
      <w:r w:rsidRPr="00252D7B">
        <w:rPr>
          <w:rStyle w:val="jsgrdq"/>
          <w:rFonts w:asciiTheme="minorHAnsi" w:hAnsiTheme="minorHAnsi" w:cstheme="minorHAnsi"/>
          <w:sz w:val="24"/>
          <w:szCs w:val="24"/>
        </w:rPr>
        <w:t>), conforme Regulamento para Acesso à Infraestrutura</w:t>
      </w:r>
      <w:r w:rsidRPr="00252D7B">
        <w:rPr>
          <w:rFonts w:asciiTheme="minorHAnsi" w:hAnsiTheme="minorHAnsi" w:cstheme="minorHAnsi"/>
          <w:sz w:val="24"/>
          <w:szCs w:val="24"/>
        </w:rPr>
        <w:t xml:space="preserve"> Ferroviária e Cobrança da Tarifa de Instalação e Uso (NGL 1.7.1.1).</w:t>
      </w:r>
    </w:p>
    <w:p w14:paraId="67067AAB" w14:textId="77777777" w:rsidR="00405E50" w:rsidRPr="00252D7B" w:rsidRDefault="00405E50" w:rsidP="005F3B85">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Estes certames foram sedimentados após conclusão de rito específico que congrega, além da fase de desenvolvimento dos estudos técnicos que acompanham a licitação – neste caso desenvolvidos diretamente pela equipe técnica desta estatal –, fases de consulta pública, discussão com o Tribunal de Contas da União e fase de publicação de edital e leilão.   </w:t>
      </w:r>
    </w:p>
    <w:p w14:paraId="7E9CCF07" w14:textId="64AC0125" w:rsidR="00405E50" w:rsidRPr="00252D7B" w:rsidRDefault="00405E50" w:rsidP="005F3B85">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Ademais, durante o ano 2021, foi deflagrado processo de Chamamento Público de Estudos - CPE para recebimento de Estudos Técnicos para respaldar potencial processo de outorga de áreas localizadas no Pátio de Santa Helena de Goiás, com fulcro no Decreto nº 8.428/2015 e no Regulamento Interno de Licitações e Contratos - RILC/</w:t>
      </w:r>
      <w:r w:rsidR="00610C91" w:rsidRPr="00252D7B">
        <w:rPr>
          <w:rFonts w:asciiTheme="minorHAnsi" w:hAnsiTheme="minorHAnsi" w:cstheme="minorHAnsi"/>
          <w:sz w:val="24"/>
          <w:szCs w:val="24"/>
        </w:rPr>
        <w:t>Valec</w:t>
      </w:r>
      <w:r w:rsidRPr="00252D7B">
        <w:rPr>
          <w:rFonts w:asciiTheme="minorHAnsi" w:hAnsiTheme="minorHAnsi" w:cstheme="minorHAnsi"/>
          <w:sz w:val="24"/>
          <w:szCs w:val="24"/>
        </w:rPr>
        <w:t xml:space="preserve">. </w:t>
      </w:r>
    </w:p>
    <w:p w14:paraId="60BF48BC" w14:textId="7825956C" w:rsidR="00405E50" w:rsidRPr="00252D7B" w:rsidRDefault="00405E50" w:rsidP="005F3B85">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A </w:t>
      </w:r>
      <w:r w:rsidR="00610C91" w:rsidRPr="00252D7B">
        <w:rPr>
          <w:rFonts w:asciiTheme="minorHAnsi" w:hAnsiTheme="minorHAnsi" w:cstheme="minorHAnsi"/>
          <w:sz w:val="24"/>
          <w:szCs w:val="24"/>
        </w:rPr>
        <w:t>Valec</w:t>
      </w:r>
      <w:r w:rsidRPr="00252D7B">
        <w:rPr>
          <w:rFonts w:asciiTheme="minorHAnsi" w:hAnsiTheme="minorHAnsi" w:cstheme="minorHAnsi"/>
          <w:sz w:val="24"/>
          <w:szCs w:val="24"/>
        </w:rPr>
        <w:t xml:space="preserve"> recebeu, por meio deste processo, 5 estudos técnicos que servirão de base para concessão de terminais de diferentes perfis, quais sejam: 2 Terminais de Graneis Líquidos, 01 Terminal de Fertilizante, 01 Terminal de Carga Geral e 01 Terminal de Graneis Sólidos Agrícolas. Todos os projetos associados são do tipo </w:t>
      </w:r>
      <w:r w:rsidRPr="00252D7B">
        <w:rPr>
          <w:rFonts w:asciiTheme="minorHAnsi" w:hAnsiTheme="minorHAnsi" w:cstheme="minorHAnsi"/>
          <w:i/>
          <w:iCs/>
          <w:sz w:val="24"/>
          <w:szCs w:val="24"/>
        </w:rPr>
        <w:t>greenfield</w:t>
      </w:r>
      <w:r w:rsidRPr="00252D7B">
        <w:rPr>
          <w:rFonts w:asciiTheme="minorHAnsi" w:hAnsiTheme="minorHAnsi" w:cstheme="minorHAnsi"/>
          <w:sz w:val="24"/>
          <w:szCs w:val="24"/>
        </w:rPr>
        <w:t>.</w:t>
      </w:r>
    </w:p>
    <w:p w14:paraId="47E091BD" w14:textId="002EFD97" w:rsidR="00AF6566" w:rsidRPr="00252D7B" w:rsidRDefault="00AF6566" w:rsidP="000118B9">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A Valec encerrou o ano de 2021 com 16 instrumentos de outorga vigentes, tendo por objeto terminais e instalações de transbordo de cargas, ambos distribuídos ao longo da Ferrovia Norte-Sul (</w:t>
      </w:r>
      <w:r w:rsidR="005E7310" w:rsidRPr="00252D7B">
        <w:rPr>
          <w:rFonts w:asciiTheme="minorHAnsi" w:hAnsiTheme="minorHAnsi" w:cstheme="minorHAnsi"/>
          <w:sz w:val="24"/>
          <w:szCs w:val="24"/>
        </w:rPr>
        <w:t>Figura 6</w:t>
      </w:r>
      <w:r w:rsidRPr="00252D7B">
        <w:rPr>
          <w:rFonts w:asciiTheme="minorHAnsi" w:hAnsiTheme="minorHAnsi" w:cstheme="minorHAnsi"/>
          <w:sz w:val="24"/>
          <w:szCs w:val="24"/>
        </w:rPr>
        <w:t>):</w:t>
      </w:r>
    </w:p>
    <w:p w14:paraId="0D43DEE6" w14:textId="2FF8C074" w:rsidR="00AF6566" w:rsidRPr="00252D7B" w:rsidRDefault="00AF6566" w:rsidP="00AF6566">
      <w:pPr>
        <w:pStyle w:val="Legenda"/>
        <w:jc w:val="center"/>
        <w:rPr>
          <w:rFonts w:asciiTheme="minorHAnsi" w:hAnsiTheme="minorHAnsi" w:cstheme="minorHAnsi"/>
          <w:sz w:val="20"/>
          <w:szCs w:val="20"/>
        </w:rPr>
      </w:pPr>
      <w:bookmarkStart w:id="75" w:name="_Toc103680742"/>
      <w:r w:rsidRPr="00252D7B">
        <w:rPr>
          <w:rFonts w:asciiTheme="minorHAnsi" w:hAnsiTheme="minorHAnsi" w:cstheme="minorHAnsi"/>
          <w:sz w:val="20"/>
          <w:szCs w:val="20"/>
        </w:rPr>
        <w:t xml:space="preserve">Figura </w:t>
      </w:r>
      <w:r w:rsidR="00F46BDB" w:rsidRPr="00252D7B">
        <w:rPr>
          <w:rFonts w:asciiTheme="minorHAnsi" w:hAnsiTheme="minorHAnsi" w:cstheme="minorHAnsi"/>
          <w:sz w:val="20"/>
          <w:szCs w:val="20"/>
        </w:rPr>
        <w:fldChar w:fldCharType="begin"/>
      </w:r>
      <w:r w:rsidR="00F46BDB" w:rsidRPr="00252D7B">
        <w:rPr>
          <w:rFonts w:asciiTheme="minorHAnsi" w:hAnsiTheme="minorHAnsi" w:cstheme="minorHAnsi"/>
          <w:sz w:val="20"/>
          <w:szCs w:val="20"/>
        </w:rPr>
        <w:instrText xml:space="preserve"> SEQ Figura \* ARABIC </w:instrText>
      </w:r>
      <w:r w:rsidR="00F46BDB"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6</w:t>
      </w:r>
      <w:r w:rsidR="00F46BDB" w:rsidRPr="00252D7B">
        <w:rPr>
          <w:rFonts w:asciiTheme="minorHAnsi" w:hAnsiTheme="minorHAnsi" w:cstheme="minorHAnsi"/>
          <w:sz w:val="20"/>
          <w:szCs w:val="20"/>
        </w:rPr>
        <w:fldChar w:fldCharType="end"/>
      </w:r>
      <w:r w:rsidR="000118B9" w:rsidRPr="00252D7B">
        <w:rPr>
          <w:rFonts w:asciiTheme="minorHAnsi" w:hAnsiTheme="minorHAnsi" w:cstheme="minorHAnsi"/>
          <w:sz w:val="20"/>
          <w:szCs w:val="20"/>
        </w:rPr>
        <w:t xml:space="preserve"> – </w:t>
      </w:r>
      <w:r w:rsidRPr="00252D7B">
        <w:rPr>
          <w:rFonts w:asciiTheme="minorHAnsi" w:hAnsiTheme="minorHAnsi" w:cstheme="minorHAnsi"/>
          <w:sz w:val="20"/>
          <w:szCs w:val="20"/>
        </w:rPr>
        <w:t xml:space="preserve">Empresas </w:t>
      </w:r>
      <w:r w:rsidR="000118B9" w:rsidRPr="00252D7B">
        <w:rPr>
          <w:rFonts w:asciiTheme="minorHAnsi" w:hAnsiTheme="minorHAnsi" w:cstheme="minorHAnsi"/>
          <w:sz w:val="20"/>
          <w:szCs w:val="20"/>
        </w:rPr>
        <w:t>–</w:t>
      </w:r>
      <w:r w:rsidRPr="00252D7B">
        <w:rPr>
          <w:rFonts w:asciiTheme="minorHAnsi" w:hAnsiTheme="minorHAnsi" w:cstheme="minorHAnsi"/>
          <w:sz w:val="20"/>
          <w:szCs w:val="20"/>
        </w:rPr>
        <w:t xml:space="preserve"> tipo de cargas </w:t>
      </w:r>
      <w:r w:rsidR="000118B9" w:rsidRPr="00252D7B">
        <w:rPr>
          <w:rFonts w:asciiTheme="minorHAnsi" w:hAnsiTheme="minorHAnsi" w:cstheme="minorHAnsi"/>
          <w:sz w:val="20"/>
          <w:szCs w:val="20"/>
        </w:rPr>
        <w:t>–</w:t>
      </w:r>
      <w:r w:rsidRPr="00252D7B">
        <w:rPr>
          <w:rFonts w:asciiTheme="minorHAnsi" w:hAnsiTheme="minorHAnsi" w:cstheme="minorHAnsi"/>
          <w:sz w:val="20"/>
          <w:szCs w:val="20"/>
        </w:rPr>
        <w:t xml:space="preserve"> localização.</w:t>
      </w:r>
      <w:bookmarkEnd w:id="75"/>
      <w:r w:rsidRPr="00252D7B">
        <w:rPr>
          <w:rFonts w:asciiTheme="minorHAnsi" w:hAnsiTheme="minorHAnsi" w:cstheme="minorHAnsi"/>
          <w:sz w:val="20"/>
          <w:szCs w:val="20"/>
        </w:rPr>
        <w:t xml:space="preserve"> </w:t>
      </w:r>
    </w:p>
    <w:p w14:paraId="7FCACBDB" w14:textId="59C792AB" w:rsidR="00AF6566" w:rsidRPr="00252D7B" w:rsidRDefault="004656D2" w:rsidP="004656D2">
      <w:pPr>
        <w:spacing w:before="120" w:after="120"/>
        <w:rPr>
          <w:rFonts w:asciiTheme="minorHAnsi" w:hAnsiTheme="minorHAnsi" w:cstheme="minorHAnsi"/>
        </w:rPr>
      </w:pPr>
      <w:r w:rsidRPr="00252D7B">
        <w:rPr>
          <w:rFonts w:asciiTheme="minorHAnsi" w:hAnsiTheme="minorHAnsi" w:cstheme="minorHAnsi"/>
          <w:noProof/>
        </w:rPr>
        <w:drawing>
          <wp:anchor distT="0" distB="0" distL="114300" distR="114300" simplePos="0" relativeHeight="251649536" behindDoc="0" locked="0" layoutInCell="1" allowOverlap="1" wp14:anchorId="4392804B" wp14:editId="4166DB3D">
            <wp:simplePos x="0" y="0"/>
            <wp:positionH relativeFrom="column">
              <wp:posOffset>4596946</wp:posOffset>
            </wp:positionH>
            <wp:positionV relativeFrom="paragraph">
              <wp:posOffset>870585</wp:posOffset>
            </wp:positionV>
            <wp:extent cx="1351280" cy="1466850"/>
            <wp:effectExtent l="0" t="0" r="0" b="0"/>
            <wp:wrapNone/>
            <wp:docPr id="10" name="Imagem 12"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2" descr="Mapa&#10;&#10;Descrição gerada automaticament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51280" cy="1466850"/>
                    </a:xfrm>
                    <a:prstGeom prst="rect">
                      <a:avLst/>
                    </a:prstGeom>
                    <a:noFill/>
                  </pic:spPr>
                </pic:pic>
              </a:graphicData>
            </a:graphic>
            <wp14:sizeRelH relativeFrom="page">
              <wp14:pctWidth>0</wp14:pctWidth>
            </wp14:sizeRelH>
            <wp14:sizeRelV relativeFrom="page">
              <wp14:pctHeight>0</wp14:pctHeight>
            </wp14:sizeRelV>
          </wp:anchor>
        </w:drawing>
      </w:r>
      <w:r w:rsidRPr="00252D7B">
        <w:rPr>
          <w:rFonts w:asciiTheme="minorHAnsi" w:hAnsiTheme="minorHAnsi" w:cstheme="minorHAnsi"/>
          <w:noProof/>
        </w:rPr>
        <w:drawing>
          <wp:anchor distT="0" distB="0" distL="114300" distR="114300" simplePos="0" relativeHeight="251655680" behindDoc="1" locked="0" layoutInCell="1" allowOverlap="1" wp14:anchorId="3D988EF7" wp14:editId="45B66F25">
            <wp:simplePos x="0" y="0"/>
            <wp:positionH relativeFrom="column">
              <wp:posOffset>4597086</wp:posOffset>
            </wp:positionH>
            <wp:positionV relativeFrom="paragraph">
              <wp:posOffset>-635</wp:posOffset>
            </wp:positionV>
            <wp:extent cx="1685290" cy="920115"/>
            <wp:effectExtent l="0" t="0" r="0" b="0"/>
            <wp:wrapNone/>
            <wp:docPr id="11" name="Imagem 14"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4" descr="Interface gráfica do usuário&#10;&#10;Descrição gerada automaticamente"/>
                    <pic:cNvPicPr>
                      <a:picLocks noChangeAspect="1" noChangeArrowheads="1"/>
                    </pic:cNvPicPr>
                  </pic:nvPicPr>
                  <pic:blipFill>
                    <a:blip r:embed="rId42">
                      <a:extLst>
                        <a:ext uri="{28A0092B-C50C-407E-A947-70E740481C1C}">
                          <a14:useLocalDpi xmlns:a14="http://schemas.microsoft.com/office/drawing/2010/main" val="0"/>
                        </a:ext>
                      </a:extLst>
                    </a:blip>
                    <a:srcRect r="5576"/>
                    <a:stretch>
                      <a:fillRect/>
                    </a:stretch>
                  </pic:blipFill>
                  <pic:spPr bwMode="auto">
                    <a:xfrm>
                      <a:off x="0" y="0"/>
                      <a:ext cx="1685290" cy="920115"/>
                    </a:xfrm>
                    <a:prstGeom prst="rect">
                      <a:avLst/>
                    </a:prstGeom>
                    <a:noFill/>
                  </pic:spPr>
                </pic:pic>
              </a:graphicData>
            </a:graphic>
            <wp14:sizeRelH relativeFrom="page">
              <wp14:pctWidth>0</wp14:pctWidth>
            </wp14:sizeRelH>
            <wp14:sizeRelV relativeFrom="page">
              <wp14:pctHeight>0</wp14:pctHeight>
            </wp14:sizeRelV>
          </wp:anchor>
        </w:drawing>
      </w:r>
      <w:r w:rsidR="00AF6566" w:rsidRPr="00252D7B">
        <w:rPr>
          <w:rFonts w:asciiTheme="minorHAnsi" w:hAnsiTheme="minorHAnsi" w:cstheme="minorHAnsi"/>
          <w:noProof/>
        </w:rPr>
        <w:drawing>
          <wp:inline distT="0" distB="0" distL="0" distR="0" wp14:anchorId="4A7DC9CD" wp14:editId="11D8A05A">
            <wp:extent cx="4277109" cy="2186092"/>
            <wp:effectExtent l="0" t="0" r="0" b="5080"/>
            <wp:docPr id="7" name="Imagem 13" descr="Tela de celular com publicação numa rede socia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13" descr="Tela de celular com publicação numa rede social&#10;&#10;Descrição gerada automaticament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10611" cy="2203215"/>
                    </a:xfrm>
                    <a:prstGeom prst="rect">
                      <a:avLst/>
                    </a:prstGeom>
                    <a:noFill/>
                    <a:ln>
                      <a:noFill/>
                    </a:ln>
                  </pic:spPr>
                </pic:pic>
              </a:graphicData>
            </a:graphic>
          </wp:inline>
        </w:drawing>
      </w:r>
    </w:p>
    <w:p w14:paraId="03570390" w14:textId="77777777" w:rsidR="004C68F2" w:rsidRPr="00252D7B" w:rsidRDefault="004C68F2" w:rsidP="004C68F2">
      <w:pPr>
        <w:pStyle w:val="Legenda"/>
        <w:jc w:val="center"/>
        <w:rPr>
          <w:rFonts w:asciiTheme="minorHAnsi" w:hAnsiTheme="minorHAnsi" w:cstheme="minorHAnsi"/>
          <w:sz w:val="20"/>
          <w:szCs w:val="20"/>
        </w:rPr>
      </w:pPr>
      <w:r w:rsidRPr="00252D7B">
        <w:rPr>
          <w:rFonts w:asciiTheme="minorHAnsi" w:hAnsiTheme="minorHAnsi" w:cstheme="minorHAnsi"/>
          <w:sz w:val="20"/>
          <w:szCs w:val="20"/>
        </w:rPr>
        <w:t>Fonte: GETER/SUGOP, 2021.</w:t>
      </w:r>
    </w:p>
    <w:p w14:paraId="21FB9A81" w14:textId="04DF0647" w:rsidR="00AF6566" w:rsidRPr="00252D7B" w:rsidRDefault="00AF6566" w:rsidP="00AF6566">
      <w:pPr>
        <w:spacing w:before="120" w:after="120"/>
        <w:jc w:val="center"/>
        <w:rPr>
          <w:rFonts w:asciiTheme="minorHAnsi" w:hAnsiTheme="minorHAnsi" w:cstheme="minorHAnsi"/>
          <w:color w:val="000000"/>
          <w:sz w:val="18"/>
          <w:szCs w:val="18"/>
        </w:rPr>
      </w:pPr>
    </w:p>
    <w:p w14:paraId="7AC9CA8E" w14:textId="77777777" w:rsidR="00AF6566" w:rsidRPr="00252D7B" w:rsidRDefault="00AF6566" w:rsidP="007C4D84">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Desse total, 5 geraram receitas para a Valec no exercício 2021, alcançando o montante de R$ 1.976.420,52. Nesse mesmo período, 10 terminais operaram efetivamente, alcançando a marca de </w:t>
      </w:r>
      <w:r w:rsidRPr="00252D7B">
        <w:rPr>
          <w:rFonts w:asciiTheme="minorHAnsi" w:hAnsiTheme="minorHAnsi" w:cstheme="minorHAnsi"/>
          <w:sz w:val="24"/>
          <w:szCs w:val="24"/>
        </w:rPr>
        <w:lastRenderedPageBreak/>
        <w:t>movimentação de 2.529.211 TU de granéis sólidos agrícolas e 846.689 TU de granéis líquidos combustíveis.</w:t>
      </w:r>
    </w:p>
    <w:p w14:paraId="2A6CB5B4" w14:textId="77777777" w:rsidR="00AF6566" w:rsidRPr="00252D7B" w:rsidRDefault="00AF6566" w:rsidP="007C4D84">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Em relação ao </w:t>
      </w:r>
      <w:r w:rsidRPr="00252D7B">
        <w:rPr>
          <w:rFonts w:asciiTheme="minorHAnsi" w:hAnsiTheme="minorHAnsi" w:cstheme="minorHAnsi"/>
          <w:b/>
          <w:bCs/>
          <w:sz w:val="24"/>
          <w:szCs w:val="24"/>
        </w:rPr>
        <w:t>Programa Terminais Inteligentes</w:t>
      </w:r>
      <w:r w:rsidRPr="00252D7B">
        <w:rPr>
          <w:rFonts w:asciiTheme="minorHAnsi" w:hAnsiTheme="minorHAnsi" w:cstheme="minorHAnsi"/>
          <w:sz w:val="24"/>
          <w:szCs w:val="24"/>
        </w:rPr>
        <w:t xml:space="preserve">, destaca-se que em 2021 foram finalizadas as revisitações de 18 processos relacionados aos terminais. Tal iniciativa visa, além de solucionar as pendências contratuais, o aprimoramento da gestão e fiscalização desses ativos. </w:t>
      </w:r>
    </w:p>
    <w:p w14:paraId="0913B92A" w14:textId="67DC90B4" w:rsidR="00360153" w:rsidRPr="00252D7B" w:rsidRDefault="00360153" w:rsidP="00D03C96">
      <w:pPr>
        <w:spacing w:before="120"/>
        <w:jc w:val="both"/>
        <w:rPr>
          <w:rFonts w:asciiTheme="minorHAnsi" w:hAnsiTheme="minorHAnsi" w:cstheme="minorHAnsi"/>
          <w:color w:val="000000"/>
          <w:sz w:val="24"/>
          <w:szCs w:val="24"/>
        </w:rPr>
      </w:pPr>
    </w:p>
    <w:p w14:paraId="13A837B0" w14:textId="77777777" w:rsidR="00CF6DA7" w:rsidRPr="00252D7B" w:rsidRDefault="00CF6DA7" w:rsidP="00D03C96">
      <w:pPr>
        <w:spacing w:before="120"/>
        <w:jc w:val="both"/>
        <w:rPr>
          <w:rFonts w:asciiTheme="minorHAnsi" w:hAnsiTheme="minorHAnsi" w:cstheme="minorHAnsi"/>
          <w:color w:val="000000"/>
          <w:sz w:val="24"/>
          <w:szCs w:val="24"/>
        </w:rPr>
      </w:pPr>
    </w:p>
    <w:p w14:paraId="051058D6" w14:textId="77777777" w:rsidR="0096493B" w:rsidRPr="00252D7B" w:rsidRDefault="0096493B" w:rsidP="0096493B">
      <w:pPr>
        <w:pStyle w:val="Ttulo3"/>
        <w:rPr>
          <w:rFonts w:asciiTheme="minorHAnsi" w:hAnsiTheme="minorHAnsi" w:cstheme="minorHAnsi"/>
        </w:rPr>
      </w:pPr>
      <w:bookmarkStart w:id="76" w:name="_Toc103680515"/>
      <w:r w:rsidRPr="00252D7B">
        <w:rPr>
          <w:rFonts w:asciiTheme="minorHAnsi" w:hAnsiTheme="minorHAnsi" w:cstheme="minorHAnsi"/>
        </w:rPr>
        <w:t>Terminais Logísticos de Carga: Credenciamento para realização de estudos</w:t>
      </w:r>
      <w:bookmarkEnd w:id="76"/>
    </w:p>
    <w:p w14:paraId="5F2CBC9E" w14:textId="06494C10" w:rsidR="0096493B" w:rsidRPr="00252D7B" w:rsidRDefault="0096493B" w:rsidP="007C4D84">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A importante missão de prospecção e estruturação de novas oportunidades de negócios da </w:t>
      </w:r>
      <w:r w:rsidR="00610C91" w:rsidRPr="00252D7B">
        <w:rPr>
          <w:rFonts w:asciiTheme="minorHAnsi" w:hAnsiTheme="minorHAnsi" w:cstheme="minorHAnsi"/>
          <w:sz w:val="24"/>
          <w:szCs w:val="24"/>
        </w:rPr>
        <w:t>Valec</w:t>
      </w:r>
      <w:r w:rsidRPr="00252D7B">
        <w:rPr>
          <w:rFonts w:asciiTheme="minorHAnsi" w:hAnsiTheme="minorHAnsi" w:cstheme="minorHAnsi"/>
          <w:sz w:val="24"/>
          <w:szCs w:val="24"/>
        </w:rPr>
        <w:t xml:space="preserve"> defrontava-se com a necessidade de realização de estudos com vistas a verificar a viabilidade e estruturação da modelagem de subsídio para o procedimento de outorga desses bens.</w:t>
      </w:r>
    </w:p>
    <w:p w14:paraId="524CE00D" w14:textId="6E8542F5" w:rsidR="0096493B" w:rsidRPr="00252D7B" w:rsidRDefault="0096493B" w:rsidP="007C4D84">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A expertise do corpo técnico da </w:t>
      </w:r>
      <w:r w:rsidR="00610C91" w:rsidRPr="00252D7B">
        <w:rPr>
          <w:rFonts w:asciiTheme="minorHAnsi" w:hAnsiTheme="minorHAnsi" w:cstheme="minorHAnsi"/>
          <w:sz w:val="24"/>
          <w:szCs w:val="24"/>
        </w:rPr>
        <w:t>Valec</w:t>
      </w:r>
      <w:r w:rsidRPr="00252D7B">
        <w:rPr>
          <w:rFonts w:asciiTheme="minorHAnsi" w:hAnsiTheme="minorHAnsi" w:cstheme="minorHAnsi"/>
          <w:sz w:val="24"/>
          <w:szCs w:val="24"/>
        </w:rPr>
        <w:t xml:space="preserve"> na elaboração de estudos de dessa natureza posiciona a empresa como referência técnica no mercado e, portanto, como potencial prestadora de serviços nesse ramo da infraestrutura de transportes</w:t>
      </w:r>
    </w:p>
    <w:p w14:paraId="6A3C26B7" w14:textId="77777777" w:rsidR="0096493B" w:rsidRPr="00252D7B" w:rsidRDefault="0096493B" w:rsidP="007C4D84">
      <w:pPr>
        <w:spacing w:before="120" w:after="120"/>
        <w:jc w:val="both"/>
        <w:rPr>
          <w:rFonts w:asciiTheme="minorHAnsi" w:hAnsiTheme="minorHAnsi" w:cstheme="minorHAnsi"/>
          <w:sz w:val="24"/>
          <w:szCs w:val="24"/>
          <w:highlight w:val="cyan"/>
        </w:rPr>
      </w:pPr>
      <w:r w:rsidRPr="00252D7B">
        <w:rPr>
          <w:rFonts w:asciiTheme="minorHAnsi" w:hAnsiTheme="minorHAnsi" w:cstheme="minorHAnsi"/>
          <w:sz w:val="24"/>
          <w:szCs w:val="24"/>
        </w:rPr>
        <w:t>A estruturação de novos negócios, seja a partir da exploração de seus ativos, seja por meio de contratos comerciais para a prestação de serviços técnicos, coaduna com o atual interesse da Administração de incrementar as receitas da empresa e torná-la cada vez menos dependente do Orçamento Geral da União. Ocorre que atualmente a área técnica responsável pela elaboração desses estudos possui capacidade operacional limitada para atender o número crescente de demandas, o que, em última análise, restringe as possibilidades de viabilizar novos negócios.</w:t>
      </w:r>
    </w:p>
    <w:p w14:paraId="20A62C13" w14:textId="40D79063" w:rsidR="0096493B" w:rsidRPr="00252D7B" w:rsidRDefault="0096493B" w:rsidP="007C4D84">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Nesse contexto, o credenciamento de empresas especializadas para apoiar a elaboração e/ou atualização desses estudos materializou a ampliação da capacidade fabril da estatal. Em outras palavras, a possibilidade de mobilizar apoio técnico especializado no tempo oportuno e na quantidade necessária para atender a demandas de difícil previsão, apresentou-se como solução adequada e oportuna à </w:t>
      </w:r>
      <w:r w:rsidR="00610C91" w:rsidRPr="00252D7B">
        <w:rPr>
          <w:rFonts w:asciiTheme="minorHAnsi" w:hAnsiTheme="minorHAnsi" w:cstheme="minorHAnsi"/>
          <w:sz w:val="24"/>
          <w:szCs w:val="24"/>
        </w:rPr>
        <w:t>Valec</w:t>
      </w:r>
      <w:r w:rsidRPr="00252D7B">
        <w:rPr>
          <w:rFonts w:asciiTheme="minorHAnsi" w:hAnsiTheme="minorHAnsi" w:cstheme="minorHAnsi"/>
          <w:sz w:val="24"/>
          <w:szCs w:val="24"/>
        </w:rPr>
        <w:t>.</w:t>
      </w:r>
    </w:p>
    <w:p w14:paraId="21F59677" w14:textId="0E7C76BF" w:rsidR="0096493B" w:rsidRPr="00252D7B" w:rsidRDefault="0096493B" w:rsidP="007C4D84">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Ademais, considerando o cenário de restrição fiscal, a solução demonstrou-se como vantajosa no que tange ao aproveitamento dos escassos recursos disponíveis. Isso se dá porque o credenciamento possibilita que o empenho orçamentário ocorra tão somente no tempo e valor estritamente necessários, em consonância ao Art. 10, § 1º, do RILC/</w:t>
      </w:r>
      <w:r w:rsidR="00610C91" w:rsidRPr="00252D7B">
        <w:rPr>
          <w:rFonts w:asciiTheme="minorHAnsi" w:hAnsiTheme="minorHAnsi" w:cstheme="minorHAnsi"/>
          <w:sz w:val="24"/>
          <w:szCs w:val="24"/>
        </w:rPr>
        <w:t>Valec</w:t>
      </w:r>
      <w:r w:rsidRPr="00252D7B">
        <w:rPr>
          <w:rFonts w:asciiTheme="minorHAnsi" w:hAnsiTheme="minorHAnsi" w:cstheme="minorHAnsi"/>
          <w:sz w:val="24"/>
          <w:szCs w:val="24"/>
        </w:rPr>
        <w:t>, evitando o comprometimento de volume significativo de recursos.</w:t>
      </w:r>
    </w:p>
    <w:p w14:paraId="659A2A98" w14:textId="6653558D" w:rsidR="0096493B" w:rsidRPr="00252D7B" w:rsidRDefault="0096493B" w:rsidP="007C4D84">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A fim de evitar que a </w:t>
      </w:r>
      <w:r w:rsidR="00610C91" w:rsidRPr="00252D7B">
        <w:rPr>
          <w:rFonts w:asciiTheme="minorHAnsi" w:hAnsiTheme="minorHAnsi" w:cstheme="minorHAnsi"/>
          <w:sz w:val="24"/>
          <w:szCs w:val="24"/>
        </w:rPr>
        <w:t>Valec</w:t>
      </w:r>
      <w:r w:rsidRPr="00252D7B">
        <w:rPr>
          <w:rFonts w:asciiTheme="minorHAnsi" w:hAnsiTheme="minorHAnsi" w:cstheme="minorHAnsi"/>
          <w:sz w:val="24"/>
          <w:szCs w:val="24"/>
        </w:rPr>
        <w:t xml:space="preserve"> deixasse de celebrar novos negócios em função de sua limitação operacional e orçamentária, tornou-se necessário que a DINEG apresentasse solução que permitisse atender quaisquer quantidades e sequências de demandas internas e externas por esses estudos.</w:t>
      </w:r>
    </w:p>
    <w:p w14:paraId="6661017A" w14:textId="77777777" w:rsidR="0096493B" w:rsidRPr="00252D7B" w:rsidRDefault="0096493B" w:rsidP="007C4D84">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Nesse sentido, deu-se início, no ano de 2021, processo de credenciamento com vistas à contratação de empresas especializadas em engenharia consultiva para a elaboração e/ou atualização de estudos de viabilidade técnica econômica e ambiental de terminais logísticos de cargas.</w:t>
      </w:r>
    </w:p>
    <w:p w14:paraId="3282939E" w14:textId="4F2D860E" w:rsidR="0096493B" w:rsidRPr="00252D7B" w:rsidRDefault="0096493B" w:rsidP="007C4D84">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Todo o seu desenvolvimento materializou-se na publicação do Edital de credenciamento nº 021/2021 da </w:t>
      </w:r>
      <w:r w:rsidR="00610C91" w:rsidRPr="00252D7B">
        <w:rPr>
          <w:rFonts w:asciiTheme="minorHAnsi" w:hAnsiTheme="minorHAnsi" w:cstheme="minorHAnsi"/>
          <w:sz w:val="24"/>
          <w:szCs w:val="24"/>
        </w:rPr>
        <w:t>Valec</w:t>
      </w:r>
      <w:r w:rsidRPr="00252D7B">
        <w:rPr>
          <w:rFonts w:asciiTheme="minorHAnsi" w:hAnsiTheme="minorHAnsi" w:cstheme="minorHAnsi"/>
          <w:sz w:val="24"/>
          <w:szCs w:val="24"/>
        </w:rPr>
        <w:t>, já tendo resultado, até a presente data, em 4 (quatro) requerimentos de credenciamento e 3 (três) empresas habilitadas para a elaboração dos estudos.</w:t>
      </w:r>
    </w:p>
    <w:p w14:paraId="5665D642" w14:textId="67FFD839" w:rsidR="0096493B" w:rsidRPr="00252D7B" w:rsidRDefault="0096493B" w:rsidP="00F22FDB">
      <w:pPr>
        <w:spacing w:before="120"/>
        <w:jc w:val="both"/>
        <w:rPr>
          <w:rFonts w:asciiTheme="minorHAnsi" w:hAnsiTheme="minorHAnsi" w:cstheme="minorHAnsi"/>
          <w:sz w:val="24"/>
          <w:szCs w:val="24"/>
        </w:rPr>
      </w:pPr>
      <w:r w:rsidRPr="00252D7B">
        <w:rPr>
          <w:rFonts w:asciiTheme="minorHAnsi" w:hAnsiTheme="minorHAnsi" w:cstheme="minorHAnsi"/>
          <w:sz w:val="24"/>
          <w:szCs w:val="24"/>
        </w:rPr>
        <w:t xml:space="preserve">Os trabalhos de credenciamento se alinham aos 2 (dois) objetivos previstos no Mapa Estratégico da </w:t>
      </w:r>
      <w:r w:rsidR="00610C91" w:rsidRPr="00252D7B">
        <w:rPr>
          <w:rFonts w:asciiTheme="minorHAnsi" w:hAnsiTheme="minorHAnsi" w:cstheme="minorHAnsi"/>
          <w:sz w:val="24"/>
          <w:szCs w:val="24"/>
        </w:rPr>
        <w:t>Valec</w:t>
      </w:r>
      <w:r w:rsidRPr="00252D7B">
        <w:rPr>
          <w:rFonts w:asciiTheme="minorHAnsi" w:hAnsiTheme="minorHAnsi" w:cstheme="minorHAnsi"/>
          <w:sz w:val="24"/>
          <w:szCs w:val="24"/>
        </w:rPr>
        <w:t xml:space="preserve">, quais sejam: i) objetivo estratégico 1.1 - </w:t>
      </w:r>
      <w:r w:rsidRPr="00252D7B">
        <w:rPr>
          <w:rFonts w:asciiTheme="minorHAnsi" w:hAnsiTheme="minorHAnsi" w:cstheme="minorHAnsi"/>
          <w:i/>
          <w:iCs/>
          <w:sz w:val="24"/>
          <w:szCs w:val="24"/>
        </w:rPr>
        <w:t xml:space="preserve">“contribuir para a ampliação da oferta de transporte </w:t>
      </w:r>
      <w:r w:rsidRPr="00252D7B">
        <w:rPr>
          <w:rFonts w:asciiTheme="minorHAnsi" w:hAnsiTheme="minorHAnsi" w:cstheme="minorHAnsi"/>
          <w:i/>
          <w:iCs/>
          <w:sz w:val="24"/>
          <w:szCs w:val="24"/>
        </w:rPr>
        <w:lastRenderedPageBreak/>
        <w:t xml:space="preserve">ferroviário de carga e de passageiros, bem como a redução do custo logístico no Brasil” </w:t>
      </w:r>
      <w:r w:rsidRPr="00185B1F">
        <w:rPr>
          <w:rFonts w:asciiTheme="minorHAnsi" w:hAnsiTheme="minorHAnsi" w:cstheme="minorHAnsi"/>
          <w:sz w:val="24"/>
          <w:szCs w:val="24"/>
        </w:rPr>
        <w:t>e ii)</w:t>
      </w:r>
      <w:r w:rsidRPr="00252D7B">
        <w:rPr>
          <w:rFonts w:asciiTheme="minorHAnsi" w:hAnsiTheme="minorHAnsi" w:cstheme="minorHAnsi"/>
          <w:i/>
          <w:iCs/>
          <w:sz w:val="24"/>
          <w:szCs w:val="24"/>
        </w:rPr>
        <w:t xml:space="preserve"> </w:t>
      </w:r>
      <w:r w:rsidRPr="00252D7B">
        <w:rPr>
          <w:rFonts w:asciiTheme="minorHAnsi" w:hAnsiTheme="minorHAnsi" w:cstheme="minorHAnsi"/>
          <w:sz w:val="24"/>
          <w:szCs w:val="24"/>
        </w:rPr>
        <w:t xml:space="preserve">objetivo 2.1 - </w:t>
      </w:r>
      <w:r w:rsidRPr="00252D7B">
        <w:rPr>
          <w:rFonts w:asciiTheme="minorHAnsi" w:hAnsiTheme="minorHAnsi" w:cstheme="minorHAnsi"/>
          <w:i/>
          <w:iCs/>
          <w:sz w:val="24"/>
          <w:szCs w:val="24"/>
        </w:rPr>
        <w:t>“desenvolver produtos e serviços visando a geração de receitas e fomentar a pesquisa de mercado na área logística”</w:t>
      </w:r>
      <w:r w:rsidRPr="00252D7B">
        <w:rPr>
          <w:rFonts w:asciiTheme="minorHAnsi" w:hAnsiTheme="minorHAnsi" w:cstheme="minorHAnsi"/>
          <w:sz w:val="24"/>
          <w:szCs w:val="24"/>
        </w:rPr>
        <w:t>. Ressaltando que a elaboração dos estudos de viabilidade constitui a primeira e fundamental etapa para subsidiar as decisões de investimento. Em verdade, um estudo técnico de qualidade possibilita uma modelagem econômico-financeira mais aderente à realidade e, portanto, mais atraente aos agentes de mercado.</w:t>
      </w:r>
    </w:p>
    <w:p w14:paraId="692868B6" w14:textId="2C1CE878" w:rsidR="00AF6566" w:rsidRPr="00252D7B" w:rsidRDefault="00AF6566" w:rsidP="00C237FF">
      <w:pPr>
        <w:rPr>
          <w:rFonts w:asciiTheme="minorHAnsi" w:hAnsiTheme="minorHAnsi" w:cstheme="minorHAnsi"/>
        </w:rPr>
      </w:pPr>
    </w:p>
    <w:p w14:paraId="6C0F05E7" w14:textId="32E1EAD2" w:rsidR="00CF6DA7" w:rsidRPr="00252D7B" w:rsidRDefault="00CF6DA7">
      <w:pPr>
        <w:widowControl/>
        <w:autoSpaceDE/>
        <w:autoSpaceDN/>
        <w:spacing w:after="160" w:line="259" w:lineRule="auto"/>
        <w:rPr>
          <w:rFonts w:asciiTheme="minorHAnsi" w:hAnsiTheme="minorHAnsi" w:cstheme="minorHAnsi"/>
        </w:rPr>
      </w:pPr>
      <w:r w:rsidRPr="00252D7B">
        <w:rPr>
          <w:rFonts w:asciiTheme="minorHAnsi" w:hAnsiTheme="minorHAnsi" w:cstheme="minorHAnsi"/>
        </w:rPr>
        <w:br w:type="page"/>
      </w:r>
    </w:p>
    <w:p w14:paraId="039A1E9A" w14:textId="6C50EB54" w:rsidR="005C0C13" w:rsidRPr="00252D7B" w:rsidRDefault="005C0C13" w:rsidP="00F100A9">
      <w:pPr>
        <w:pStyle w:val="Ttulo2"/>
      </w:pPr>
      <w:bookmarkStart w:id="77" w:name="_Toc95830200"/>
      <w:bookmarkStart w:id="78" w:name="_Toc103680516"/>
      <w:r w:rsidRPr="00252D7B">
        <w:lastRenderedPageBreak/>
        <w:t>Cenário nacional e internacional do modal ferroviário</w:t>
      </w:r>
      <w:bookmarkEnd w:id="77"/>
      <w:bookmarkEnd w:id="78"/>
    </w:p>
    <w:p w14:paraId="0F373927" w14:textId="60505CA8" w:rsidR="00CB329A" w:rsidRPr="00252D7B" w:rsidRDefault="00CB329A" w:rsidP="00F22FDB">
      <w:pPr>
        <w:spacing w:after="120"/>
        <w:jc w:val="both"/>
        <w:rPr>
          <w:rFonts w:asciiTheme="minorHAnsi" w:hAnsiTheme="minorHAnsi" w:cstheme="minorHAnsi"/>
          <w:sz w:val="24"/>
          <w:szCs w:val="24"/>
        </w:rPr>
      </w:pPr>
      <w:r w:rsidRPr="00252D7B">
        <w:rPr>
          <w:rFonts w:asciiTheme="minorHAnsi" w:hAnsiTheme="minorHAnsi" w:cstheme="minorHAnsi"/>
          <w:sz w:val="24"/>
          <w:szCs w:val="24"/>
        </w:rPr>
        <w:t>Atualmente o Brasil conta com aproximadamente 29 mil km de malha ferroviária que atravessam 22 Unidades da Federação, revelando sua importância como modo de integração nacional. Ainda assim, se comparado a outros países, nossa malha ferroviária possui uma baixa densidade.</w:t>
      </w:r>
    </w:p>
    <w:p w14:paraId="05FF7532" w14:textId="77777777" w:rsidR="00AC300B" w:rsidRPr="00252D7B" w:rsidRDefault="00AC300B" w:rsidP="00F22FDB">
      <w:pPr>
        <w:spacing w:after="120"/>
        <w:jc w:val="both"/>
        <w:rPr>
          <w:rFonts w:asciiTheme="minorHAnsi" w:hAnsiTheme="minorHAnsi" w:cstheme="minorHAnsi"/>
          <w:sz w:val="24"/>
          <w:szCs w:val="24"/>
        </w:rPr>
      </w:pPr>
    </w:p>
    <w:p w14:paraId="13FF4C2D" w14:textId="15695C73" w:rsidR="00360153" w:rsidRPr="00252D7B" w:rsidRDefault="00360153" w:rsidP="000159DA">
      <w:pPr>
        <w:pStyle w:val="Legenda"/>
        <w:spacing w:after="0"/>
        <w:jc w:val="center"/>
        <w:rPr>
          <w:rFonts w:asciiTheme="minorHAnsi" w:hAnsiTheme="minorHAnsi" w:cstheme="minorHAnsi"/>
          <w:sz w:val="20"/>
          <w:szCs w:val="20"/>
        </w:rPr>
      </w:pPr>
      <w:bookmarkStart w:id="79" w:name="_Toc103680743"/>
      <w:r w:rsidRPr="00252D7B">
        <w:rPr>
          <w:rFonts w:asciiTheme="minorHAnsi" w:hAnsiTheme="minorHAnsi" w:cstheme="minorHAnsi"/>
          <w:sz w:val="20"/>
          <w:szCs w:val="20"/>
        </w:rPr>
        <w:t xml:space="preserve">Figura </w:t>
      </w:r>
      <w:r w:rsidR="00F46BDB" w:rsidRPr="00252D7B">
        <w:rPr>
          <w:rFonts w:asciiTheme="minorHAnsi" w:hAnsiTheme="minorHAnsi" w:cstheme="minorHAnsi"/>
          <w:sz w:val="20"/>
          <w:szCs w:val="20"/>
        </w:rPr>
        <w:fldChar w:fldCharType="begin"/>
      </w:r>
      <w:r w:rsidR="00F46BDB" w:rsidRPr="00252D7B">
        <w:rPr>
          <w:rFonts w:asciiTheme="minorHAnsi" w:hAnsiTheme="minorHAnsi" w:cstheme="minorHAnsi"/>
          <w:sz w:val="20"/>
          <w:szCs w:val="20"/>
        </w:rPr>
        <w:instrText xml:space="preserve"> SEQ Figura \* ARABIC </w:instrText>
      </w:r>
      <w:r w:rsidR="00F46BDB"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7</w:t>
      </w:r>
      <w:r w:rsidR="00F46BDB" w:rsidRPr="00252D7B">
        <w:rPr>
          <w:rFonts w:asciiTheme="minorHAnsi" w:hAnsiTheme="minorHAnsi" w:cstheme="minorHAnsi"/>
          <w:sz w:val="20"/>
          <w:szCs w:val="20"/>
        </w:rPr>
        <w:fldChar w:fldCharType="end"/>
      </w:r>
      <w:r w:rsidRPr="00252D7B">
        <w:rPr>
          <w:rFonts w:asciiTheme="minorHAnsi" w:hAnsiTheme="minorHAnsi" w:cstheme="minorHAnsi"/>
          <w:sz w:val="20"/>
          <w:szCs w:val="20"/>
        </w:rPr>
        <w:t xml:space="preserve"> </w:t>
      </w:r>
      <w:r w:rsidR="000118B9" w:rsidRPr="00252D7B">
        <w:rPr>
          <w:rFonts w:asciiTheme="minorHAnsi" w:hAnsiTheme="minorHAnsi" w:cstheme="minorHAnsi"/>
          <w:sz w:val="20"/>
          <w:szCs w:val="20"/>
        </w:rPr>
        <w:t>–</w:t>
      </w:r>
      <w:r w:rsidRPr="00252D7B">
        <w:rPr>
          <w:rFonts w:asciiTheme="minorHAnsi" w:hAnsiTheme="minorHAnsi" w:cstheme="minorHAnsi"/>
          <w:sz w:val="20"/>
          <w:szCs w:val="20"/>
        </w:rPr>
        <w:t xml:space="preserve"> Comparativo de densidade das malhas ferroviárias</w:t>
      </w:r>
      <w:bookmarkEnd w:id="79"/>
    </w:p>
    <w:p w14:paraId="549852A0" w14:textId="77777777" w:rsidR="00CB329A" w:rsidRPr="00252D7B" w:rsidRDefault="00CB329A" w:rsidP="00CB329A">
      <w:pPr>
        <w:jc w:val="center"/>
        <w:rPr>
          <w:rFonts w:asciiTheme="minorHAnsi" w:hAnsiTheme="minorHAnsi" w:cstheme="minorHAnsi"/>
          <w:sz w:val="24"/>
          <w:szCs w:val="24"/>
        </w:rPr>
      </w:pPr>
      <w:r w:rsidRPr="00252D7B">
        <w:rPr>
          <w:rFonts w:asciiTheme="minorHAnsi" w:hAnsiTheme="minorHAnsi" w:cstheme="minorHAnsi"/>
          <w:noProof/>
          <w:sz w:val="24"/>
          <w:szCs w:val="24"/>
        </w:rPr>
        <w:drawing>
          <wp:inline distT="0" distB="0" distL="0" distR="0" wp14:anchorId="788E6485" wp14:editId="0E72DD65">
            <wp:extent cx="3422147" cy="2334260"/>
            <wp:effectExtent l="0" t="0" r="6985" b="8890"/>
            <wp:docPr id="2001982182" name="Imagem 2001982182"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descr="Tabela&#10;&#10;Descrição gerada automaticamente"/>
                    <pic:cNvPicPr/>
                  </pic:nvPicPr>
                  <pic:blipFill rotWithShape="1">
                    <a:blip r:embed="rId44"/>
                    <a:srcRect t="11973"/>
                    <a:stretch/>
                  </pic:blipFill>
                  <pic:spPr bwMode="auto">
                    <a:xfrm>
                      <a:off x="0" y="0"/>
                      <a:ext cx="3455699" cy="2357146"/>
                    </a:xfrm>
                    <a:prstGeom prst="rect">
                      <a:avLst/>
                    </a:prstGeom>
                    <a:ln>
                      <a:noFill/>
                    </a:ln>
                    <a:extLst>
                      <a:ext uri="{53640926-AAD7-44D8-BBD7-CCE9431645EC}">
                        <a14:shadowObscured xmlns:a14="http://schemas.microsoft.com/office/drawing/2010/main"/>
                      </a:ext>
                    </a:extLst>
                  </pic:spPr>
                </pic:pic>
              </a:graphicData>
            </a:graphic>
          </wp:inline>
        </w:drawing>
      </w:r>
    </w:p>
    <w:p w14:paraId="1A16D963" w14:textId="0DF3683F" w:rsidR="00D62C87" w:rsidRPr="00252D7B" w:rsidRDefault="00D62C87" w:rsidP="00D62C87">
      <w:pPr>
        <w:pStyle w:val="Legenda"/>
        <w:spacing w:after="0"/>
        <w:jc w:val="center"/>
        <w:rPr>
          <w:rFonts w:asciiTheme="minorHAnsi" w:hAnsiTheme="minorHAnsi" w:cstheme="minorHAnsi"/>
          <w:sz w:val="20"/>
          <w:szCs w:val="20"/>
          <w:lang w:val="en-US"/>
        </w:rPr>
      </w:pPr>
      <w:r w:rsidRPr="00252D7B">
        <w:rPr>
          <w:rFonts w:asciiTheme="minorHAnsi" w:hAnsiTheme="minorHAnsi" w:cstheme="minorHAnsi"/>
          <w:sz w:val="20"/>
          <w:szCs w:val="20"/>
          <w:lang w:val="en-US"/>
        </w:rPr>
        <w:t>Fonte: Cia World Factbook e ANTF, 2021.</w:t>
      </w:r>
    </w:p>
    <w:p w14:paraId="4DF2E432" w14:textId="77777777" w:rsidR="00AC300B" w:rsidRPr="00252D7B" w:rsidRDefault="00AC300B" w:rsidP="00AC300B">
      <w:pPr>
        <w:rPr>
          <w:rFonts w:asciiTheme="minorHAnsi" w:hAnsiTheme="minorHAnsi" w:cstheme="minorHAnsi"/>
          <w:lang w:val="en-US"/>
        </w:rPr>
      </w:pPr>
    </w:p>
    <w:p w14:paraId="089040EA" w14:textId="34A35CF3" w:rsidR="00CB329A" w:rsidRPr="00252D7B" w:rsidRDefault="00CB329A" w:rsidP="009C598A">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De acordo com o PNL 2035, a participação do modo ferroviário na matriz de transporte de cargas do Brasil corresponde hoje a 21,5% de “share”, o que, se comparado a outras nações de dimensões continentais, revela um significativo potencial de crescimento.</w:t>
      </w:r>
    </w:p>
    <w:p w14:paraId="72282334" w14:textId="77777777" w:rsidR="00CB329A" w:rsidRPr="00252D7B" w:rsidRDefault="00CB329A" w:rsidP="00CB329A">
      <w:pPr>
        <w:jc w:val="both"/>
        <w:rPr>
          <w:rFonts w:asciiTheme="minorHAnsi" w:hAnsiTheme="minorHAnsi" w:cstheme="minorHAnsi"/>
          <w:sz w:val="16"/>
          <w:szCs w:val="16"/>
        </w:rPr>
      </w:pPr>
    </w:p>
    <w:p w14:paraId="3601C3C4" w14:textId="742C7077" w:rsidR="00412EE5" w:rsidRPr="00252D7B" w:rsidRDefault="00412EE5" w:rsidP="000159DA">
      <w:pPr>
        <w:pStyle w:val="Legenda"/>
        <w:spacing w:after="0"/>
        <w:jc w:val="center"/>
        <w:rPr>
          <w:rFonts w:asciiTheme="minorHAnsi" w:hAnsiTheme="minorHAnsi" w:cstheme="minorHAnsi"/>
          <w:sz w:val="20"/>
          <w:szCs w:val="20"/>
        </w:rPr>
      </w:pPr>
      <w:bookmarkStart w:id="80" w:name="_Toc103680744"/>
      <w:r w:rsidRPr="00252D7B">
        <w:rPr>
          <w:rFonts w:asciiTheme="minorHAnsi" w:hAnsiTheme="minorHAnsi" w:cstheme="minorHAnsi"/>
          <w:sz w:val="20"/>
          <w:szCs w:val="20"/>
        </w:rPr>
        <w:t xml:space="preserve">Figura </w:t>
      </w:r>
      <w:r w:rsidR="00F46BDB" w:rsidRPr="00252D7B">
        <w:rPr>
          <w:rFonts w:asciiTheme="minorHAnsi" w:hAnsiTheme="minorHAnsi" w:cstheme="minorHAnsi"/>
          <w:sz w:val="20"/>
          <w:szCs w:val="20"/>
        </w:rPr>
        <w:fldChar w:fldCharType="begin"/>
      </w:r>
      <w:r w:rsidR="00F46BDB" w:rsidRPr="00252D7B">
        <w:rPr>
          <w:rFonts w:asciiTheme="minorHAnsi" w:hAnsiTheme="minorHAnsi" w:cstheme="minorHAnsi"/>
          <w:sz w:val="20"/>
          <w:szCs w:val="20"/>
        </w:rPr>
        <w:instrText xml:space="preserve"> SEQ Figura \* ARABIC </w:instrText>
      </w:r>
      <w:r w:rsidR="00F46BDB"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8</w:t>
      </w:r>
      <w:r w:rsidR="00F46BDB" w:rsidRPr="00252D7B">
        <w:rPr>
          <w:rFonts w:asciiTheme="minorHAnsi" w:hAnsiTheme="minorHAnsi" w:cstheme="minorHAnsi"/>
          <w:sz w:val="20"/>
          <w:szCs w:val="20"/>
        </w:rPr>
        <w:fldChar w:fldCharType="end"/>
      </w:r>
      <w:r w:rsidRPr="00252D7B">
        <w:rPr>
          <w:rFonts w:asciiTheme="minorHAnsi" w:hAnsiTheme="minorHAnsi" w:cstheme="minorHAnsi"/>
          <w:sz w:val="20"/>
          <w:szCs w:val="20"/>
        </w:rPr>
        <w:t xml:space="preserve"> </w:t>
      </w:r>
      <w:r w:rsidR="004F373B" w:rsidRPr="00252D7B">
        <w:rPr>
          <w:rFonts w:asciiTheme="minorHAnsi" w:hAnsiTheme="minorHAnsi" w:cstheme="minorHAnsi"/>
          <w:sz w:val="20"/>
          <w:szCs w:val="20"/>
        </w:rPr>
        <w:t>–</w:t>
      </w:r>
      <w:r w:rsidRPr="00252D7B">
        <w:rPr>
          <w:rFonts w:asciiTheme="minorHAnsi" w:hAnsiTheme="minorHAnsi" w:cstheme="minorHAnsi"/>
          <w:sz w:val="20"/>
          <w:szCs w:val="20"/>
        </w:rPr>
        <w:t xml:space="preserve"> Comparativo da participação do modo ferroviário na matriz de transporte</w:t>
      </w:r>
      <w:bookmarkEnd w:id="80"/>
    </w:p>
    <w:p w14:paraId="09F74787" w14:textId="7A292B8D" w:rsidR="00CB329A" w:rsidRDefault="00CB329A" w:rsidP="00CB329A">
      <w:pPr>
        <w:jc w:val="center"/>
        <w:rPr>
          <w:rFonts w:asciiTheme="minorHAnsi" w:hAnsiTheme="minorHAnsi" w:cstheme="minorHAnsi"/>
          <w:sz w:val="24"/>
          <w:szCs w:val="24"/>
        </w:rPr>
      </w:pPr>
      <w:r w:rsidRPr="00252D7B">
        <w:rPr>
          <w:rFonts w:asciiTheme="minorHAnsi" w:hAnsiTheme="minorHAnsi" w:cstheme="minorHAnsi"/>
          <w:noProof/>
          <w:sz w:val="24"/>
          <w:szCs w:val="24"/>
        </w:rPr>
        <w:drawing>
          <wp:inline distT="0" distB="0" distL="0" distR="0" wp14:anchorId="398AE26A" wp14:editId="3AA79450">
            <wp:extent cx="3756279" cy="2245056"/>
            <wp:effectExtent l="0" t="0" r="0" b="3175"/>
            <wp:docPr id="2001982183" name="Imagem 2001982183"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Gráfico, Gráfico de barras&#10;&#10;Descrição gerada automaticamente"/>
                    <pic:cNvPicPr/>
                  </pic:nvPicPr>
                  <pic:blipFill>
                    <a:blip r:embed="rId45"/>
                    <a:stretch>
                      <a:fillRect/>
                    </a:stretch>
                  </pic:blipFill>
                  <pic:spPr>
                    <a:xfrm>
                      <a:off x="0" y="0"/>
                      <a:ext cx="4047141" cy="2418899"/>
                    </a:xfrm>
                    <a:prstGeom prst="rect">
                      <a:avLst/>
                    </a:prstGeom>
                  </pic:spPr>
                </pic:pic>
              </a:graphicData>
            </a:graphic>
          </wp:inline>
        </w:drawing>
      </w:r>
    </w:p>
    <w:p w14:paraId="1CCCD8B8" w14:textId="77777777" w:rsidR="006450C2" w:rsidRPr="00252D7B" w:rsidRDefault="006450C2" w:rsidP="006450C2">
      <w:pPr>
        <w:pStyle w:val="Legenda"/>
        <w:spacing w:after="0"/>
        <w:jc w:val="center"/>
        <w:rPr>
          <w:rFonts w:asciiTheme="minorHAnsi" w:hAnsiTheme="minorHAnsi" w:cstheme="minorHAnsi"/>
        </w:rPr>
      </w:pPr>
      <w:r w:rsidRPr="00252D7B">
        <w:rPr>
          <w:rFonts w:asciiTheme="minorHAnsi" w:hAnsiTheme="minorHAnsi" w:cstheme="minorHAnsi"/>
          <w:sz w:val="20"/>
          <w:szCs w:val="20"/>
        </w:rPr>
        <w:t>Fonte: ANTF, 2021.</w:t>
      </w:r>
    </w:p>
    <w:p w14:paraId="1878B4D0" w14:textId="77777777" w:rsidR="00AC300B" w:rsidRPr="00252D7B" w:rsidRDefault="00AC300B" w:rsidP="00CB329A">
      <w:pPr>
        <w:jc w:val="center"/>
        <w:rPr>
          <w:rFonts w:asciiTheme="minorHAnsi" w:hAnsiTheme="minorHAnsi" w:cstheme="minorHAnsi"/>
          <w:sz w:val="24"/>
          <w:szCs w:val="24"/>
        </w:rPr>
      </w:pPr>
    </w:p>
    <w:p w14:paraId="146352F5" w14:textId="77777777" w:rsidR="00CB329A" w:rsidRPr="00252D7B" w:rsidRDefault="00CB329A" w:rsidP="00412EE5">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O fomento ao transporte ferroviário de cargas e passageiros tem papel central no esforço do Ministério da Infraestrutura para equilibrar a matriz de transportes nacional. Dado o cenário de grave restrição fiscal, a estratégia da Pasta para elevar a participação do transporte ferroviário de 20% para 40% nos próximos 15 anos se assenta sobre dois grandes pilares, ambos voltados a atrair capital privado para o setor.</w:t>
      </w:r>
    </w:p>
    <w:p w14:paraId="41724078" w14:textId="77777777" w:rsidR="00CB329A" w:rsidRPr="00252D7B" w:rsidRDefault="00CB329A" w:rsidP="009C598A">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lastRenderedPageBreak/>
        <w:t>De um lado, destaca-se o Programa de Novas Concessões Ferroviárias, que além de abranger a delegação de trechos da FNS e FIOL, tem possibilitado a realização de novos investimentos por meio dos mecanismos de prorrogação antecipada e investimento cruzado. Estima-se que o referido Programa envolverá investimentos superiores a R$ 30 bilhões direcionados ao aumento da capacidade de transporte da malha existente, à redução de conflitos urbanos e à implantação de novos trechos ferroviários para superação de gargalos logísticos.</w:t>
      </w:r>
    </w:p>
    <w:p w14:paraId="57200FAA" w14:textId="77777777" w:rsidR="00CB329A" w:rsidRPr="00252D7B" w:rsidRDefault="00CB329A" w:rsidP="009C598A">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A Valec tem exercido papel de protagonismo no âmbito do referido Programa de Novas Concessões Ferroviárias, uma vez que é a detentora da outorga legal para exploração dos grandes eixos estruturantes ferroviários nacionais, tais como a FNS, a FIOL e a FICO. Nesse âmbito, a empresa atua em três grandes frentes, quais sejam:</w:t>
      </w:r>
    </w:p>
    <w:p w14:paraId="6B7B7A71" w14:textId="77777777" w:rsidR="00CB329A" w:rsidRPr="00252D7B" w:rsidRDefault="00CB329A" w:rsidP="00C237FF">
      <w:pPr>
        <w:pStyle w:val="PargrafodaLista"/>
        <w:numPr>
          <w:ilvl w:val="0"/>
          <w:numId w:val="4"/>
        </w:numPr>
        <w:spacing w:before="120" w:after="120"/>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Construção de ferrovias: abrange todas as atividades necessárias à implantação de novos trechos ferroviários, desde a realização dos respectivos estudos de viabilidade e elaboração dos projetos de engenharia, passando pela obtenção de licenças e autorizações ambientais, execução de procedimentos de desapropriação e culminando com a execução das obras propriamente ditas. Em decorrência das graves restrições orçamentárias, a tendência é que em médio prazo a Valec deixe de atuar na execução direta de novas obras ferroviárias.</w:t>
      </w:r>
    </w:p>
    <w:p w14:paraId="7924AFFA" w14:textId="1F4FB322" w:rsidR="00CB329A" w:rsidRPr="00252D7B" w:rsidRDefault="00CB329A" w:rsidP="00C237FF">
      <w:pPr>
        <w:pStyle w:val="PargrafodaLista"/>
        <w:numPr>
          <w:ilvl w:val="0"/>
          <w:numId w:val="4"/>
        </w:numPr>
        <w:spacing w:before="120" w:after="120"/>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 xml:space="preserve">Subconcessões ferroviárias: envolve o apoio ao MInfra e à ANTT na elaboração dos estudos e modelagem da subconcessão, bem como na formalização e supervisão dos respectivos contratos. </w:t>
      </w:r>
    </w:p>
    <w:p w14:paraId="3F15CE07" w14:textId="77777777" w:rsidR="00CB329A" w:rsidRPr="00252D7B" w:rsidRDefault="00CB329A" w:rsidP="00C237FF">
      <w:pPr>
        <w:pStyle w:val="PargrafodaLista"/>
        <w:numPr>
          <w:ilvl w:val="0"/>
          <w:numId w:val="4"/>
        </w:numPr>
        <w:spacing w:before="120" w:after="120"/>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Prorrogações antecipadas: engloba atividades de supervisão e validação das obrigações de investimento pactuadas com a concessionária que obteve a prorrogação antecipada do seu contrato, atualmente limitadas àquelas relacionadas aos trechos ferroviários outorgados à Valec.</w:t>
      </w:r>
    </w:p>
    <w:p w14:paraId="54275A43" w14:textId="77777777" w:rsidR="00CB329A" w:rsidRPr="00252D7B" w:rsidRDefault="00CB329A" w:rsidP="00412EE5">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Em relação à FNS, convém ainda ressaltar que a conclusão das obras dos tramos central e sul, prevista para ocorrer em meados de 2022, transformará a dinâmica das regiões produtoras situadas na região central do território brasileiro, na medida em que estas passarão a contar com um corredor logístico totalmente operacional e conectado aos Portos de Itaqui e Santos. Tal condição abre perspectivas promissoras para a implantação de novos terminais logísticos nos 13 (treze) polos de cargas posicionados ao longo da FNS, pertencentes à Valec.</w:t>
      </w:r>
    </w:p>
    <w:p w14:paraId="04BE9DC0" w14:textId="77777777" w:rsidR="00CB329A" w:rsidRPr="00252D7B" w:rsidRDefault="00CB329A" w:rsidP="00412EE5">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O segundo pilar da estratégia do MInfra para atrair capital privado para o setor consiste em relevante inovação trazida pelo novo Marco Legal das Ferrovias, publicado em agosto de 2021: o Programa de Autorizações Ferroviárias.  Com efeito, as expectativas relacionadas à exploração indireta do serviço de transporte ferroviário federal por meio do regime de autorização vêm sendo constantemente superadas. </w:t>
      </w:r>
    </w:p>
    <w:p w14:paraId="1FB68753" w14:textId="77777777" w:rsidR="00CB329A" w:rsidRPr="00252D7B" w:rsidRDefault="00CB329A" w:rsidP="00412EE5">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Desde a regulamentação do procedimento de autorização, em outubro de 2021, o Ministério da Infraestrutura já recebeu 80 requerimentos de autorização, perfazendo 19.000 novos km de ferrovias e investimentos na ordem de R$ 224 bilhões. São recursos integralmente privados que superam, em mais de sete vezes, o orçamento público do MInfra relativo ao exercício 2021. </w:t>
      </w:r>
    </w:p>
    <w:p w14:paraId="387233F3" w14:textId="54F29F96" w:rsidR="00CB329A" w:rsidRPr="00252D7B" w:rsidRDefault="00CB329A" w:rsidP="00412EE5">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Outra frente de trabalho que pode resultar em expansão do modo ferroviário se refere ao transporte passageiros. O Ministério da Infraestrutura, em parceria com a Associação Nacional dos Transportadores sobre Trilhos (ANPTrilhos), vem trabalhando na elaboração de uma Política para o Desenvolvimento do Transporte Ferroviário de Passageiros (PDTFP) e de um Plano Específico, com a mesma finalidade de apoiar a sua implementação.</w:t>
      </w:r>
    </w:p>
    <w:p w14:paraId="134950E0" w14:textId="103FBEFB" w:rsidR="005C0C13" w:rsidRPr="00252D7B" w:rsidRDefault="00CB329A" w:rsidP="001662F9">
      <w:pPr>
        <w:spacing w:before="120"/>
        <w:jc w:val="both"/>
        <w:rPr>
          <w:rFonts w:asciiTheme="minorHAnsi" w:hAnsiTheme="minorHAnsi" w:cstheme="minorHAnsi"/>
          <w:sz w:val="24"/>
          <w:szCs w:val="24"/>
        </w:rPr>
      </w:pPr>
      <w:r w:rsidRPr="00252D7B">
        <w:rPr>
          <w:rFonts w:asciiTheme="minorHAnsi" w:hAnsiTheme="minorHAnsi" w:cstheme="minorHAnsi"/>
          <w:sz w:val="24"/>
          <w:szCs w:val="24"/>
        </w:rPr>
        <w:lastRenderedPageBreak/>
        <w:t>A Valec se insere nesse contexto desafiador, sendo responsável pela realização de relevantes investimentos públicos no setor ferroviário, bem como se posicionando como empresa pública que detém expertise e capacidade operacional para explorar atividades econômicas neste setor, provendo produtos e serviços técnicos especializados em infraestrutura de transportes.</w:t>
      </w:r>
    </w:p>
    <w:p w14:paraId="27601407" w14:textId="3AB72F6C" w:rsidR="00412EE5" w:rsidRPr="00252D7B" w:rsidRDefault="00412EE5" w:rsidP="002D0BD0">
      <w:pPr>
        <w:jc w:val="both"/>
        <w:rPr>
          <w:rFonts w:asciiTheme="minorHAnsi" w:hAnsiTheme="minorHAnsi" w:cstheme="minorHAnsi"/>
          <w:sz w:val="24"/>
          <w:szCs w:val="24"/>
        </w:rPr>
      </w:pPr>
    </w:p>
    <w:p w14:paraId="20A30D9D" w14:textId="52F2CC30" w:rsidR="00CF6DA7" w:rsidRPr="00252D7B" w:rsidRDefault="00CF6DA7">
      <w:pPr>
        <w:widowControl/>
        <w:autoSpaceDE/>
        <w:autoSpaceDN/>
        <w:spacing w:after="160" w:line="259" w:lineRule="auto"/>
        <w:rPr>
          <w:rFonts w:asciiTheme="minorHAnsi" w:hAnsiTheme="minorHAnsi" w:cstheme="minorHAnsi"/>
          <w:sz w:val="24"/>
          <w:szCs w:val="24"/>
        </w:rPr>
      </w:pPr>
      <w:r w:rsidRPr="00252D7B">
        <w:rPr>
          <w:rFonts w:asciiTheme="minorHAnsi" w:hAnsiTheme="minorHAnsi" w:cstheme="minorHAnsi"/>
          <w:sz w:val="24"/>
          <w:szCs w:val="24"/>
        </w:rPr>
        <w:br w:type="page"/>
      </w:r>
    </w:p>
    <w:p w14:paraId="7EB04BDB" w14:textId="08C72FE3" w:rsidR="005C0C13" w:rsidRPr="00252D7B" w:rsidRDefault="00990BA2" w:rsidP="00F100A9">
      <w:pPr>
        <w:pStyle w:val="Ttulo2"/>
      </w:pPr>
      <w:bookmarkStart w:id="81" w:name="_Toc95830201"/>
      <w:bookmarkStart w:id="82" w:name="_Toc103680517"/>
      <w:r w:rsidRPr="00252D7B">
        <w:lastRenderedPageBreak/>
        <w:t>Capital social e participação em outras sociedades</w:t>
      </w:r>
      <w:bookmarkEnd w:id="81"/>
      <w:bookmarkEnd w:id="82"/>
    </w:p>
    <w:p w14:paraId="39CC09DF" w14:textId="77777777" w:rsidR="00390016" w:rsidRPr="00252D7B" w:rsidRDefault="00390016" w:rsidP="002D0BD0">
      <w:pPr>
        <w:rPr>
          <w:rFonts w:asciiTheme="minorHAnsi" w:hAnsiTheme="minorHAnsi" w:cstheme="minorHAnsi"/>
        </w:rPr>
      </w:pPr>
    </w:p>
    <w:p w14:paraId="283D91AE" w14:textId="4FAD083A" w:rsidR="00390016" w:rsidRPr="00252D7B" w:rsidRDefault="00390016" w:rsidP="00390016">
      <w:pPr>
        <w:pStyle w:val="Ttulo3"/>
        <w:rPr>
          <w:rFonts w:asciiTheme="minorHAnsi" w:hAnsiTheme="minorHAnsi" w:cstheme="minorHAnsi"/>
        </w:rPr>
      </w:pPr>
      <w:bookmarkStart w:id="83" w:name="_Toc103680518"/>
      <w:r w:rsidRPr="00252D7B">
        <w:rPr>
          <w:rFonts w:asciiTheme="minorHAnsi" w:hAnsiTheme="minorHAnsi" w:cstheme="minorHAnsi"/>
        </w:rPr>
        <w:t>Gestão das participações</w:t>
      </w:r>
      <w:bookmarkEnd w:id="83"/>
    </w:p>
    <w:p w14:paraId="046F357F" w14:textId="77777777" w:rsidR="007A0FD1" w:rsidRPr="00252D7B" w:rsidRDefault="007A0FD1" w:rsidP="00DA42D5">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Observando as diretrizes de política pública estabelecidas pelo Ministério da Infraestrutura, a estatal possui participação acionária em duas outras empresas responsáveis por grandes empreendimentos ferroviários, são elas: Transnordestina Logística S/A e a Estrada de Ferro Paraná Oeste S.A.</w:t>
      </w:r>
    </w:p>
    <w:p w14:paraId="3963FF50" w14:textId="77777777" w:rsidR="007A0FD1" w:rsidRPr="00252D7B" w:rsidRDefault="007A0FD1" w:rsidP="00DA42D5">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No âmbito da gestão de participações foram institucionalizados em 2021 dois importantes normativos internos, quais sejam:</w:t>
      </w:r>
    </w:p>
    <w:p w14:paraId="4C46600D" w14:textId="227B1E13" w:rsidR="007A0FD1" w:rsidRPr="00252D7B" w:rsidRDefault="007A0FD1" w:rsidP="00C237FF">
      <w:pPr>
        <w:pStyle w:val="PargrafodaLista"/>
        <w:numPr>
          <w:ilvl w:val="0"/>
          <w:numId w:val="4"/>
        </w:numPr>
        <w:spacing w:before="120" w:after="120"/>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b/>
          <w:bCs/>
          <w:sz w:val="24"/>
          <w:szCs w:val="24"/>
        </w:rPr>
        <w:t>Manuais e Rotinas de Participações Societárias:</w:t>
      </w:r>
      <w:r w:rsidRPr="00252D7B">
        <w:rPr>
          <w:rStyle w:val="jsgrdq"/>
          <w:rFonts w:asciiTheme="minorHAnsi" w:hAnsiTheme="minorHAnsi" w:cstheme="minorHAnsi"/>
          <w:sz w:val="24"/>
          <w:szCs w:val="24"/>
        </w:rPr>
        <w:t xml:space="preserve"> estabelece os fluxos de processo e os procedimentos para gestão das participações societárias da Valec, especialmente da Transnordestina Logística S/A;</w:t>
      </w:r>
    </w:p>
    <w:p w14:paraId="42DFB135" w14:textId="218E2EE8" w:rsidR="007A0FD1" w:rsidRPr="00252D7B" w:rsidRDefault="007A0FD1" w:rsidP="00C237FF">
      <w:pPr>
        <w:pStyle w:val="PargrafodaLista"/>
        <w:numPr>
          <w:ilvl w:val="0"/>
          <w:numId w:val="4"/>
        </w:numPr>
        <w:spacing w:before="120" w:after="120"/>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b/>
          <w:bCs/>
          <w:sz w:val="24"/>
          <w:szCs w:val="24"/>
        </w:rPr>
        <w:t>Manual para Conselheiros e Representantes da Valec:</w:t>
      </w:r>
      <w:r w:rsidRPr="00252D7B">
        <w:rPr>
          <w:rStyle w:val="jsgrdq"/>
          <w:rFonts w:asciiTheme="minorHAnsi" w:hAnsiTheme="minorHAnsi" w:cstheme="minorHAnsi"/>
          <w:sz w:val="24"/>
          <w:szCs w:val="24"/>
        </w:rPr>
        <w:t xml:space="preserve"> dispõe sobre os preceitos e orientações voltados às melhores práticas de governança corporativa, servindo de suporte aos Conselheiros e Representantes Legais da Valec Engenharia, Construções e Ferrovias S.A. no âmbito do relacionamento societário das participações as quais mantenha vínculo.</w:t>
      </w:r>
    </w:p>
    <w:p w14:paraId="1A9E19F8" w14:textId="7088C12D" w:rsidR="007A0FD1" w:rsidRPr="00252D7B" w:rsidRDefault="007A0FD1" w:rsidP="007A0FD1">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Os referidos normativos foram concebidos </w:t>
      </w:r>
      <w:r w:rsidR="00170815">
        <w:rPr>
          <w:rFonts w:asciiTheme="minorHAnsi" w:hAnsiTheme="minorHAnsi" w:cstheme="minorHAnsi"/>
          <w:sz w:val="24"/>
          <w:szCs w:val="24"/>
        </w:rPr>
        <w:t xml:space="preserve">para o </w:t>
      </w:r>
      <w:r w:rsidRPr="00252D7B">
        <w:rPr>
          <w:rFonts w:asciiTheme="minorHAnsi" w:hAnsiTheme="minorHAnsi" w:cstheme="minorHAnsi"/>
          <w:sz w:val="24"/>
          <w:szCs w:val="24"/>
        </w:rPr>
        <w:t>aprimoramento da gestão e fiscalização desses ativos, bem como atender grande parte das recomendações e determinações expedidas pelo Tribunal de Contas da União no Acórdão n° 1.659/2017-TCU Plenário.</w:t>
      </w:r>
    </w:p>
    <w:p w14:paraId="3E56FF28" w14:textId="510269DA" w:rsidR="007A0FD1" w:rsidRPr="00252D7B" w:rsidRDefault="007A0FD1" w:rsidP="007A0FD1">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Outrossim, em 2021 fo</w:t>
      </w:r>
      <w:r w:rsidR="00901527">
        <w:rPr>
          <w:rFonts w:asciiTheme="minorHAnsi" w:hAnsiTheme="minorHAnsi" w:cstheme="minorHAnsi"/>
          <w:sz w:val="24"/>
          <w:szCs w:val="24"/>
        </w:rPr>
        <w:t>ram</w:t>
      </w:r>
      <w:r w:rsidRPr="00252D7B">
        <w:rPr>
          <w:rFonts w:asciiTheme="minorHAnsi" w:hAnsiTheme="minorHAnsi" w:cstheme="minorHAnsi"/>
          <w:sz w:val="24"/>
          <w:szCs w:val="24"/>
        </w:rPr>
        <w:t xml:space="preserve"> implementado</w:t>
      </w:r>
      <w:r w:rsidR="00901527">
        <w:rPr>
          <w:rFonts w:asciiTheme="minorHAnsi" w:hAnsiTheme="minorHAnsi" w:cstheme="minorHAnsi"/>
          <w:sz w:val="24"/>
          <w:szCs w:val="24"/>
        </w:rPr>
        <w:t>s</w:t>
      </w:r>
      <w:r w:rsidRPr="00252D7B">
        <w:rPr>
          <w:rFonts w:asciiTheme="minorHAnsi" w:hAnsiTheme="minorHAnsi" w:cstheme="minorHAnsi"/>
          <w:sz w:val="24"/>
          <w:szCs w:val="24"/>
        </w:rPr>
        <w:t xml:space="preserve"> </w:t>
      </w:r>
      <w:r w:rsidR="00901527" w:rsidRPr="00901527">
        <w:rPr>
          <w:rFonts w:asciiTheme="minorHAnsi" w:hAnsiTheme="minorHAnsi" w:cstheme="minorHAnsi"/>
          <w:sz w:val="24"/>
          <w:szCs w:val="24"/>
        </w:rPr>
        <w:t xml:space="preserve">relatórios interativos ou </w:t>
      </w:r>
      <w:r w:rsidR="00901527" w:rsidRPr="00901527">
        <w:rPr>
          <w:rFonts w:asciiTheme="minorHAnsi" w:hAnsiTheme="minorHAnsi" w:cstheme="minorHAnsi"/>
          <w:i/>
          <w:iCs/>
          <w:sz w:val="24"/>
          <w:szCs w:val="24"/>
        </w:rPr>
        <w:t>dashboards</w:t>
      </w:r>
      <w:r w:rsidR="00901527" w:rsidRPr="00901527">
        <w:rPr>
          <w:rFonts w:asciiTheme="minorHAnsi" w:hAnsiTheme="minorHAnsi" w:cstheme="minorHAnsi"/>
          <w:sz w:val="24"/>
          <w:szCs w:val="24"/>
        </w:rPr>
        <w:t xml:space="preserve"> </w:t>
      </w:r>
      <w:r w:rsidRPr="00252D7B">
        <w:rPr>
          <w:rFonts w:asciiTheme="minorHAnsi" w:hAnsiTheme="minorHAnsi" w:cstheme="minorHAnsi"/>
          <w:sz w:val="24"/>
          <w:szCs w:val="24"/>
        </w:rPr>
        <w:t>a fim de viabilizar o acompanhamento orçamentário, de obras e outras demandas da participação acionária da Valec na Transnordestina Logística S/A:</w:t>
      </w:r>
    </w:p>
    <w:p w14:paraId="2A8786FC" w14:textId="77777777" w:rsidR="007A0FD1" w:rsidRPr="00252D7B" w:rsidRDefault="007A0FD1" w:rsidP="00DA42D5">
      <w:pPr>
        <w:spacing w:before="120"/>
        <w:jc w:val="both"/>
        <w:rPr>
          <w:rFonts w:asciiTheme="minorHAnsi" w:hAnsiTheme="minorHAnsi" w:cstheme="minorHAnsi"/>
          <w:sz w:val="24"/>
          <w:szCs w:val="24"/>
        </w:rPr>
      </w:pPr>
    </w:p>
    <w:p w14:paraId="32BFBB0E" w14:textId="277293D5" w:rsidR="00DA42D5" w:rsidRPr="00252D7B" w:rsidRDefault="00DA42D5" w:rsidP="00DA42D5">
      <w:pPr>
        <w:pStyle w:val="Legenda"/>
        <w:jc w:val="center"/>
        <w:rPr>
          <w:rFonts w:asciiTheme="minorHAnsi" w:hAnsiTheme="minorHAnsi" w:cstheme="minorHAnsi"/>
          <w:sz w:val="20"/>
          <w:szCs w:val="20"/>
        </w:rPr>
      </w:pPr>
      <w:bookmarkStart w:id="84" w:name="_Toc103680745"/>
      <w:r w:rsidRPr="00252D7B">
        <w:rPr>
          <w:rFonts w:asciiTheme="minorHAnsi" w:hAnsiTheme="minorHAnsi" w:cstheme="minorHAnsi"/>
          <w:sz w:val="20"/>
          <w:szCs w:val="20"/>
        </w:rPr>
        <w:t xml:space="preserve">Figura </w:t>
      </w:r>
      <w:r w:rsidR="00F46BDB" w:rsidRPr="00252D7B">
        <w:rPr>
          <w:rFonts w:asciiTheme="minorHAnsi" w:hAnsiTheme="minorHAnsi" w:cstheme="minorHAnsi"/>
          <w:sz w:val="20"/>
          <w:szCs w:val="20"/>
        </w:rPr>
        <w:fldChar w:fldCharType="begin"/>
      </w:r>
      <w:r w:rsidR="00F46BDB" w:rsidRPr="00252D7B">
        <w:rPr>
          <w:rFonts w:asciiTheme="minorHAnsi" w:hAnsiTheme="minorHAnsi" w:cstheme="minorHAnsi"/>
          <w:sz w:val="20"/>
          <w:szCs w:val="20"/>
        </w:rPr>
        <w:instrText xml:space="preserve"> SEQ Figura \* ARABIC </w:instrText>
      </w:r>
      <w:r w:rsidR="00F46BDB"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9</w:t>
      </w:r>
      <w:r w:rsidR="00F46BDB" w:rsidRPr="00252D7B">
        <w:rPr>
          <w:rFonts w:asciiTheme="minorHAnsi" w:hAnsiTheme="minorHAnsi" w:cstheme="minorHAnsi"/>
          <w:sz w:val="20"/>
          <w:szCs w:val="20"/>
        </w:rPr>
        <w:fldChar w:fldCharType="end"/>
      </w:r>
      <w:r w:rsidRPr="00252D7B">
        <w:rPr>
          <w:rFonts w:asciiTheme="minorHAnsi" w:hAnsiTheme="minorHAnsi" w:cstheme="minorHAnsi"/>
          <w:sz w:val="20"/>
          <w:szCs w:val="20"/>
        </w:rPr>
        <w:t xml:space="preserve"> </w:t>
      </w:r>
      <w:r w:rsidR="00CD3DCD" w:rsidRPr="00252D7B">
        <w:rPr>
          <w:rFonts w:asciiTheme="minorHAnsi" w:hAnsiTheme="minorHAnsi" w:cstheme="minorHAnsi"/>
          <w:sz w:val="20"/>
          <w:szCs w:val="20"/>
        </w:rPr>
        <w:t>–</w:t>
      </w:r>
      <w:r w:rsidRPr="00252D7B">
        <w:rPr>
          <w:rFonts w:asciiTheme="minorHAnsi" w:hAnsiTheme="minorHAnsi" w:cstheme="minorHAnsi"/>
          <w:sz w:val="20"/>
          <w:szCs w:val="20"/>
        </w:rPr>
        <w:t xml:space="preserve"> Visão geral do status do empreendimento</w:t>
      </w:r>
      <w:bookmarkEnd w:id="84"/>
    </w:p>
    <w:p w14:paraId="6BCCAA84" w14:textId="44ADC0DD" w:rsidR="007A0FD1" w:rsidRPr="00252D7B" w:rsidRDefault="007A0FD1" w:rsidP="001638E5">
      <w:pPr>
        <w:spacing w:before="120" w:after="120"/>
        <w:ind w:left="-567"/>
        <w:jc w:val="center"/>
        <w:rPr>
          <w:rFonts w:asciiTheme="minorHAnsi" w:hAnsiTheme="minorHAnsi" w:cstheme="minorHAnsi"/>
          <w:sz w:val="24"/>
          <w:szCs w:val="24"/>
        </w:rPr>
      </w:pPr>
      <w:r w:rsidRPr="00252D7B">
        <w:rPr>
          <w:rFonts w:asciiTheme="minorHAnsi" w:hAnsiTheme="minorHAnsi" w:cstheme="minorHAnsi"/>
          <w:noProof/>
        </w:rPr>
        <w:drawing>
          <wp:inline distT="0" distB="0" distL="0" distR="0" wp14:anchorId="3EDDE5E5" wp14:editId="092B43DC">
            <wp:extent cx="7036174" cy="3467100"/>
            <wp:effectExtent l="0" t="0" r="0" b="0"/>
            <wp:docPr id="18" name="Imagem 18" descr="Gráfico, Gráfico de casca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Gráfico, Gráfico de cascata&#10;&#10;Descrição gerada automaticament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066462" cy="3482024"/>
                    </a:xfrm>
                    <a:prstGeom prst="rect">
                      <a:avLst/>
                    </a:prstGeom>
                    <a:noFill/>
                    <a:ln>
                      <a:noFill/>
                    </a:ln>
                  </pic:spPr>
                </pic:pic>
              </a:graphicData>
            </a:graphic>
          </wp:inline>
        </w:drawing>
      </w:r>
    </w:p>
    <w:p w14:paraId="60815760" w14:textId="77777777" w:rsidR="001638E5" w:rsidRDefault="001638E5">
      <w:pPr>
        <w:widowControl/>
        <w:autoSpaceDE/>
        <w:autoSpaceDN/>
        <w:spacing w:after="160" w:line="259" w:lineRule="auto"/>
        <w:rPr>
          <w:rFonts w:asciiTheme="minorHAnsi" w:hAnsiTheme="minorHAnsi" w:cstheme="minorHAnsi"/>
          <w:i/>
          <w:iCs/>
          <w:color w:val="1F497D"/>
          <w:sz w:val="20"/>
          <w:szCs w:val="20"/>
        </w:rPr>
      </w:pPr>
      <w:r>
        <w:rPr>
          <w:rFonts w:asciiTheme="minorHAnsi" w:hAnsiTheme="minorHAnsi" w:cstheme="minorHAnsi"/>
          <w:sz w:val="20"/>
          <w:szCs w:val="20"/>
        </w:rPr>
        <w:br w:type="page"/>
      </w:r>
    </w:p>
    <w:p w14:paraId="25B66BE3" w14:textId="28840A52" w:rsidR="007A0FD1" w:rsidRPr="00252D7B" w:rsidRDefault="00081E51" w:rsidP="00BD6629">
      <w:pPr>
        <w:pStyle w:val="Legenda"/>
        <w:jc w:val="center"/>
        <w:rPr>
          <w:rFonts w:asciiTheme="minorHAnsi" w:hAnsiTheme="minorHAnsi" w:cstheme="minorHAnsi"/>
          <w:sz w:val="20"/>
          <w:szCs w:val="20"/>
        </w:rPr>
      </w:pPr>
      <w:bookmarkStart w:id="85" w:name="_Toc103680769"/>
      <w:r w:rsidRPr="00252D7B">
        <w:rPr>
          <w:rFonts w:asciiTheme="minorHAnsi" w:hAnsiTheme="minorHAnsi" w:cstheme="minorHAnsi"/>
          <w:sz w:val="20"/>
          <w:szCs w:val="20"/>
        </w:rPr>
        <w:lastRenderedPageBreak/>
        <w:t xml:space="preserve">Gráfico </w:t>
      </w:r>
      <w:r w:rsidR="004328AC" w:rsidRPr="00252D7B">
        <w:rPr>
          <w:rFonts w:asciiTheme="minorHAnsi" w:hAnsiTheme="minorHAnsi" w:cstheme="minorHAnsi"/>
          <w:sz w:val="20"/>
          <w:szCs w:val="20"/>
        </w:rPr>
        <w:fldChar w:fldCharType="begin"/>
      </w:r>
      <w:r w:rsidR="004328AC" w:rsidRPr="00252D7B">
        <w:rPr>
          <w:rFonts w:asciiTheme="minorHAnsi" w:hAnsiTheme="minorHAnsi" w:cstheme="minorHAnsi"/>
          <w:sz w:val="20"/>
          <w:szCs w:val="20"/>
        </w:rPr>
        <w:instrText xml:space="preserve"> SEQ Gráfico \* ARABIC </w:instrText>
      </w:r>
      <w:r w:rsidR="004328AC"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4</w:t>
      </w:r>
      <w:r w:rsidR="004328AC" w:rsidRPr="00252D7B">
        <w:rPr>
          <w:rFonts w:asciiTheme="minorHAnsi" w:hAnsiTheme="minorHAnsi" w:cstheme="minorHAnsi"/>
          <w:sz w:val="20"/>
          <w:szCs w:val="20"/>
        </w:rPr>
        <w:fldChar w:fldCharType="end"/>
      </w:r>
      <w:r w:rsidRPr="00252D7B">
        <w:rPr>
          <w:rFonts w:asciiTheme="minorHAnsi" w:hAnsiTheme="minorHAnsi" w:cstheme="minorHAnsi"/>
          <w:sz w:val="20"/>
          <w:szCs w:val="20"/>
        </w:rPr>
        <w:t xml:space="preserve"> </w:t>
      </w:r>
      <w:r w:rsidR="00CD3DCD" w:rsidRPr="00252D7B">
        <w:rPr>
          <w:rFonts w:asciiTheme="minorHAnsi" w:hAnsiTheme="minorHAnsi" w:cstheme="minorHAnsi"/>
          <w:sz w:val="20"/>
          <w:szCs w:val="20"/>
        </w:rPr>
        <w:t xml:space="preserve">– </w:t>
      </w:r>
      <w:r w:rsidRPr="00252D7B">
        <w:rPr>
          <w:rFonts w:asciiTheme="minorHAnsi" w:hAnsiTheme="minorHAnsi" w:cstheme="minorHAnsi"/>
          <w:sz w:val="20"/>
          <w:szCs w:val="20"/>
        </w:rPr>
        <w:t>% de serviços concluídos</w:t>
      </w:r>
      <w:r w:rsidR="007A0FD1" w:rsidRPr="00252D7B">
        <w:rPr>
          <w:rFonts w:asciiTheme="minorHAnsi" w:hAnsiTheme="minorHAnsi" w:cstheme="minorHAnsi"/>
          <w:sz w:val="20"/>
          <w:szCs w:val="20"/>
        </w:rPr>
        <w:t xml:space="preserve"> por lote</w:t>
      </w:r>
      <w:bookmarkEnd w:id="85"/>
    </w:p>
    <w:p w14:paraId="6255A686" w14:textId="2FEEBC60" w:rsidR="007A0FD1" w:rsidRPr="00252D7B" w:rsidRDefault="007A0FD1" w:rsidP="001638E5">
      <w:pPr>
        <w:spacing w:before="120" w:after="120"/>
        <w:ind w:left="-709" w:hanging="142"/>
        <w:jc w:val="center"/>
        <w:rPr>
          <w:rFonts w:asciiTheme="minorHAnsi" w:hAnsiTheme="minorHAnsi" w:cstheme="minorHAnsi"/>
          <w:sz w:val="24"/>
          <w:szCs w:val="24"/>
        </w:rPr>
      </w:pPr>
      <w:r w:rsidRPr="00252D7B">
        <w:rPr>
          <w:rFonts w:asciiTheme="minorHAnsi" w:hAnsiTheme="minorHAnsi" w:cstheme="minorHAnsi"/>
          <w:noProof/>
        </w:rPr>
        <w:drawing>
          <wp:inline distT="0" distB="0" distL="0" distR="0" wp14:anchorId="61C9592E" wp14:editId="5208D6BC">
            <wp:extent cx="7232043" cy="4038600"/>
            <wp:effectExtent l="0" t="0" r="6985" b="0"/>
            <wp:docPr id="17" name="Imagem 17"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Gráfico, Gráfico de barras&#10;&#10;Descrição gerada automaticamen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256531" cy="4052275"/>
                    </a:xfrm>
                    <a:prstGeom prst="rect">
                      <a:avLst/>
                    </a:prstGeom>
                    <a:noFill/>
                    <a:ln>
                      <a:noFill/>
                    </a:ln>
                  </pic:spPr>
                </pic:pic>
              </a:graphicData>
            </a:graphic>
          </wp:inline>
        </w:drawing>
      </w:r>
    </w:p>
    <w:p w14:paraId="0AE25254" w14:textId="3E622A4B" w:rsidR="007A0FD1" w:rsidRDefault="007A0FD1" w:rsidP="00CD3DCD">
      <w:pPr>
        <w:spacing w:before="120"/>
        <w:jc w:val="both"/>
        <w:rPr>
          <w:rFonts w:asciiTheme="minorHAnsi" w:hAnsiTheme="minorHAnsi" w:cstheme="minorHAnsi"/>
          <w:sz w:val="24"/>
          <w:szCs w:val="24"/>
        </w:rPr>
      </w:pPr>
    </w:p>
    <w:p w14:paraId="56FD5D81" w14:textId="77777777" w:rsidR="00AE0B7A" w:rsidRPr="00252D7B" w:rsidRDefault="00AE0B7A" w:rsidP="00CD3DCD">
      <w:pPr>
        <w:spacing w:before="120"/>
        <w:jc w:val="both"/>
        <w:rPr>
          <w:rFonts w:asciiTheme="minorHAnsi" w:hAnsiTheme="minorHAnsi" w:cstheme="minorHAnsi"/>
          <w:sz w:val="24"/>
          <w:szCs w:val="24"/>
        </w:rPr>
      </w:pPr>
    </w:p>
    <w:p w14:paraId="40D431C7" w14:textId="77777777" w:rsidR="009277B6" w:rsidRPr="00252D7B" w:rsidRDefault="009277B6" w:rsidP="009277B6">
      <w:pPr>
        <w:pStyle w:val="Ttulo4"/>
        <w:rPr>
          <w:rFonts w:asciiTheme="minorHAnsi" w:hAnsiTheme="minorHAnsi" w:cstheme="minorHAnsi"/>
        </w:rPr>
      </w:pPr>
      <w:bookmarkStart w:id="86" w:name="_Toc103680519"/>
      <w:r w:rsidRPr="00252D7B">
        <w:rPr>
          <w:rFonts w:asciiTheme="minorHAnsi" w:hAnsiTheme="minorHAnsi" w:cstheme="minorHAnsi"/>
        </w:rPr>
        <w:t>Transnordestina Logística S/A</w:t>
      </w:r>
      <w:bookmarkEnd w:id="86"/>
    </w:p>
    <w:p w14:paraId="6A22F7BB" w14:textId="68F06AD9" w:rsidR="003B0DE7" w:rsidRPr="00252D7B" w:rsidRDefault="00002A25" w:rsidP="00002A25">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Concessionária responsável pela construção e exploração da ferrovia Nova Transnordestina (EF-232 e EF-116 – Malha II), com extensão total de 1.753 km, passando pelos Estados do Piauí, Ceará e Pernambuco.</w:t>
      </w:r>
    </w:p>
    <w:p w14:paraId="0E25B6F1" w14:textId="18041526" w:rsidR="00EC216A" w:rsidRPr="00252D7B" w:rsidRDefault="00EC216A" w:rsidP="00EC216A">
      <w:pPr>
        <w:pStyle w:val="Legenda"/>
        <w:jc w:val="center"/>
        <w:rPr>
          <w:rFonts w:asciiTheme="minorHAnsi" w:hAnsiTheme="minorHAnsi" w:cstheme="minorHAnsi"/>
          <w:sz w:val="20"/>
          <w:szCs w:val="20"/>
        </w:rPr>
      </w:pPr>
      <w:bookmarkStart w:id="87" w:name="_Toc103680770"/>
      <w:r w:rsidRPr="00252D7B">
        <w:rPr>
          <w:rFonts w:asciiTheme="minorHAnsi" w:hAnsiTheme="minorHAnsi" w:cstheme="minorHAnsi"/>
          <w:sz w:val="20"/>
          <w:szCs w:val="20"/>
        </w:rPr>
        <w:t xml:space="preserve">Gráfico </w:t>
      </w:r>
      <w:r w:rsidRPr="00252D7B">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Gráfico \* ARABIC </w:instrText>
      </w:r>
      <w:r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5</w:t>
      </w:r>
      <w:r w:rsidRPr="00252D7B">
        <w:rPr>
          <w:rFonts w:asciiTheme="minorHAnsi" w:hAnsiTheme="minorHAnsi" w:cstheme="minorHAnsi"/>
          <w:sz w:val="20"/>
          <w:szCs w:val="20"/>
        </w:rPr>
        <w:fldChar w:fldCharType="end"/>
      </w:r>
      <w:r w:rsidRPr="00252D7B">
        <w:rPr>
          <w:rFonts w:asciiTheme="minorHAnsi" w:hAnsiTheme="minorHAnsi" w:cstheme="minorHAnsi"/>
          <w:sz w:val="20"/>
          <w:szCs w:val="20"/>
        </w:rPr>
        <w:t xml:space="preserve"> </w:t>
      </w:r>
      <w:r w:rsidR="007C09EA" w:rsidRPr="00252D7B">
        <w:rPr>
          <w:rFonts w:asciiTheme="minorHAnsi" w:hAnsiTheme="minorHAnsi" w:cstheme="minorHAnsi"/>
          <w:sz w:val="20"/>
          <w:szCs w:val="20"/>
        </w:rPr>
        <w:t>–</w:t>
      </w:r>
      <w:r w:rsidRPr="00252D7B">
        <w:rPr>
          <w:rFonts w:asciiTheme="minorHAnsi" w:hAnsiTheme="minorHAnsi" w:cstheme="minorHAnsi"/>
          <w:sz w:val="20"/>
          <w:szCs w:val="20"/>
        </w:rPr>
        <w:t xml:space="preserve"> Composição acionária TLSA</w:t>
      </w:r>
      <w:bookmarkEnd w:id="87"/>
    </w:p>
    <w:p w14:paraId="6A031F29" w14:textId="301D9DB0" w:rsidR="00002A25" w:rsidRPr="00252D7B" w:rsidRDefault="00002A25" w:rsidP="00002A25">
      <w:pPr>
        <w:spacing w:before="120" w:after="120"/>
        <w:jc w:val="center"/>
        <w:rPr>
          <w:rFonts w:asciiTheme="minorHAnsi" w:hAnsiTheme="minorHAnsi" w:cstheme="minorHAnsi"/>
          <w:sz w:val="24"/>
          <w:szCs w:val="24"/>
        </w:rPr>
      </w:pPr>
      <w:r w:rsidRPr="00252D7B">
        <w:rPr>
          <w:rFonts w:asciiTheme="minorHAnsi" w:hAnsiTheme="minorHAnsi" w:cstheme="minorHAnsi"/>
          <w:noProof/>
          <w:sz w:val="24"/>
          <w:szCs w:val="24"/>
        </w:rPr>
        <w:drawing>
          <wp:inline distT="0" distB="0" distL="0" distR="0" wp14:anchorId="79CF8A75" wp14:editId="2B7E8769">
            <wp:extent cx="4981575" cy="2541270"/>
            <wp:effectExtent l="0" t="0" r="9525" b="0"/>
            <wp:docPr id="20" name="Imagem 20" descr="Gráfico, Gráfico de explosão sola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Gráfico, Gráfico de explosão solar&#10;&#10;Descrição gerada automaticament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81575" cy="2541270"/>
                    </a:xfrm>
                    <a:prstGeom prst="rect">
                      <a:avLst/>
                    </a:prstGeom>
                    <a:noFill/>
                    <a:ln>
                      <a:noFill/>
                    </a:ln>
                  </pic:spPr>
                </pic:pic>
              </a:graphicData>
            </a:graphic>
          </wp:inline>
        </w:drawing>
      </w:r>
    </w:p>
    <w:p w14:paraId="14CF5A17" w14:textId="77777777" w:rsidR="00002A25" w:rsidRPr="00252D7B" w:rsidRDefault="00002A25" w:rsidP="00002A25">
      <w:pPr>
        <w:spacing w:before="120" w:after="120"/>
        <w:jc w:val="both"/>
        <w:rPr>
          <w:rFonts w:asciiTheme="minorHAnsi" w:hAnsiTheme="minorHAnsi" w:cstheme="minorHAnsi"/>
          <w:sz w:val="24"/>
          <w:szCs w:val="24"/>
        </w:rPr>
      </w:pPr>
    </w:p>
    <w:p w14:paraId="7D2924B1" w14:textId="77777777" w:rsidR="00AE0B7A" w:rsidRDefault="00AE0B7A" w:rsidP="00E80CF1">
      <w:pPr>
        <w:pStyle w:val="Legenda"/>
        <w:jc w:val="center"/>
        <w:rPr>
          <w:rFonts w:asciiTheme="minorHAnsi" w:hAnsiTheme="minorHAnsi" w:cstheme="minorHAnsi"/>
          <w:sz w:val="20"/>
          <w:szCs w:val="20"/>
        </w:rPr>
      </w:pPr>
    </w:p>
    <w:p w14:paraId="58D38681" w14:textId="77777777" w:rsidR="00AE0B7A" w:rsidRDefault="00AE0B7A" w:rsidP="00E80CF1">
      <w:pPr>
        <w:pStyle w:val="Legenda"/>
        <w:jc w:val="center"/>
        <w:rPr>
          <w:rFonts w:asciiTheme="minorHAnsi" w:hAnsiTheme="minorHAnsi" w:cstheme="minorHAnsi"/>
          <w:sz w:val="20"/>
          <w:szCs w:val="20"/>
        </w:rPr>
      </w:pPr>
    </w:p>
    <w:p w14:paraId="71BFD0EF" w14:textId="2E71A4FF" w:rsidR="00002A25" w:rsidRPr="00252D7B" w:rsidRDefault="00002A25" w:rsidP="00E80CF1">
      <w:pPr>
        <w:pStyle w:val="Legenda"/>
        <w:jc w:val="center"/>
        <w:rPr>
          <w:rFonts w:asciiTheme="minorHAnsi" w:hAnsiTheme="minorHAnsi" w:cstheme="minorHAnsi"/>
          <w:sz w:val="20"/>
          <w:szCs w:val="20"/>
        </w:rPr>
      </w:pPr>
      <w:r w:rsidRPr="00252D7B">
        <w:rPr>
          <w:rFonts w:asciiTheme="minorHAnsi" w:hAnsiTheme="minorHAnsi" w:cstheme="minorHAnsi"/>
          <w:sz w:val="20"/>
          <w:szCs w:val="20"/>
        </w:rPr>
        <w:t xml:space="preserve">Figura 7 </w:t>
      </w:r>
      <w:r w:rsidR="0095711C" w:rsidRPr="00252D7B">
        <w:rPr>
          <w:rFonts w:asciiTheme="minorHAnsi" w:hAnsiTheme="minorHAnsi" w:cstheme="minorHAnsi"/>
          <w:sz w:val="20"/>
          <w:szCs w:val="20"/>
        </w:rPr>
        <w:t>–</w:t>
      </w:r>
      <w:r w:rsidRPr="00252D7B">
        <w:rPr>
          <w:rFonts w:asciiTheme="minorHAnsi" w:hAnsiTheme="minorHAnsi" w:cstheme="minorHAnsi"/>
          <w:sz w:val="20"/>
          <w:szCs w:val="20"/>
        </w:rPr>
        <w:t xml:space="preserve"> Traçado da Ferrovia Nova Transnordestina</w:t>
      </w:r>
    </w:p>
    <w:p w14:paraId="66BF63F2" w14:textId="21EFDAB2" w:rsidR="00002A25" w:rsidRPr="00252D7B" w:rsidRDefault="00002A25" w:rsidP="00002A25">
      <w:pPr>
        <w:spacing w:before="120" w:after="120"/>
        <w:jc w:val="center"/>
        <w:rPr>
          <w:rFonts w:asciiTheme="minorHAnsi" w:hAnsiTheme="minorHAnsi" w:cstheme="minorHAnsi"/>
          <w:sz w:val="24"/>
          <w:szCs w:val="24"/>
        </w:rPr>
      </w:pPr>
      <w:r w:rsidRPr="00252D7B">
        <w:rPr>
          <w:rFonts w:asciiTheme="minorHAnsi" w:hAnsiTheme="minorHAnsi" w:cstheme="minorHAnsi"/>
          <w:noProof/>
          <w:sz w:val="24"/>
          <w:szCs w:val="24"/>
        </w:rPr>
        <w:drawing>
          <wp:inline distT="0" distB="0" distL="0" distR="0" wp14:anchorId="29FF9B33" wp14:editId="66FA0DCA">
            <wp:extent cx="4936490" cy="3001010"/>
            <wp:effectExtent l="0" t="0" r="0" b="8890"/>
            <wp:docPr id="19" name="Imagem 19"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Mapa&#10;&#10;Descrição gerada automaticament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36490" cy="3001010"/>
                    </a:xfrm>
                    <a:prstGeom prst="rect">
                      <a:avLst/>
                    </a:prstGeom>
                    <a:noFill/>
                    <a:ln>
                      <a:noFill/>
                    </a:ln>
                  </pic:spPr>
                </pic:pic>
              </a:graphicData>
            </a:graphic>
          </wp:inline>
        </w:drawing>
      </w:r>
    </w:p>
    <w:p w14:paraId="576A3652" w14:textId="77777777" w:rsidR="00002A25" w:rsidRPr="00252D7B" w:rsidRDefault="00002A25" w:rsidP="00002A25">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A participação da Valec se deu com amparo da Lei nº 11.772/2008, mediante aporte de R$ 1,1 bilhão para aquisição de ações. Os demais aportes do bloco público foram suspensos por determinação do Tribunal de Contas da União. Por razões de diversas naturezas, o ritmo de evolução geral das obras tem sido baixo.</w:t>
      </w:r>
    </w:p>
    <w:p w14:paraId="20B2C7D9" w14:textId="259A2D72" w:rsidR="00002A25" w:rsidRPr="00252D7B" w:rsidRDefault="00002A25" w:rsidP="00002A25">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No ano de 2021 foi realizada a análise econômico-financeira-social do empreendimento apoiada por uma consultoria especializada contratada pela Valec, com o levantamento de alternativas viáveis para o seu desenvolvimento, de modo a subsidiar o processo decisório no âmbito do Ministério da Infraestrutura.</w:t>
      </w:r>
    </w:p>
    <w:p w14:paraId="26CE3BE4" w14:textId="45DBE1B9" w:rsidR="00DC770B" w:rsidRDefault="00DC770B" w:rsidP="00002A25">
      <w:pPr>
        <w:spacing w:before="120" w:after="120"/>
        <w:jc w:val="both"/>
        <w:rPr>
          <w:rFonts w:asciiTheme="minorHAnsi" w:hAnsiTheme="minorHAnsi" w:cstheme="minorHAnsi"/>
          <w:sz w:val="24"/>
          <w:szCs w:val="24"/>
        </w:rPr>
      </w:pPr>
    </w:p>
    <w:p w14:paraId="1F6F4E66" w14:textId="77777777" w:rsidR="00AE0B7A" w:rsidRPr="00252D7B" w:rsidRDefault="00AE0B7A" w:rsidP="00002A25">
      <w:pPr>
        <w:spacing w:before="120" w:after="120"/>
        <w:jc w:val="both"/>
        <w:rPr>
          <w:rFonts w:asciiTheme="minorHAnsi" w:hAnsiTheme="minorHAnsi" w:cstheme="minorHAnsi"/>
          <w:sz w:val="24"/>
          <w:szCs w:val="24"/>
        </w:rPr>
      </w:pPr>
    </w:p>
    <w:p w14:paraId="70D1C1B3" w14:textId="77777777" w:rsidR="00E03B25" w:rsidRPr="00252D7B" w:rsidRDefault="00E03B25" w:rsidP="00E03B25">
      <w:pPr>
        <w:pStyle w:val="Ttulo4"/>
        <w:rPr>
          <w:rFonts w:asciiTheme="minorHAnsi" w:hAnsiTheme="minorHAnsi" w:cstheme="minorHAnsi"/>
        </w:rPr>
      </w:pPr>
      <w:bookmarkStart w:id="88" w:name="_Toc103680520"/>
      <w:r w:rsidRPr="00252D7B">
        <w:rPr>
          <w:rFonts w:asciiTheme="minorHAnsi" w:hAnsiTheme="minorHAnsi" w:cstheme="minorHAnsi"/>
        </w:rPr>
        <w:t>Estrada de Ferro Paraná Oeste S.A</w:t>
      </w:r>
      <w:bookmarkEnd w:id="88"/>
    </w:p>
    <w:p w14:paraId="6476073A" w14:textId="7B0A2ADE" w:rsidR="0029224E" w:rsidRPr="00252D7B" w:rsidRDefault="0029224E" w:rsidP="0029224E">
      <w:pPr>
        <w:spacing w:before="120" w:after="120"/>
        <w:jc w:val="both"/>
        <w:rPr>
          <w:rStyle w:val="fontstyle01"/>
          <w:rFonts w:asciiTheme="minorHAnsi" w:hAnsiTheme="minorHAnsi" w:cstheme="minorHAnsi"/>
          <w:sz w:val="24"/>
          <w:szCs w:val="24"/>
        </w:rPr>
      </w:pPr>
      <w:r w:rsidRPr="00252D7B">
        <w:rPr>
          <w:rStyle w:val="fontstyle01"/>
          <w:rFonts w:asciiTheme="minorHAnsi" w:hAnsiTheme="minorHAnsi" w:cstheme="minorHAnsi"/>
          <w:sz w:val="24"/>
          <w:szCs w:val="24"/>
        </w:rPr>
        <w:t>A Estrada de Ferro Paraná Oeste S.A é sociedade anônima de economia mista, controlada pelo Estado do Paraná, que detém a outorga para construção, uso e gozo de uma estrada de ferro</w:t>
      </w:r>
      <w:r w:rsidRPr="00252D7B">
        <w:rPr>
          <w:rFonts w:asciiTheme="minorHAnsi" w:hAnsiTheme="minorHAnsi" w:cstheme="minorHAnsi"/>
          <w:color w:val="000000"/>
          <w:sz w:val="24"/>
          <w:szCs w:val="24"/>
        </w:rPr>
        <w:t xml:space="preserve"> </w:t>
      </w:r>
      <w:r w:rsidRPr="00252D7B">
        <w:rPr>
          <w:rStyle w:val="fontstyle01"/>
          <w:rFonts w:asciiTheme="minorHAnsi" w:hAnsiTheme="minorHAnsi" w:cstheme="minorHAnsi"/>
          <w:sz w:val="24"/>
          <w:szCs w:val="24"/>
        </w:rPr>
        <w:t>(EF-484) na direção geral leste-nordeste, estendendo a malha ferroviária do Estado do Paraná a partir da região de Guarapuava até a região de Cascavel, além</w:t>
      </w:r>
      <w:r w:rsidRPr="00252D7B">
        <w:rPr>
          <w:rFonts w:asciiTheme="minorHAnsi" w:hAnsiTheme="minorHAnsi" w:cstheme="minorHAnsi"/>
          <w:color w:val="000000"/>
          <w:sz w:val="24"/>
          <w:szCs w:val="24"/>
        </w:rPr>
        <w:t xml:space="preserve"> </w:t>
      </w:r>
      <w:r w:rsidRPr="00252D7B">
        <w:rPr>
          <w:rStyle w:val="fontstyle01"/>
          <w:rFonts w:asciiTheme="minorHAnsi" w:hAnsiTheme="minorHAnsi" w:cstheme="minorHAnsi"/>
          <w:sz w:val="24"/>
          <w:szCs w:val="24"/>
        </w:rPr>
        <w:t>de um ramal ferroviário partindo da região de Cascavel até a região de Dourados, no Estado do Mato Grosso do Sul.</w:t>
      </w:r>
      <w:r w:rsidRPr="00252D7B">
        <w:rPr>
          <w:rFonts w:asciiTheme="minorHAnsi" w:hAnsiTheme="minorHAnsi" w:cstheme="minorHAnsi"/>
          <w:color w:val="000000"/>
          <w:sz w:val="24"/>
          <w:szCs w:val="24"/>
        </w:rPr>
        <w:t xml:space="preserve"> </w:t>
      </w:r>
      <w:r w:rsidRPr="00252D7B">
        <w:rPr>
          <w:rStyle w:val="fontstyle01"/>
          <w:rFonts w:asciiTheme="minorHAnsi" w:hAnsiTheme="minorHAnsi" w:cstheme="minorHAnsi"/>
          <w:sz w:val="24"/>
          <w:szCs w:val="24"/>
        </w:rPr>
        <w:t>A própria Ferroeste detém 99,68% de participação acionária. O restante das ações pertence a 46 empresas nacionais, 3 estrangeiras e 6 pessoas</w:t>
      </w:r>
      <w:r w:rsidRPr="00252D7B">
        <w:rPr>
          <w:rFonts w:asciiTheme="minorHAnsi" w:hAnsiTheme="minorHAnsi" w:cstheme="minorHAnsi"/>
          <w:color w:val="000000"/>
          <w:sz w:val="24"/>
          <w:szCs w:val="24"/>
        </w:rPr>
        <w:t xml:space="preserve"> </w:t>
      </w:r>
      <w:r w:rsidRPr="00252D7B">
        <w:rPr>
          <w:rStyle w:val="fontstyle01"/>
          <w:rFonts w:asciiTheme="minorHAnsi" w:hAnsiTheme="minorHAnsi" w:cstheme="minorHAnsi"/>
          <w:sz w:val="24"/>
          <w:szCs w:val="24"/>
        </w:rPr>
        <w:t>físicas. Atualmente, a Valec detém 0,028% das ações totais.</w:t>
      </w:r>
    </w:p>
    <w:p w14:paraId="501B93AA" w14:textId="50DC6CA0" w:rsidR="00DC770B" w:rsidRPr="00252D7B" w:rsidRDefault="00DC770B">
      <w:pPr>
        <w:widowControl/>
        <w:autoSpaceDE/>
        <w:autoSpaceDN/>
        <w:spacing w:after="160" w:line="259" w:lineRule="auto"/>
        <w:rPr>
          <w:rStyle w:val="fontstyle01"/>
          <w:rFonts w:asciiTheme="minorHAnsi" w:hAnsiTheme="minorHAnsi" w:cstheme="minorHAnsi"/>
          <w:sz w:val="24"/>
          <w:szCs w:val="24"/>
        </w:rPr>
      </w:pPr>
      <w:r w:rsidRPr="00252D7B">
        <w:rPr>
          <w:rStyle w:val="fontstyle01"/>
          <w:rFonts w:asciiTheme="minorHAnsi" w:hAnsiTheme="minorHAnsi" w:cstheme="minorHAnsi"/>
          <w:sz w:val="24"/>
          <w:szCs w:val="24"/>
        </w:rPr>
        <w:br w:type="page"/>
      </w:r>
    </w:p>
    <w:p w14:paraId="334004F3" w14:textId="77777777" w:rsidR="002D0BD0" w:rsidRPr="00252D7B" w:rsidRDefault="002D0BD0" w:rsidP="0029224E">
      <w:pPr>
        <w:spacing w:before="120" w:after="120"/>
        <w:jc w:val="both"/>
        <w:rPr>
          <w:rStyle w:val="fontstyle01"/>
          <w:rFonts w:asciiTheme="minorHAnsi" w:hAnsiTheme="minorHAnsi" w:cstheme="minorHAnsi"/>
          <w:sz w:val="24"/>
          <w:szCs w:val="24"/>
        </w:rPr>
      </w:pPr>
    </w:p>
    <w:p w14:paraId="1F003262" w14:textId="7FA286EF" w:rsidR="0029224E" w:rsidRPr="00252D7B" w:rsidRDefault="0029224E" w:rsidP="00E80CF1">
      <w:pPr>
        <w:pStyle w:val="Legenda"/>
        <w:jc w:val="center"/>
        <w:rPr>
          <w:rFonts w:asciiTheme="minorHAnsi" w:hAnsiTheme="minorHAnsi" w:cstheme="minorHAnsi"/>
          <w:sz w:val="20"/>
          <w:szCs w:val="20"/>
        </w:rPr>
      </w:pPr>
      <w:r w:rsidRPr="00252D7B">
        <w:rPr>
          <w:rFonts w:asciiTheme="minorHAnsi" w:hAnsiTheme="minorHAnsi" w:cstheme="minorHAnsi"/>
          <w:sz w:val="20"/>
          <w:szCs w:val="20"/>
        </w:rPr>
        <w:t xml:space="preserve">Figura 8 </w:t>
      </w:r>
      <w:r w:rsidR="0095711C" w:rsidRPr="00252D7B">
        <w:rPr>
          <w:rFonts w:asciiTheme="minorHAnsi" w:hAnsiTheme="minorHAnsi" w:cstheme="minorHAnsi"/>
          <w:sz w:val="20"/>
          <w:szCs w:val="20"/>
        </w:rPr>
        <w:t>–</w:t>
      </w:r>
      <w:r w:rsidRPr="00252D7B">
        <w:rPr>
          <w:rFonts w:asciiTheme="minorHAnsi" w:hAnsiTheme="minorHAnsi" w:cstheme="minorHAnsi"/>
          <w:sz w:val="20"/>
          <w:szCs w:val="20"/>
        </w:rPr>
        <w:t xml:space="preserve"> Traçado Ferroeste</w:t>
      </w:r>
    </w:p>
    <w:p w14:paraId="6599AC2C" w14:textId="057CB6B2" w:rsidR="0029224E" w:rsidRPr="00252D7B" w:rsidRDefault="0029224E" w:rsidP="0029224E">
      <w:pPr>
        <w:spacing w:before="120" w:after="120"/>
        <w:jc w:val="center"/>
        <w:rPr>
          <w:rFonts w:asciiTheme="minorHAnsi" w:hAnsiTheme="minorHAnsi" w:cstheme="minorHAnsi"/>
          <w:sz w:val="24"/>
          <w:szCs w:val="24"/>
        </w:rPr>
      </w:pPr>
      <w:r w:rsidRPr="00252D7B">
        <w:rPr>
          <w:rFonts w:asciiTheme="minorHAnsi" w:hAnsiTheme="minorHAnsi" w:cstheme="minorHAnsi"/>
          <w:noProof/>
        </w:rPr>
        <w:drawing>
          <wp:inline distT="0" distB="0" distL="0" distR="0" wp14:anchorId="35F71F3C" wp14:editId="25B0AA29">
            <wp:extent cx="4773930" cy="3107690"/>
            <wp:effectExtent l="0" t="0" r="7620" b="0"/>
            <wp:docPr id="21" name="Imagem 21"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Mapa&#10;&#10;Descrição gerada automaticament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73930" cy="3107690"/>
                    </a:xfrm>
                    <a:prstGeom prst="rect">
                      <a:avLst/>
                    </a:prstGeom>
                    <a:noFill/>
                    <a:ln>
                      <a:noFill/>
                    </a:ln>
                  </pic:spPr>
                </pic:pic>
              </a:graphicData>
            </a:graphic>
          </wp:inline>
        </w:drawing>
      </w:r>
    </w:p>
    <w:p w14:paraId="39E3E102" w14:textId="77777777" w:rsidR="00002A25" w:rsidRPr="00252D7B" w:rsidRDefault="00002A25">
      <w:pPr>
        <w:widowControl/>
        <w:autoSpaceDE/>
        <w:autoSpaceDN/>
        <w:spacing w:after="160" w:line="259" w:lineRule="auto"/>
        <w:rPr>
          <w:rFonts w:asciiTheme="minorHAnsi" w:hAnsiTheme="minorHAnsi" w:cstheme="minorHAnsi"/>
          <w:b/>
        </w:rPr>
      </w:pPr>
    </w:p>
    <w:p w14:paraId="3E7455AF" w14:textId="390ADBD8" w:rsidR="005C0C13" w:rsidRPr="00252D7B" w:rsidRDefault="005C0C13">
      <w:pPr>
        <w:widowControl/>
        <w:autoSpaceDE/>
        <w:autoSpaceDN/>
        <w:spacing w:after="160" w:line="259" w:lineRule="auto"/>
        <w:rPr>
          <w:rFonts w:asciiTheme="minorHAnsi" w:hAnsiTheme="minorHAnsi" w:cstheme="minorHAnsi"/>
          <w:b/>
        </w:rPr>
      </w:pPr>
      <w:r w:rsidRPr="00252D7B">
        <w:rPr>
          <w:rFonts w:asciiTheme="minorHAnsi" w:hAnsiTheme="minorHAnsi" w:cstheme="minorHAnsi"/>
          <w:b/>
        </w:rPr>
        <w:br w:type="page"/>
      </w:r>
    </w:p>
    <w:p w14:paraId="5CE93BAE" w14:textId="7BA09C73" w:rsidR="00502D5A" w:rsidRPr="00252D7B" w:rsidRDefault="005D3D48" w:rsidP="0012333D">
      <w:pPr>
        <w:pStyle w:val="Ttulo1"/>
        <w:jc w:val="left"/>
        <w:rPr>
          <w:rFonts w:asciiTheme="minorHAnsi" w:hAnsiTheme="minorHAnsi" w:cstheme="minorHAnsi"/>
        </w:rPr>
      </w:pPr>
      <w:bookmarkStart w:id="89" w:name="_Toc95830202"/>
      <w:bookmarkStart w:id="90" w:name="_Toc103680521"/>
      <w:r w:rsidRPr="00252D7B">
        <w:rPr>
          <w:rFonts w:asciiTheme="minorHAnsi" w:hAnsiTheme="minorHAnsi" w:cstheme="minorHAnsi"/>
        </w:rPr>
        <w:lastRenderedPageBreak/>
        <w:t>RISCOS, OPORTUNIDADES E PERSPECTIVAS</w:t>
      </w:r>
      <w:bookmarkEnd w:id="89"/>
      <w:bookmarkEnd w:id="90"/>
    </w:p>
    <w:p w14:paraId="3296766C" w14:textId="77777777" w:rsidR="005E3702" w:rsidRPr="00252D7B" w:rsidRDefault="005E3702" w:rsidP="005E3702">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O tema integridade tem ganhado destaque em escala mundial, tornando-se decisivo para a credibilidade, a ética e as boas práticas de qualquer instituição. </w:t>
      </w:r>
    </w:p>
    <w:p w14:paraId="5149E713" w14:textId="57029460" w:rsidR="005E3702" w:rsidRPr="00252D7B" w:rsidRDefault="005E3702" w:rsidP="005E3702">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Nesse contexto, foi elaborado o Plano Anual de Integridade 2021/2022 que representa mais um passo significativo na consolidação dos princípios de governança estabelecidos pelo Decreto nº 9.203/2017 e firma o compromisso institucional de que a </w:t>
      </w:r>
      <w:r w:rsidR="00610C91" w:rsidRPr="00252D7B">
        <w:rPr>
          <w:rFonts w:asciiTheme="minorHAnsi" w:hAnsiTheme="minorHAnsi" w:cstheme="minorHAnsi"/>
          <w:sz w:val="24"/>
          <w:szCs w:val="24"/>
        </w:rPr>
        <w:t>Valec</w:t>
      </w:r>
      <w:r w:rsidRPr="00252D7B">
        <w:rPr>
          <w:rFonts w:asciiTheme="minorHAnsi" w:hAnsiTheme="minorHAnsi" w:cstheme="minorHAnsi"/>
          <w:sz w:val="24"/>
          <w:szCs w:val="24"/>
        </w:rPr>
        <w:t xml:space="preserve"> promova suas entregas com integridade, assumindo seu dever de agir e de se reportar, de forma transparente e objetiva. </w:t>
      </w:r>
    </w:p>
    <w:p w14:paraId="1B329594" w14:textId="77777777" w:rsidR="005E3702" w:rsidRPr="00252D7B" w:rsidRDefault="005E3702" w:rsidP="005E3702">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Assim, o Plano Anual de Integridade 2021/2022 consiste em um conjunto de ações destinadas a</w:t>
      </w:r>
      <w:r w:rsidRPr="00252D7B">
        <w:rPr>
          <w:rFonts w:asciiTheme="minorHAnsi" w:hAnsiTheme="minorHAnsi" w:cstheme="minorHAnsi"/>
          <w:sz w:val="24"/>
          <w:szCs w:val="24"/>
        </w:rPr>
        <w:br/>
        <w:t>prevenir, detectar e remediar atos de fraudes, irregularidades e desvios de conduta, cujo</w:t>
      </w:r>
      <w:r w:rsidRPr="00252D7B">
        <w:rPr>
          <w:rFonts w:asciiTheme="minorHAnsi" w:hAnsiTheme="minorHAnsi" w:cstheme="minorHAnsi"/>
          <w:sz w:val="24"/>
          <w:szCs w:val="24"/>
        </w:rPr>
        <w:br/>
        <w:t>desenvolvimento tem por base os seguintes pilares: 1º – comprometimento e apoio da Alta Administração; 2º – definição e fortalecimento da instância interna responsável pelo Plano de</w:t>
      </w:r>
      <w:r w:rsidRPr="00252D7B">
        <w:rPr>
          <w:rFonts w:asciiTheme="minorHAnsi" w:hAnsiTheme="minorHAnsi" w:cstheme="minorHAnsi"/>
          <w:sz w:val="24"/>
          <w:szCs w:val="24"/>
        </w:rPr>
        <w:br/>
        <w:t>Integridade e fiscalização de seu cumprimento; 3º – análise periódica dos riscos; 4º – comunicação e treinamento; e 5º - monitoramento contínuo.</w:t>
      </w:r>
    </w:p>
    <w:p w14:paraId="7EA101CA" w14:textId="77777777" w:rsidR="005E3702" w:rsidRPr="00252D7B" w:rsidRDefault="005E3702" w:rsidP="005E3702">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As ações apresentadas no Plano, excepcionalmente, englobam aquelas definidas para o final do exercício de 2021 e o exercício de 2022, que passarão a ser revisadas, a partir de 2022, anualmente. Tais ações demandam o trato das mais diversas questões institucionais: aprimoramento dos controles internos; mapeamento de riscos à integridade; assuntos relacionados à ouvidoria e corregedoria; entre outras.</w:t>
      </w:r>
    </w:p>
    <w:p w14:paraId="01CE96FA" w14:textId="77777777" w:rsidR="005E3702" w:rsidRPr="00252D7B" w:rsidRDefault="005E3702" w:rsidP="005E3702">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O Plano tomou por base o Relatório Técnico realizado pelo Grupo de Trabalho – GT, instituído pela Portaria nº 355, de 06/10/2020, que efetuou um levantamento histórico de casos de quebra de integridade na empresa, listando os principais riscos e indicando aqueles de gravidade preocupante e fracamente tolerável, bem como as ações necessárias para mitigá-los. </w:t>
      </w:r>
    </w:p>
    <w:p w14:paraId="6D829A35" w14:textId="77777777" w:rsidR="005E3702" w:rsidRPr="00252D7B" w:rsidRDefault="005E3702" w:rsidP="005E3702">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Direcionado a todos os empregados da empresa, o novo documento contempla ações para tratamento dos riscos de quebra de integridade; ações de capacitação e comunicação relacionados à integridade; e ações de monitoramento contínuo e de divulgação da sua execução.</w:t>
      </w:r>
    </w:p>
    <w:p w14:paraId="4662D599" w14:textId="77777777" w:rsidR="005E3702" w:rsidRPr="00252D7B" w:rsidRDefault="005E3702" w:rsidP="005E3702">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Importante destacar, ainda, que em relação ao antigo Programa de Integridade 2016/2020 da empresa, tornou-se um plano de ação e, está com aproximadamente 91% das ações concluídas, com previsão de término de conclusão de todas as ações para 2022.</w:t>
      </w:r>
    </w:p>
    <w:p w14:paraId="58208DAE" w14:textId="77777777" w:rsidR="00DE2794" w:rsidRPr="00252D7B" w:rsidRDefault="005E3702" w:rsidP="00DE2794">
      <w:pPr>
        <w:spacing w:before="120"/>
        <w:jc w:val="both"/>
        <w:rPr>
          <w:rFonts w:asciiTheme="minorHAnsi" w:hAnsiTheme="minorHAnsi" w:cstheme="minorHAnsi"/>
          <w:sz w:val="24"/>
          <w:szCs w:val="24"/>
        </w:rPr>
      </w:pPr>
      <w:r w:rsidRPr="00252D7B">
        <w:rPr>
          <w:rFonts w:asciiTheme="minorHAnsi" w:hAnsiTheme="minorHAnsi" w:cstheme="minorHAnsi"/>
          <w:sz w:val="24"/>
          <w:szCs w:val="24"/>
        </w:rPr>
        <w:t>Para ter acesso ao Plano Anual de Integridade 2021/2022 da Valec:</w:t>
      </w:r>
    </w:p>
    <w:p w14:paraId="58A9202E" w14:textId="3A71F530" w:rsidR="005E3702" w:rsidRPr="00252D7B" w:rsidRDefault="008A3D44" w:rsidP="005E3702">
      <w:pPr>
        <w:spacing w:before="120" w:after="120"/>
        <w:jc w:val="both"/>
        <w:rPr>
          <w:rFonts w:asciiTheme="minorHAnsi" w:hAnsiTheme="minorHAnsi" w:cstheme="minorHAnsi"/>
          <w:sz w:val="24"/>
          <w:szCs w:val="24"/>
        </w:rPr>
      </w:pPr>
      <w:hyperlink r:id="rId51" w:history="1">
        <w:r w:rsidR="00DE2794" w:rsidRPr="00252D7B">
          <w:rPr>
            <w:rStyle w:val="Hyperlink"/>
            <w:rFonts w:asciiTheme="minorHAnsi" w:hAnsiTheme="minorHAnsi" w:cstheme="minorHAnsi"/>
            <w:sz w:val="24"/>
            <w:szCs w:val="24"/>
          </w:rPr>
          <w:t>https://www.valec.gov.br/documentos/integridade/ANEXO_2_-_PLANO_ANUAL_DE_INTEGRIDADE_2021_2022.pdf</w:t>
        </w:r>
      </w:hyperlink>
    </w:p>
    <w:p w14:paraId="6B445721" w14:textId="4CBFFCA0" w:rsidR="005E3702" w:rsidRPr="00252D7B" w:rsidRDefault="005E3702" w:rsidP="005E3702">
      <w:pPr>
        <w:spacing w:before="120" w:after="120"/>
        <w:contextualSpacing/>
        <w:jc w:val="both"/>
        <w:rPr>
          <w:rFonts w:asciiTheme="minorHAnsi" w:hAnsiTheme="minorHAnsi" w:cstheme="minorHAnsi"/>
          <w:sz w:val="24"/>
          <w:szCs w:val="24"/>
        </w:rPr>
      </w:pPr>
    </w:p>
    <w:p w14:paraId="7C4B5758" w14:textId="23DA593E" w:rsidR="00CF6DA7" w:rsidRPr="00252D7B" w:rsidRDefault="00CF6DA7">
      <w:pPr>
        <w:widowControl/>
        <w:autoSpaceDE/>
        <w:autoSpaceDN/>
        <w:spacing w:after="160" w:line="259" w:lineRule="auto"/>
        <w:rPr>
          <w:rFonts w:asciiTheme="minorHAnsi" w:hAnsiTheme="minorHAnsi" w:cstheme="minorHAnsi"/>
          <w:sz w:val="24"/>
          <w:szCs w:val="24"/>
        </w:rPr>
      </w:pPr>
      <w:r w:rsidRPr="00252D7B">
        <w:rPr>
          <w:rFonts w:asciiTheme="minorHAnsi" w:hAnsiTheme="minorHAnsi" w:cstheme="minorHAnsi"/>
          <w:sz w:val="24"/>
          <w:szCs w:val="24"/>
        </w:rPr>
        <w:br w:type="page"/>
      </w:r>
    </w:p>
    <w:p w14:paraId="37CF85B3" w14:textId="77777777" w:rsidR="005E3702" w:rsidRPr="00252D7B" w:rsidRDefault="005E3702" w:rsidP="00F100A9">
      <w:pPr>
        <w:pStyle w:val="Ttulo2"/>
      </w:pPr>
      <w:bookmarkStart w:id="91" w:name="_Toc95830204"/>
      <w:bookmarkStart w:id="92" w:name="_Toc96443944"/>
      <w:bookmarkStart w:id="93" w:name="_Toc96705906"/>
      <w:bookmarkStart w:id="94" w:name="_Toc103680522"/>
      <w:r w:rsidRPr="00252D7B">
        <w:lastRenderedPageBreak/>
        <w:t>Gestão de riscos e controles internos</w:t>
      </w:r>
      <w:bookmarkEnd w:id="91"/>
      <w:bookmarkEnd w:id="92"/>
      <w:bookmarkEnd w:id="93"/>
      <w:bookmarkEnd w:id="94"/>
    </w:p>
    <w:p w14:paraId="2F48EF7B" w14:textId="77777777" w:rsidR="005E3702" w:rsidRPr="00252D7B" w:rsidRDefault="005E3702" w:rsidP="005E3702">
      <w:pPr>
        <w:pStyle w:val="PargrafodaLista"/>
        <w:spacing w:before="120" w:after="120"/>
        <w:ind w:left="0"/>
        <w:jc w:val="both"/>
        <w:rPr>
          <w:rFonts w:asciiTheme="minorHAnsi" w:hAnsiTheme="minorHAnsi" w:cstheme="minorHAnsi"/>
          <w:color w:val="000000" w:themeColor="text1"/>
          <w:sz w:val="24"/>
          <w:szCs w:val="24"/>
        </w:rPr>
      </w:pPr>
      <w:r w:rsidRPr="00252D7B">
        <w:rPr>
          <w:rFonts w:asciiTheme="minorHAnsi" w:hAnsiTheme="minorHAnsi" w:cstheme="minorHAnsi"/>
          <w:sz w:val="24"/>
          <w:szCs w:val="24"/>
        </w:rPr>
        <w:t xml:space="preserve">O processo de gestão de riscos na Valec é realizado conforme metodologia constante na ABNT NBR ISO 31000:2018, também referenciada pelo Tribunal de Contas da União-TCU conforme </w:t>
      </w:r>
      <w:r w:rsidRPr="00252D7B">
        <w:rPr>
          <w:rFonts w:asciiTheme="minorHAnsi" w:hAnsiTheme="minorHAnsi" w:cstheme="minorHAnsi"/>
          <w:color w:val="000000" w:themeColor="text1"/>
          <w:sz w:val="24"/>
          <w:szCs w:val="24"/>
        </w:rPr>
        <w:t xml:space="preserve">Manual de Gestão de Riscos do TCU de 2020, assim como diversos órgãos da Administração Pública. </w:t>
      </w:r>
    </w:p>
    <w:p w14:paraId="1C181827" w14:textId="0F03E7A5" w:rsidR="005E3702" w:rsidRPr="00252D7B" w:rsidRDefault="005E3702" w:rsidP="005E3702">
      <w:pPr>
        <w:widowControl/>
        <w:autoSpaceDE/>
        <w:autoSpaceDN/>
        <w:spacing w:after="160" w:line="259" w:lineRule="auto"/>
        <w:rPr>
          <w:rFonts w:asciiTheme="minorHAnsi" w:hAnsiTheme="minorHAnsi" w:cstheme="minorHAnsi"/>
          <w:color w:val="000000" w:themeColor="text1"/>
          <w:sz w:val="24"/>
          <w:szCs w:val="24"/>
        </w:rPr>
      </w:pPr>
    </w:p>
    <w:p w14:paraId="63635B2B" w14:textId="222ECC18" w:rsidR="005E3702" w:rsidRPr="00252D7B" w:rsidRDefault="005E3702" w:rsidP="005E3702">
      <w:pPr>
        <w:pStyle w:val="Legenda"/>
        <w:jc w:val="center"/>
        <w:rPr>
          <w:rFonts w:asciiTheme="minorHAnsi" w:hAnsiTheme="minorHAnsi" w:cstheme="minorHAnsi"/>
          <w:sz w:val="20"/>
          <w:szCs w:val="20"/>
        </w:rPr>
      </w:pPr>
      <w:bookmarkStart w:id="95" w:name="_Toc96444039"/>
      <w:bookmarkStart w:id="96" w:name="_Toc96706069"/>
      <w:bookmarkStart w:id="97" w:name="_Toc103680746"/>
      <w:r w:rsidRPr="00252D7B">
        <w:rPr>
          <w:rFonts w:asciiTheme="minorHAnsi" w:hAnsiTheme="minorHAnsi" w:cstheme="minorHAnsi"/>
          <w:sz w:val="20"/>
          <w:szCs w:val="20"/>
        </w:rPr>
        <w:t xml:space="preserve">Figura </w:t>
      </w:r>
      <w:r w:rsidR="00F46BDB" w:rsidRPr="00252D7B">
        <w:rPr>
          <w:rFonts w:asciiTheme="minorHAnsi" w:hAnsiTheme="minorHAnsi" w:cstheme="minorHAnsi"/>
          <w:sz w:val="20"/>
          <w:szCs w:val="20"/>
        </w:rPr>
        <w:fldChar w:fldCharType="begin"/>
      </w:r>
      <w:r w:rsidR="00F46BDB" w:rsidRPr="00252D7B">
        <w:rPr>
          <w:rFonts w:asciiTheme="minorHAnsi" w:hAnsiTheme="minorHAnsi" w:cstheme="minorHAnsi"/>
          <w:sz w:val="20"/>
          <w:szCs w:val="20"/>
        </w:rPr>
        <w:instrText xml:space="preserve"> SEQ Figura \* ARABIC </w:instrText>
      </w:r>
      <w:r w:rsidR="00F46BDB"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10</w:t>
      </w:r>
      <w:r w:rsidR="00F46BDB" w:rsidRPr="00252D7B">
        <w:rPr>
          <w:rFonts w:asciiTheme="minorHAnsi" w:hAnsiTheme="minorHAnsi" w:cstheme="minorHAnsi"/>
          <w:sz w:val="20"/>
          <w:szCs w:val="20"/>
        </w:rPr>
        <w:fldChar w:fldCharType="end"/>
      </w:r>
      <w:r w:rsidRPr="00252D7B">
        <w:rPr>
          <w:rFonts w:asciiTheme="minorHAnsi" w:hAnsiTheme="minorHAnsi" w:cstheme="minorHAnsi"/>
          <w:sz w:val="20"/>
          <w:szCs w:val="20"/>
        </w:rPr>
        <w:t xml:space="preserve"> </w:t>
      </w:r>
      <w:r w:rsidR="0095711C" w:rsidRPr="00252D7B">
        <w:rPr>
          <w:rFonts w:asciiTheme="minorHAnsi" w:hAnsiTheme="minorHAnsi" w:cstheme="minorHAnsi"/>
          <w:sz w:val="20"/>
          <w:szCs w:val="20"/>
        </w:rPr>
        <w:t>–</w:t>
      </w:r>
      <w:r w:rsidRPr="00252D7B">
        <w:rPr>
          <w:rFonts w:asciiTheme="minorHAnsi" w:hAnsiTheme="minorHAnsi" w:cstheme="minorHAnsi"/>
          <w:sz w:val="20"/>
          <w:szCs w:val="20"/>
        </w:rPr>
        <w:t xml:space="preserve"> Etapas do processo de Gestão de Riscos</w:t>
      </w:r>
      <w:bookmarkEnd w:id="95"/>
      <w:bookmarkEnd w:id="96"/>
      <w:bookmarkEnd w:id="97"/>
    </w:p>
    <w:p w14:paraId="75AD7A01" w14:textId="77777777" w:rsidR="005E3702" w:rsidRPr="00252D7B" w:rsidRDefault="005E3702" w:rsidP="005E3702">
      <w:pPr>
        <w:pStyle w:val="PargrafodaLista"/>
        <w:spacing w:before="120" w:after="120"/>
        <w:ind w:left="0"/>
        <w:jc w:val="center"/>
        <w:rPr>
          <w:rFonts w:asciiTheme="minorHAnsi" w:hAnsiTheme="minorHAnsi" w:cstheme="minorHAnsi"/>
          <w:color w:val="000000" w:themeColor="text1"/>
          <w:sz w:val="24"/>
          <w:szCs w:val="24"/>
        </w:rPr>
      </w:pPr>
      <w:r w:rsidRPr="00252D7B">
        <w:rPr>
          <w:rFonts w:asciiTheme="minorHAnsi" w:hAnsiTheme="minorHAnsi" w:cstheme="minorHAnsi"/>
          <w:noProof/>
          <w:color w:val="000000" w:themeColor="text1"/>
          <w:sz w:val="24"/>
          <w:szCs w:val="24"/>
        </w:rPr>
        <w:drawing>
          <wp:inline distT="0" distB="0" distL="0" distR="0" wp14:anchorId="39E817A7" wp14:editId="17E0272F">
            <wp:extent cx="4453255" cy="2223480"/>
            <wp:effectExtent l="0" t="0" r="4445" b="5715"/>
            <wp:docPr id="72" name="Imagem 7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m 50" descr="Diagrama&#10;&#10;Descrição gerada automaticament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61346" cy="2227520"/>
                    </a:xfrm>
                    <a:prstGeom prst="rect">
                      <a:avLst/>
                    </a:prstGeom>
                    <a:noFill/>
                    <a:ln>
                      <a:noFill/>
                    </a:ln>
                  </pic:spPr>
                </pic:pic>
              </a:graphicData>
            </a:graphic>
          </wp:inline>
        </w:drawing>
      </w:r>
    </w:p>
    <w:p w14:paraId="1B2E5C18" w14:textId="77777777" w:rsidR="005E3702" w:rsidRPr="00252D7B" w:rsidRDefault="005E3702" w:rsidP="005E3702">
      <w:pPr>
        <w:pStyle w:val="Legenda"/>
        <w:jc w:val="center"/>
        <w:rPr>
          <w:rFonts w:asciiTheme="minorHAnsi" w:hAnsiTheme="minorHAnsi" w:cstheme="minorHAnsi"/>
          <w:sz w:val="20"/>
          <w:szCs w:val="20"/>
        </w:rPr>
      </w:pPr>
      <w:r w:rsidRPr="00252D7B">
        <w:rPr>
          <w:rFonts w:asciiTheme="minorHAnsi" w:hAnsiTheme="minorHAnsi" w:cstheme="minorHAnsi"/>
          <w:sz w:val="20"/>
          <w:szCs w:val="20"/>
        </w:rPr>
        <w:t>Fonte: Manual de Gestão de Riscos do TCU, 2020 (adaptado da ISO 31000/2018)</w:t>
      </w:r>
    </w:p>
    <w:p w14:paraId="1500F525" w14:textId="77777777" w:rsidR="005E3702" w:rsidRPr="00252D7B" w:rsidRDefault="005E3702" w:rsidP="005E3702">
      <w:pPr>
        <w:pStyle w:val="PargrafodaLista"/>
        <w:spacing w:before="120" w:after="120"/>
        <w:ind w:left="0"/>
        <w:contextualSpacing w:val="0"/>
        <w:jc w:val="both"/>
        <w:rPr>
          <w:rFonts w:asciiTheme="minorHAnsi" w:hAnsiTheme="minorHAnsi" w:cstheme="minorHAnsi"/>
          <w:color w:val="000000" w:themeColor="text1"/>
          <w:sz w:val="24"/>
          <w:szCs w:val="24"/>
        </w:rPr>
      </w:pPr>
      <w:r w:rsidRPr="00252D7B">
        <w:rPr>
          <w:rFonts w:asciiTheme="minorHAnsi" w:hAnsiTheme="minorHAnsi" w:cstheme="minorHAnsi"/>
          <w:color w:val="000000" w:themeColor="text1"/>
          <w:sz w:val="24"/>
          <w:szCs w:val="24"/>
        </w:rPr>
        <w:t>Conforme incisos VI, VII e XII, art. 83 do Estatuto Social, a Gerência de Riscos e Controles Internos-GRCOI e a Superintendência de Integridade-SUINT são responsáveis pela coordenação do processo de gestão de riscos na empresa em todas as etapas: estabelecimento do contexto, identificação, análise, avaliação e tratamento dos riscos.</w:t>
      </w:r>
    </w:p>
    <w:p w14:paraId="60C93B45" w14:textId="587E66C4" w:rsidR="005E3702" w:rsidRPr="00252D7B" w:rsidRDefault="005E3702" w:rsidP="00436203">
      <w:pPr>
        <w:pStyle w:val="PargrafodaLista"/>
        <w:ind w:left="0"/>
        <w:contextualSpacing w:val="0"/>
        <w:jc w:val="both"/>
        <w:rPr>
          <w:rFonts w:asciiTheme="minorHAnsi" w:hAnsiTheme="minorHAnsi" w:cstheme="minorHAnsi"/>
          <w:color w:val="000000" w:themeColor="text1"/>
          <w:sz w:val="24"/>
          <w:szCs w:val="24"/>
        </w:rPr>
      </w:pPr>
    </w:p>
    <w:p w14:paraId="04395AFA" w14:textId="77777777" w:rsidR="00436203" w:rsidRPr="00252D7B" w:rsidRDefault="00436203" w:rsidP="00436203">
      <w:pPr>
        <w:pStyle w:val="PargrafodaLista"/>
        <w:ind w:left="0"/>
        <w:contextualSpacing w:val="0"/>
        <w:jc w:val="both"/>
        <w:rPr>
          <w:rFonts w:asciiTheme="minorHAnsi" w:hAnsiTheme="minorHAnsi" w:cstheme="minorHAnsi"/>
          <w:color w:val="000000" w:themeColor="text1"/>
          <w:sz w:val="24"/>
          <w:szCs w:val="24"/>
        </w:rPr>
      </w:pPr>
    </w:p>
    <w:p w14:paraId="22F3B410" w14:textId="77777777" w:rsidR="005E3702" w:rsidRPr="00252D7B" w:rsidRDefault="005E3702" w:rsidP="00822617">
      <w:pPr>
        <w:pStyle w:val="Ttulo3"/>
        <w:tabs>
          <w:tab w:val="num" w:pos="360"/>
        </w:tabs>
        <w:rPr>
          <w:rFonts w:asciiTheme="minorHAnsi" w:hAnsiTheme="minorHAnsi" w:cstheme="minorHAnsi"/>
        </w:rPr>
      </w:pPr>
      <w:bookmarkStart w:id="98" w:name="_Toc96705907"/>
      <w:bookmarkStart w:id="99" w:name="_Toc103680523"/>
      <w:r w:rsidRPr="00252D7B">
        <w:rPr>
          <w:rFonts w:asciiTheme="minorHAnsi" w:hAnsiTheme="minorHAnsi" w:cstheme="minorHAnsi"/>
        </w:rPr>
        <w:t>Principais riscos identificados</w:t>
      </w:r>
      <w:bookmarkEnd w:id="98"/>
      <w:bookmarkEnd w:id="99"/>
    </w:p>
    <w:p w14:paraId="7A4F9629" w14:textId="79014449" w:rsidR="005E3702" w:rsidRPr="00252D7B" w:rsidRDefault="005E3702" w:rsidP="005E3702">
      <w:pPr>
        <w:pStyle w:val="PargrafodaLista"/>
        <w:spacing w:before="120" w:after="120"/>
        <w:ind w:left="0"/>
        <w:contextualSpacing w:val="0"/>
        <w:jc w:val="both"/>
        <w:rPr>
          <w:rFonts w:asciiTheme="minorHAnsi" w:hAnsiTheme="minorHAnsi" w:cstheme="minorHAnsi"/>
          <w:color w:val="FF0000"/>
          <w:sz w:val="24"/>
          <w:szCs w:val="24"/>
        </w:rPr>
      </w:pPr>
      <w:r w:rsidRPr="00252D7B">
        <w:rPr>
          <w:rFonts w:asciiTheme="minorHAnsi" w:hAnsiTheme="minorHAnsi" w:cstheme="minorHAnsi"/>
          <w:sz w:val="24"/>
          <w:szCs w:val="24"/>
        </w:rPr>
        <w:t xml:space="preserve">Considerando os objetivos e metas constantes no Planejamento Estratégico Institucional-PEI 2020-2024, no processo de gestão de riscos a nível estratégico foram identificados 11 eventos de riscos. A etapa de estabelecimento do contexto foi realizada </w:t>
      </w:r>
      <w:r w:rsidR="00610C91" w:rsidRPr="00252D7B">
        <w:rPr>
          <w:rFonts w:asciiTheme="minorHAnsi" w:hAnsiTheme="minorHAnsi" w:cstheme="minorHAnsi"/>
          <w:sz w:val="24"/>
          <w:szCs w:val="24"/>
        </w:rPr>
        <w:t>por meio</w:t>
      </w:r>
      <w:r w:rsidRPr="00252D7B">
        <w:rPr>
          <w:rFonts w:asciiTheme="minorHAnsi" w:hAnsiTheme="minorHAnsi" w:cstheme="minorHAnsi"/>
          <w:sz w:val="24"/>
          <w:szCs w:val="24"/>
        </w:rPr>
        <w:t xml:space="preserve"> das informações do </w:t>
      </w:r>
      <w:r w:rsidRPr="00252D7B">
        <w:rPr>
          <w:rFonts w:asciiTheme="minorHAnsi" w:hAnsiTheme="minorHAnsi" w:cstheme="minorHAnsi"/>
          <w:color w:val="000000" w:themeColor="text1"/>
          <w:sz w:val="24"/>
          <w:szCs w:val="24"/>
        </w:rPr>
        <w:t>Modelo de Negócio do Plano de Negócios (Seção 1.4) e da Matriz SWOT (Seção 3.2).</w:t>
      </w:r>
    </w:p>
    <w:p w14:paraId="5A40A69E" w14:textId="77777777" w:rsidR="005E3702" w:rsidRPr="00252D7B" w:rsidRDefault="005E3702" w:rsidP="005E3702">
      <w:pPr>
        <w:spacing w:before="120" w:after="120"/>
        <w:jc w:val="both"/>
        <w:rPr>
          <w:rFonts w:asciiTheme="minorHAnsi" w:hAnsiTheme="minorHAnsi" w:cstheme="minorHAnsi"/>
          <w:color w:val="000000"/>
          <w:sz w:val="24"/>
          <w:szCs w:val="24"/>
        </w:rPr>
      </w:pPr>
      <w:r w:rsidRPr="00252D7B">
        <w:rPr>
          <w:rFonts w:asciiTheme="minorHAnsi" w:hAnsiTheme="minorHAnsi" w:cstheme="minorHAnsi"/>
          <w:sz w:val="24"/>
          <w:szCs w:val="24"/>
        </w:rPr>
        <w:t xml:space="preserve">Os eventos de riscos estratégicos estão relacionados com os objetivos atinentes às políticas públicas da Valec, neste caso com destaque: a </w:t>
      </w:r>
      <w:r w:rsidRPr="00252D7B">
        <w:rPr>
          <w:rFonts w:asciiTheme="minorHAnsi" w:hAnsiTheme="minorHAnsi" w:cstheme="minorHAnsi"/>
          <w:color w:val="000000"/>
          <w:sz w:val="24"/>
          <w:szCs w:val="24"/>
        </w:rPr>
        <w:t xml:space="preserve">Ferrovia de Integração Oeste-Leste (FIOL) e a Ferrovia de Integração Centro-Oeste (FICO). </w:t>
      </w:r>
    </w:p>
    <w:p w14:paraId="7D44E1D2" w14:textId="77777777" w:rsidR="005E3702" w:rsidRPr="00252D7B" w:rsidRDefault="005E3702" w:rsidP="005E3702">
      <w:pPr>
        <w:spacing w:before="120" w:after="120"/>
        <w:jc w:val="both"/>
        <w:rPr>
          <w:rFonts w:asciiTheme="minorHAnsi" w:hAnsiTheme="minorHAnsi" w:cstheme="minorHAnsi"/>
          <w:color w:val="000000"/>
          <w:sz w:val="24"/>
          <w:szCs w:val="24"/>
        </w:rPr>
      </w:pPr>
      <w:r w:rsidRPr="00252D7B">
        <w:rPr>
          <w:rFonts w:asciiTheme="minorHAnsi" w:hAnsiTheme="minorHAnsi" w:cstheme="minorHAnsi"/>
          <w:color w:val="000000"/>
          <w:sz w:val="24"/>
          <w:szCs w:val="24"/>
        </w:rPr>
        <w:t xml:space="preserve">Outros assuntos também foram definidos como estratégico pela Diretoria Executiva-DIREX e Conselho de Administração-CONSAD: Ferrovia Transnordestina-TLSA; novos negócios; Documento Eletrônico de Transporte (DT-e); e, integridade. </w:t>
      </w:r>
    </w:p>
    <w:p w14:paraId="5698411B" w14:textId="77777777" w:rsidR="005E3702" w:rsidRPr="00252D7B" w:rsidRDefault="005E3702" w:rsidP="005E3702">
      <w:pPr>
        <w:spacing w:before="120" w:after="120"/>
        <w:jc w:val="both"/>
        <w:rPr>
          <w:rFonts w:asciiTheme="minorHAnsi" w:hAnsiTheme="minorHAnsi" w:cstheme="minorHAnsi"/>
          <w:color w:val="000000"/>
          <w:sz w:val="24"/>
          <w:szCs w:val="24"/>
        </w:rPr>
      </w:pPr>
      <w:r w:rsidRPr="00252D7B">
        <w:rPr>
          <w:rFonts w:asciiTheme="minorHAnsi" w:hAnsiTheme="minorHAnsi" w:cstheme="minorHAnsi"/>
          <w:color w:val="000000"/>
          <w:sz w:val="24"/>
          <w:szCs w:val="24"/>
        </w:rPr>
        <w:t xml:space="preserve">Seguem os eventos de riscos estratégicos identificados: </w:t>
      </w:r>
    </w:p>
    <w:p w14:paraId="2A06808D" w14:textId="49AF6675" w:rsidR="005E3702" w:rsidRPr="00252D7B" w:rsidRDefault="005E3702" w:rsidP="00212E62">
      <w:pPr>
        <w:pStyle w:val="PargrafodaLista"/>
        <w:numPr>
          <w:ilvl w:val="0"/>
          <w:numId w:val="4"/>
        </w:numPr>
        <w:spacing w:before="145"/>
        <w:ind w:right="-44"/>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b/>
          <w:bCs/>
          <w:sz w:val="24"/>
          <w:szCs w:val="24"/>
        </w:rPr>
        <w:t xml:space="preserve">Risco 01 </w:t>
      </w:r>
      <w:r w:rsidR="00B22423" w:rsidRPr="00252D7B">
        <w:rPr>
          <w:rStyle w:val="jsgrdq"/>
          <w:rFonts w:asciiTheme="minorHAnsi" w:hAnsiTheme="minorHAnsi" w:cstheme="minorHAnsi"/>
          <w:b/>
          <w:bCs/>
          <w:sz w:val="24"/>
          <w:szCs w:val="24"/>
        </w:rPr>
        <w:t>–</w:t>
      </w:r>
      <w:r w:rsidRPr="00252D7B">
        <w:rPr>
          <w:rStyle w:val="jsgrdq"/>
          <w:rFonts w:asciiTheme="minorHAnsi" w:hAnsiTheme="minorHAnsi" w:cstheme="minorHAnsi"/>
          <w:sz w:val="24"/>
          <w:szCs w:val="24"/>
        </w:rPr>
        <w:t xml:space="preserve"> Orçamento Insuficiente (FIOL e FICO);</w:t>
      </w:r>
    </w:p>
    <w:p w14:paraId="567E6F99" w14:textId="69114807" w:rsidR="005E3702" w:rsidRPr="00252D7B" w:rsidRDefault="005E3702" w:rsidP="00212E62">
      <w:pPr>
        <w:pStyle w:val="PargrafodaLista"/>
        <w:numPr>
          <w:ilvl w:val="0"/>
          <w:numId w:val="4"/>
        </w:numPr>
        <w:spacing w:before="145"/>
        <w:ind w:right="-44"/>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b/>
          <w:bCs/>
          <w:sz w:val="24"/>
          <w:szCs w:val="24"/>
        </w:rPr>
        <w:t xml:space="preserve">Risco 02 </w:t>
      </w:r>
      <w:r w:rsidR="00B22423" w:rsidRPr="00252D7B">
        <w:rPr>
          <w:rStyle w:val="jsgrdq"/>
          <w:rFonts w:asciiTheme="minorHAnsi" w:hAnsiTheme="minorHAnsi" w:cstheme="minorHAnsi"/>
          <w:b/>
          <w:bCs/>
          <w:sz w:val="24"/>
          <w:szCs w:val="24"/>
        </w:rPr>
        <w:t>–</w:t>
      </w:r>
      <w:r w:rsidRPr="00252D7B">
        <w:rPr>
          <w:rStyle w:val="jsgrdq"/>
          <w:rFonts w:asciiTheme="minorHAnsi" w:hAnsiTheme="minorHAnsi" w:cstheme="minorHAnsi"/>
          <w:sz w:val="24"/>
          <w:szCs w:val="24"/>
        </w:rPr>
        <w:t xml:space="preserve"> Licitações anuladas, desertas, suspensas ou fracassadas (FIOL e FICO);</w:t>
      </w:r>
    </w:p>
    <w:p w14:paraId="4B8C1A45" w14:textId="3D04EFFA" w:rsidR="005E3702" w:rsidRPr="00252D7B" w:rsidRDefault="005E3702" w:rsidP="00212E62">
      <w:pPr>
        <w:pStyle w:val="PargrafodaLista"/>
        <w:numPr>
          <w:ilvl w:val="0"/>
          <w:numId w:val="4"/>
        </w:numPr>
        <w:spacing w:before="145"/>
        <w:ind w:right="-44"/>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b/>
          <w:bCs/>
          <w:sz w:val="24"/>
          <w:szCs w:val="24"/>
        </w:rPr>
        <w:t xml:space="preserve">Risco 03 </w:t>
      </w:r>
      <w:r w:rsidR="00B22423" w:rsidRPr="00252D7B">
        <w:rPr>
          <w:rStyle w:val="jsgrdq"/>
          <w:rFonts w:asciiTheme="minorHAnsi" w:hAnsiTheme="minorHAnsi" w:cstheme="minorHAnsi"/>
          <w:b/>
          <w:bCs/>
          <w:sz w:val="24"/>
          <w:szCs w:val="24"/>
        </w:rPr>
        <w:t>–</w:t>
      </w:r>
      <w:r w:rsidRPr="00252D7B">
        <w:rPr>
          <w:rStyle w:val="jsgrdq"/>
          <w:rFonts w:asciiTheme="minorHAnsi" w:hAnsiTheme="minorHAnsi" w:cstheme="minorHAnsi"/>
          <w:sz w:val="24"/>
          <w:szCs w:val="24"/>
        </w:rPr>
        <w:t xml:space="preserve"> Não dispor de pessoal qualificado para executar o Plano de Negócios da </w:t>
      </w:r>
      <w:r w:rsidRPr="00252D7B">
        <w:rPr>
          <w:rStyle w:val="jsgrdq"/>
          <w:rFonts w:asciiTheme="minorHAnsi" w:hAnsiTheme="minorHAnsi" w:cstheme="minorHAnsi"/>
          <w:sz w:val="24"/>
          <w:szCs w:val="24"/>
        </w:rPr>
        <w:lastRenderedPageBreak/>
        <w:t>Valec (todos objetos de riscos estratégicos);</w:t>
      </w:r>
    </w:p>
    <w:p w14:paraId="58D8B32A" w14:textId="02FE0D84" w:rsidR="005E3702" w:rsidRPr="00252D7B" w:rsidRDefault="005E3702" w:rsidP="00212E62">
      <w:pPr>
        <w:pStyle w:val="PargrafodaLista"/>
        <w:numPr>
          <w:ilvl w:val="0"/>
          <w:numId w:val="4"/>
        </w:numPr>
        <w:spacing w:before="145"/>
        <w:ind w:right="-44"/>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b/>
          <w:bCs/>
          <w:sz w:val="24"/>
          <w:szCs w:val="24"/>
        </w:rPr>
        <w:t xml:space="preserve">Risco 04 </w:t>
      </w:r>
      <w:r w:rsidR="00B22423" w:rsidRPr="00252D7B">
        <w:rPr>
          <w:rStyle w:val="jsgrdq"/>
          <w:rFonts w:asciiTheme="minorHAnsi" w:hAnsiTheme="minorHAnsi" w:cstheme="minorHAnsi"/>
          <w:b/>
          <w:bCs/>
          <w:sz w:val="24"/>
          <w:szCs w:val="24"/>
        </w:rPr>
        <w:t>–</w:t>
      </w:r>
      <w:r w:rsidRPr="00252D7B">
        <w:rPr>
          <w:rStyle w:val="jsgrdq"/>
          <w:rFonts w:asciiTheme="minorHAnsi" w:hAnsiTheme="minorHAnsi" w:cstheme="minorHAnsi"/>
          <w:sz w:val="24"/>
          <w:szCs w:val="24"/>
        </w:rPr>
        <w:t xml:space="preserve"> Não dispor de projetos adequados no prazo (FIOL e FICO);</w:t>
      </w:r>
    </w:p>
    <w:p w14:paraId="0C5E33E5" w14:textId="09A09B7D" w:rsidR="005E3702" w:rsidRPr="00252D7B" w:rsidRDefault="005E3702" w:rsidP="00212E62">
      <w:pPr>
        <w:pStyle w:val="PargrafodaLista"/>
        <w:numPr>
          <w:ilvl w:val="0"/>
          <w:numId w:val="4"/>
        </w:numPr>
        <w:spacing w:before="145"/>
        <w:ind w:right="-44"/>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b/>
          <w:bCs/>
          <w:sz w:val="24"/>
          <w:szCs w:val="24"/>
        </w:rPr>
        <w:t xml:space="preserve">Risco 05 </w:t>
      </w:r>
      <w:r w:rsidR="00B22423" w:rsidRPr="00252D7B">
        <w:rPr>
          <w:rStyle w:val="jsgrdq"/>
          <w:rFonts w:asciiTheme="minorHAnsi" w:hAnsiTheme="minorHAnsi" w:cstheme="minorHAnsi"/>
          <w:b/>
          <w:bCs/>
          <w:sz w:val="24"/>
          <w:szCs w:val="24"/>
        </w:rPr>
        <w:t>–</w:t>
      </w:r>
      <w:r w:rsidRPr="00252D7B">
        <w:rPr>
          <w:rStyle w:val="jsgrdq"/>
          <w:rFonts w:asciiTheme="minorHAnsi" w:hAnsiTheme="minorHAnsi" w:cstheme="minorHAnsi"/>
          <w:sz w:val="24"/>
          <w:szCs w:val="24"/>
        </w:rPr>
        <w:t xml:space="preserve"> Não ingresso de benefícios econômicos oriundos de subconcessões e outras atividades econômicas da empresa (FIOL e FICO);</w:t>
      </w:r>
    </w:p>
    <w:p w14:paraId="14F97F4F" w14:textId="256A0532" w:rsidR="005E3702" w:rsidRPr="00252D7B" w:rsidRDefault="005E3702" w:rsidP="00212E62">
      <w:pPr>
        <w:pStyle w:val="PargrafodaLista"/>
        <w:numPr>
          <w:ilvl w:val="0"/>
          <w:numId w:val="4"/>
        </w:numPr>
        <w:spacing w:before="145"/>
        <w:ind w:right="-44"/>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b/>
          <w:bCs/>
          <w:sz w:val="24"/>
          <w:szCs w:val="24"/>
        </w:rPr>
        <w:t xml:space="preserve">Risco 06 </w:t>
      </w:r>
      <w:r w:rsidR="00B22423" w:rsidRPr="00252D7B">
        <w:rPr>
          <w:rStyle w:val="jsgrdq"/>
          <w:rFonts w:asciiTheme="minorHAnsi" w:hAnsiTheme="minorHAnsi" w:cstheme="minorHAnsi"/>
          <w:b/>
          <w:bCs/>
          <w:sz w:val="24"/>
          <w:szCs w:val="24"/>
        </w:rPr>
        <w:t>–</w:t>
      </w:r>
      <w:r w:rsidRPr="00252D7B">
        <w:rPr>
          <w:rStyle w:val="jsgrdq"/>
          <w:rFonts w:asciiTheme="minorHAnsi" w:hAnsiTheme="minorHAnsi" w:cstheme="minorHAnsi"/>
          <w:sz w:val="24"/>
          <w:szCs w:val="24"/>
        </w:rPr>
        <w:t xml:space="preserve"> Declaração de caducidade, mudança do atual acordo societário ou novo acordo desfavorável à </w:t>
      </w:r>
      <w:r w:rsidR="00610C91" w:rsidRPr="00252D7B">
        <w:rPr>
          <w:rStyle w:val="jsgrdq"/>
          <w:rFonts w:asciiTheme="minorHAnsi" w:hAnsiTheme="minorHAnsi" w:cstheme="minorHAnsi"/>
          <w:sz w:val="24"/>
          <w:szCs w:val="24"/>
        </w:rPr>
        <w:t>Valec</w:t>
      </w:r>
      <w:r w:rsidRPr="00252D7B">
        <w:rPr>
          <w:rStyle w:val="jsgrdq"/>
          <w:rFonts w:asciiTheme="minorHAnsi" w:hAnsiTheme="minorHAnsi" w:cstheme="minorHAnsi"/>
          <w:sz w:val="24"/>
          <w:szCs w:val="24"/>
        </w:rPr>
        <w:t xml:space="preserve"> (Ferrovia Transnordestina-TLSA);</w:t>
      </w:r>
    </w:p>
    <w:p w14:paraId="4295A622" w14:textId="5328AE4F" w:rsidR="005E3702" w:rsidRPr="00252D7B" w:rsidRDefault="005E3702" w:rsidP="00212E62">
      <w:pPr>
        <w:pStyle w:val="PargrafodaLista"/>
        <w:numPr>
          <w:ilvl w:val="0"/>
          <w:numId w:val="4"/>
        </w:numPr>
        <w:spacing w:before="145"/>
        <w:ind w:right="-44"/>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b/>
          <w:bCs/>
          <w:sz w:val="24"/>
          <w:szCs w:val="24"/>
        </w:rPr>
        <w:t xml:space="preserve">Risco 07 </w:t>
      </w:r>
      <w:r w:rsidR="00B22423" w:rsidRPr="00252D7B">
        <w:rPr>
          <w:rStyle w:val="jsgrdq"/>
          <w:rFonts w:asciiTheme="minorHAnsi" w:hAnsiTheme="minorHAnsi" w:cstheme="minorHAnsi"/>
          <w:b/>
          <w:bCs/>
          <w:sz w:val="24"/>
          <w:szCs w:val="24"/>
        </w:rPr>
        <w:t>–</w:t>
      </w:r>
      <w:r w:rsidRPr="00252D7B">
        <w:rPr>
          <w:rStyle w:val="jsgrdq"/>
          <w:rFonts w:asciiTheme="minorHAnsi" w:hAnsiTheme="minorHAnsi" w:cstheme="minorHAnsi"/>
          <w:sz w:val="24"/>
          <w:szCs w:val="24"/>
        </w:rPr>
        <w:t xml:space="preserve"> Não formalização da participação da </w:t>
      </w:r>
      <w:r w:rsidR="00610C91" w:rsidRPr="00252D7B">
        <w:rPr>
          <w:rStyle w:val="jsgrdq"/>
          <w:rFonts w:asciiTheme="minorHAnsi" w:hAnsiTheme="minorHAnsi" w:cstheme="minorHAnsi"/>
          <w:sz w:val="24"/>
          <w:szCs w:val="24"/>
        </w:rPr>
        <w:t>Valec</w:t>
      </w:r>
      <w:r w:rsidRPr="00252D7B">
        <w:rPr>
          <w:rStyle w:val="jsgrdq"/>
          <w:rFonts w:asciiTheme="minorHAnsi" w:hAnsiTheme="minorHAnsi" w:cstheme="minorHAnsi"/>
          <w:sz w:val="24"/>
          <w:szCs w:val="24"/>
        </w:rPr>
        <w:t xml:space="preserve"> no empreendimento do DT-e;</w:t>
      </w:r>
    </w:p>
    <w:p w14:paraId="0213352E" w14:textId="000E68AE" w:rsidR="005E3702" w:rsidRPr="00252D7B" w:rsidRDefault="005E3702" w:rsidP="00212E62">
      <w:pPr>
        <w:pStyle w:val="PargrafodaLista"/>
        <w:numPr>
          <w:ilvl w:val="0"/>
          <w:numId w:val="4"/>
        </w:numPr>
        <w:spacing w:before="145"/>
        <w:ind w:right="-44"/>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b/>
          <w:bCs/>
          <w:sz w:val="24"/>
          <w:szCs w:val="24"/>
        </w:rPr>
        <w:t xml:space="preserve">Risco 08 </w:t>
      </w:r>
      <w:r w:rsidR="00B22423" w:rsidRPr="00252D7B">
        <w:rPr>
          <w:rStyle w:val="jsgrdq"/>
          <w:rFonts w:asciiTheme="minorHAnsi" w:hAnsiTheme="minorHAnsi" w:cstheme="minorHAnsi"/>
          <w:b/>
          <w:bCs/>
          <w:sz w:val="24"/>
          <w:szCs w:val="24"/>
        </w:rPr>
        <w:t>–</w:t>
      </w:r>
      <w:r w:rsidRPr="00252D7B">
        <w:rPr>
          <w:rStyle w:val="jsgrdq"/>
          <w:rFonts w:asciiTheme="minorHAnsi" w:hAnsiTheme="minorHAnsi" w:cstheme="minorHAnsi"/>
          <w:sz w:val="24"/>
          <w:szCs w:val="24"/>
        </w:rPr>
        <w:t xml:space="preserve"> Não dispor dos meios necessários para implantação do DT-e;</w:t>
      </w:r>
    </w:p>
    <w:p w14:paraId="35EBDC7C" w14:textId="32CAA099" w:rsidR="005E3702" w:rsidRPr="00252D7B" w:rsidRDefault="005E3702" w:rsidP="00212E62">
      <w:pPr>
        <w:pStyle w:val="PargrafodaLista"/>
        <w:numPr>
          <w:ilvl w:val="0"/>
          <w:numId w:val="4"/>
        </w:numPr>
        <w:spacing w:before="145"/>
        <w:ind w:right="-44"/>
        <w:contextualSpacing w:val="0"/>
        <w:jc w:val="both"/>
        <w:rPr>
          <w:rFonts w:asciiTheme="minorHAnsi" w:hAnsiTheme="minorHAnsi" w:cstheme="minorHAnsi"/>
          <w:color w:val="000000" w:themeColor="text1"/>
          <w:sz w:val="24"/>
          <w:szCs w:val="24"/>
        </w:rPr>
      </w:pPr>
      <w:r w:rsidRPr="00252D7B">
        <w:rPr>
          <w:rStyle w:val="jsgrdq"/>
          <w:rFonts w:asciiTheme="minorHAnsi" w:hAnsiTheme="minorHAnsi" w:cstheme="minorHAnsi"/>
          <w:b/>
          <w:bCs/>
          <w:sz w:val="24"/>
          <w:szCs w:val="24"/>
        </w:rPr>
        <w:t xml:space="preserve">Risco 09 </w:t>
      </w:r>
      <w:r w:rsidR="00B22423" w:rsidRPr="00252D7B">
        <w:rPr>
          <w:rStyle w:val="jsgrdq"/>
          <w:rFonts w:asciiTheme="minorHAnsi" w:hAnsiTheme="minorHAnsi" w:cstheme="minorHAnsi"/>
          <w:b/>
          <w:bCs/>
          <w:sz w:val="24"/>
          <w:szCs w:val="24"/>
        </w:rPr>
        <w:t>–</w:t>
      </w:r>
      <w:r w:rsidRPr="00252D7B">
        <w:rPr>
          <w:rStyle w:val="jsgrdq"/>
          <w:rFonts w:asciiTheme="minorHAnsi" w:hAnsiTheme="minorHAnsi" w:cstheme="minorHAnsi"/>
          <w:sz w:val="24"/>
          <w:szCs w:val="24"/>
        </w:rPr>
        <w:t xml:space="preserve"> Surgimento/ações contrárias à integridade;</w:t>
      </w:r>
      <w:r w:rsidRPr="00252D7B">
        <w:rPr>
          <w:rFonts w:asciiTheme="minorHAnsi" w:hAnsiTheme="minorHAnsi" w:cstheme="minorHAnsi"/>
          <w:color w:val="000000" w:themeColor="text1"/>
          <w:sz w:val="24"/>
          <w:szCs w:val="24"/>
        </w:rPr>
        <w:t xml:space="preserve"> </w:t>
      </w:r>
    </w:p>
    <w:p w14:paraId="3476526C" w14:textId="4227533D" w:rsidR="005E3702" w:rsidRPr="00252D7B" w:rsidRDefault="005E3702" w:rsidP="00212E62">
      <w:pPr>
        <w:pStyle w:val="PargrafodaLista"/>
        <w:numPr>
          <w:ilvl w:val="0"/>
          <w:numId w:val="4"/>
        </w:numPr>
        <w:spacing w:before="145"/>
        <w:ind w:right="-44"/>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b/>
          <w:bCs/>
          <w:sz w:val="24"/>
          <w:szCs w:val="24"/>
        </w:rPr>
        <w:t xml:space="preserve">Risco 10 </w:t>
      </w:r>
      <w:r w:rsidR="00B22423" w:rsidRPr="00252D7B">
        <w:rPr>
          <w:rStyle w:val="jsgrdq"/>
          <w:rFonts w:asciiTheme="minorHAnsi" w:hAnsiTheme="minorHAnsi" w:cstheme="minorHAnsi"/>
          <w:b/>
          <w:bCs/>
          <w:sz w:val="24"/>
          <w:szCs w:val="24"/>
        </w:rPr>
        <w:t>–</w:t>
      </w:r>
      <w:r w:rsidRPr="00252D7B">
        <w:rPr>
          <w:rStyle w:val="jsgrdq"/>
          <w:rFonts w:asciiTheme="minorHAnsi" w:hAnsiTheme="minorHAnsi" w:cstheme="minorHAnsi"/>
          <w:sz w:val="24"/>
          <w:szCs w:val="24"/>
        </w:rPr>
        <w:t xml:space="preserve"> Extinção da </w:t>
      </w:r>
      <w:r w:rsidR="00610C91" w:rsidRPr="00252D7B">
        <w:rPr>
          <w:rStyle w:val="jsgrdq"/>
          <w:rFonts w:asciiTheme="minorHAnsi" w:hAnsiTheme="minorHAnsi" w:cstheme="minorHAnsi"/>
          <w:sz w:val="24"/>
          <w:szCs w:val="24"/>
        </w:rPr>
        <w:t>Valec</w:t>
      </w:r>
      <w:r w:rsidRPr="00252D7B">
        <w:rPr>
          <w:rStyle w:val="jsgrdq"/>
          <w:rFonts w:asciiTheme="minorHAnsi" w:hAnsiTheme="minorHAnsi" w:cstheme="minorHAnsi"/>
          <w:sz w:val="24"/>
          <w:szCs w:val="24"/>
        </w:rPr>
        <w:t xml:space="preserve"> (não perenização como empresa pública no mercado ferroviário e não criação da Infra S.A.); e</w:t>
      </w:r>
    </w:p>
    <w:p w14:paraId="3A44CDC1" w14:textId="7A3172CD" w:rsidR="005E3702" w:rsidRPr="00252D7B" w:rsidRDefault="005E3702" w:rsidP="00212E62">
      <w:pPr>
        <w:pStyle w:val="PargrafodaLista"/>
        <w:numPr>
          <w:ilvl w:val="0"/>
          <w:numId w:val="4"/>
        </w:numPr>
        <w:spacing w:before="120" w:after="120"/>
        <w:ind w:right="-44"/>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b/>
          <w:bCs/>
          <w:sz w:val="24"/>
          <w:szCs w:val="24"/>
        </w:rPr>
        <w:t xml:space="preserve">Risco 11 </w:t>
      </w:r>
      <w:r w:rsidR="00B22423" w:rsidRPr="00252D7B">
        <w:rPr>
          <w:rStyle w:val="jsgrdq"/>
          <w:rFonts w:asciiTheme="minorHAnsi" w:hAnsiTheme="minorHAnsi" w:cstheme="minorHAnsi"/>
          <w:b/>
          <w:bCs/>
          <w:sz w:val="24"/>
          <w:szCs w:val="24"/>
        </w:rPr>
        <w:t>–</w:t>
      </w:r>
      <w:r w:rsidRPr="00252D7B">
        <w:rPr>
          <w:rStyle w:val="jsgrdq"/>
          <w:rFonts w:asciiTheme="minorHAnsi" w:hAnsiTheme="minorHAnsi" w:cstheme="minorHAnsi"/>
          <w:sz w:val="24"/>
          <w:szCs w:val="24"/>
        </w:rPr>
        <w:t xml:space="preserve"> Falhas no controle e governança das obrigações definidas no Anexo 9 no âmbito do Investimento Cruzado da FICO.</w:t>
      </w:r>
    </w:p>
    <w:p w14:paraId="7C963AC1" w14:textId="2763E045" w:rsidR="005E3702" w:rsidRPr="00252D7B" w:rsidRDefault="005E3702" w:rsidP="00436203">
      <w:pPr>
        <w:ind w:right="-44"/>
        <w:jc w:val="both"/>
        <w:rPr>
          <w:rStyle w:val="jsgrdq"/>
          <w:rFonts w:asciiTheme="minorHAnsi" w:hAnsiTheme="minorHAnsi" w:cstheme="minorHAnsi"/>
        </w:rPr>
      </w:pPr>
    </w:p>
    <w:p w14:paraId="3D9F7A6D" w14:textId="77777777" w:rsidR="00436203" w:rsidRPr="00252D7B" w:rsidRDefault="00436203" w:rsidP="00436203">
      <w:pPr>
        <w:ind w:right="-44"/>
        <w:jc w:val="both"/>
        <w:rPr>
          <w:rStyle w:val="jsgrdq"/>
          <w:rFonts w:asciiTheme="minorHAnsi" w:hAnsiTheme="minorHAnsi" w:cstheme="minorHAnsi"/>
        </w:rPr>
      </w:pPr>
    </w:p>
    <w:p w14:paraId="2A58EF8E" w14:textId="77777777" w:rsidR="005E3702" w:rsidRPr="00252D7B" w:rsidRDefault="005E3702" w:rsidP="00822617">
      <w:pPr>
        <w:pStyle w:val="Ttulo3"/>
        <w:tabs>
          <w:tab w:val="num" w:pos="360"/>
        </w:tabs>
        <w:rPr>
          <w:rFonts w:asciiTheme="minorHAnsi" w:hAnsiTheme="minorHAnsi" w:cstheme="minorHAnsi"/>
        </w:rPr>
      </w:pPr>
      <w:bookmarkStart w:id="100" w:name="_Toc96705908"/>
      <w:bookmarkStart w:id="101" w:name="_Toc103680524"/>
      <w:r w:rsidRPr="00252D7B">
        <w:rPr>
          <w:rFonts w:asciiTheme="minorHAnsi" w:hAnsiTheme="minorHAnsi" w:cstheme="minorHAnsi"/>
        </w:rPr>
        <w:t>Oportunidades e perspectivas</w:t>
      </w:r>
      <w:bookmarkEnd w:id="100"/>
      <w:bookmarkEnd w:id="101"/>
    </w:p>
    <w:p w14:paraId="30EAF4BA" w14:textId="2B8AF787" w:rsidR="005E3702" w:rsidRPr="00252D7B" w:rsidRDefault="005E3702" w:rsidP="005E3702">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Considerando as suas políticas públicas, o escopo de atuação da Valec envolve a FIOL e FICO. No que concerne a FIOL, a Valec realiza a implantação das obras do trecho compreendido entre Caetité/BA e Barreiras/BA, </w:t>
      </w:r>
      <w:r w:rsidR="00610C91" w:rsidRPr="00252D7B">
        <w:rPr>
          <w:rFonts w:asciiTheme="minorHAnsi" w:hAnsiTheme="minorHAnsi" w:cstheme="minorHAnsi"/>
          <w:sz w:val="24"/>
          <w:szCs w:val="24"/>
        </w:rPr>
        <w:t>por meio</w:t>
      </w:r>
      <w:r w:rsidRPr="00252D7B">
        <w:rPr>
          <w:rFonts w:asciiTheme="minorHAnsi" w:hAnsiTheme="minorHAnsi" w:cstheme="minorHAnsi"/>
          <w:sz w:val="24"/>
          <w:szCs w:val="24"/>
        </w:rPr>
        <w:t xml:space="preserve"> de investimentos do Governo Federal, consoante a Lei 13.971/2019 (Lei-PPA 2020-2023). No que tange à FICO, a Valec tem atribuições de fiscalização das obras, que se encontra em construção pela VALE S/A o trecho compreendido entre Água Boa/MT e Mara Rosa/GO, com recursos oriundos do investimento cruzado constante no Acordo de Obrigações de Investimentos - Anexo IX, do 3° </w:t>
      </w:r>
      <w:r w:rsidRPr="00252D7B">
        <w:rPr>
          <w:rFonts w:asciiTheme="minorHAnsi" w:hAnsiTheme="minorHAnsi" w:cstheme="minorHAnsi"/>
          <w:color w:val="000000" w:themeColor="text1"/>
          <w:sz w:val="24"/>
          <w:szCs w:val="24"/>
        </w:rPr>
        <w:t>Termo Aditivo atinente à prorrogação antecipada do contrato de Concessão da Estrada de Ferrovia Vitória à Minas - EFVM.</w:t>
      </w:r>
    </w:p>
    <w:p w14:paraId="40BB4AC1" w14:textId="190563C8" w:rsidR="005E3702" w:rsidRPr="00252D7B" w:rsidRDefault="005E3702" w:rsidP="005E3702">
      <w:pPr>
        <w:spacing w:before="120" w:after="120"/>
        <w:jc w:val="both"/>
        <w:rPr>
          <w:rFonts w:asciiTheme="minorHAnsi" w:hAnsiTheme="minorHAnsi" w:cstheme="minorHAnsi"/>
          <w:sz w:val="24"/>
          <w:szCs w:val="24"/>
        </w:rPr>
      </w:pPr>
      <w:bookmarkStart w:id="102" w:name="_Hlk96418212"/>
      <w:r w:rsidRPr="00252D7B">
        <w:rPr>
          <w:rFonts w:asciiTheme="minorHAnsi" w:hAnsiTheme="minorHAnsi" w:cstheme="minorHAnsi"/>
          <w:sz w:val="24"/>
          <w:szCs w:val="24"/>
        </w:rPr>
        <w:t xml:space="preserve">Em função do cenário de restrição orçamentária, não existe perspectiva de construção de novos empreendimentos ferroviários pela </w:t>
      </w:r>
      <w:r w:rsidR="00610C91" w:rsidRPr="00252D7B">
        <w:rPr>
          <w:rFonts w:asciiTheme="minorHAnsi" w:hAnsiTheme="minorHAnsi" w:cstheme="minorHAnsi"/>
          <w:sz w:val="24"/>
          <w:szCs w:val="24"/>
        </w:rPr>
        <w:t>Valec</w:t>
      </w:r>
      <w:r w:rsidRPr="00252D7B">
        <w:rPr>
          <w:rFonts w:asciiTheme="minorHAnsi" w:hAnsiTheme="minorHAnsi" w:cstheme="minorHAnsi"/>
          <w:sz w:val="24"/>
          <w:szCs w:val="24"/>
        </w:rPr>
        <w:t xml:space="preserve">, </w:t>
      </w:r>
      <w:r w:rsidR="00610C91" w:rsidRPr="00252D7B">
        <w:rPr>
          <w:rFonts w:asciiTheme="minorHAnsi" w:hAnsiTheme="minorHAnsi" w:cstheme="minorHAnsi"/>
          <w:sz w:val="24"/>
          <w:szCs w:val="24"/>
        </w:rPr>
        <w:t>por meio</w:t>
      </w:r>
      <w:r w:rsidRPr="00252D7B">
        <w:rPr>
          <w:rFonts w:asciiTheme="minorHAnsi" w:hAnsiTheme="minorHAnsi" w:cstheme="minorHAnsi"/>
          <w:sz w:val="24"/>
          <w:szCs w:val="24"/>
        </w:rPr>
        <w:t xml:space="preserve"> dos recursos de investimentos, consoante Plano Plurianual da União 2020 a 2023.</w:t>
      </w:r>
    </w:p>
    <w:bookmarkEnd w:id="102"/>
    <w:p w14:paraId="6C2F9704" w14:textId="77777777" w:rsidR="005E3702" w:rsidRPr="00252D7B" w:rsidRDefault="005E3702" w:rsidP="005E3702">
      <w:pPr>
        <w:spacing w:before="120" w:after="120"/>
        <w:jc w:val="both"/>
        <w:rPr>
          <w:rFonts w:asciiTheme="minorHAnsi" w:hAnsiTheme="minorHAnsi" w:cstheme="minorHAnsi"/>
          <w:color w:val="000000" w:themeColor="text1"/>
          <w:sz w:val="24"/>
          <w:szCs w:val="24"/>
        </w:rPr>
      </w:pPr>
      <w:r w:rsidRPr="00252D7B">
        <w:rPr>
          <w:rFonts w:asciiTheme="minorHAnsi" w:hAnsiTheme="minorHAnsi" w:cstheme="minorHAnsi"/>
          <w:color w:val="000000" w:themeColor="text1"/>
          <w:sz w:val="24"/>
          <w:szCs w:val="24"/>
        </w:rPr>
        <w:t>Desta forma, sem perspectivas de construção de novas ferrovias a partir de investimentos do Governo Federal e, sem perspectivas de novos empreendimentos provenientes de prorrogações antecipadas, as oportunidades e perspectivas da Valec são: a prestação de serviços especializados, com destaque às empresas privadas no âmbito do regime de autorização ferroviária; e, criação da Infra S.A..</w:t>
      </w:r>
    </w:p>
    <w:p w14:paraId="78C16A89" w14:textId="4E40806F" w:rsidR="005E3702" w:rsidRPr="00252D7B" w:rsidRDefault="005E3702" w:rsidP="005E3702">
      <w:pPr>
        <w:spacing w:before="120" w:after="120"/>
        <w:jc w:val="both"/>
        <w:rPr>
          <w:rFonts w:asciiTheme="minorHAnsi" w:hAnsiTheme="minorHAnsi" w:cstheme="minorHAnsi"/>
          <w:color w:val="000000" w:themeColor="text1"/>
          <w:sz w:val="24"/>
          <w:szCs w:val="24"/>
        </w:rPr>
      </w:pPr>
      <w:r w:rsidRPr="00252D7B">
        <w:rPr>
          <w:rFonts w:asciiTheme="minorHAnsi" w:hAnsiTheme="minorHAnsi" w:cstheme="minorHAnsi"/>
          <w:color w:val="000000" w:themeColor="text1"/>
          <w:sz w:val="24"/>
          <w:szCs w:val="24"/>
        </w:rPr>
        <w:t xml:space="preserve">As oportunidades e perspectivas são objeto de abordagem no evento de risco 10 - Extinção da </w:t>
      </w:r>
      <w:r w:rsidR="00610C91" w:rsidRPr="00252D7B">
        <w:rPr>
          <w:rFonts w:asciiTheme="minorHAnsi" w:hAnsiTheme="minorHAnsi" w:cstheme="minorHAnsi"/>
          <w:color w:val="000000" w:themeColor="text1"/>
          <w:sz w:val="24"/>
          <w:szCs w:val="24"/>
        </w:rPr>
        <w:t>Valec</w:t>
      </w:r>
      <w:r w:rsidRPr="00252D7B">
        <w:rPr>
          <w:rFonts w:asciiTheme="minorHAnsi" w:hAnsiTheme="minorHAnsi" w:cstheme="minorHAnsi"/>
          <w:color w:val="000000" w:themeColor="text1"/>
          <w:sz w:val="24"/>
          <w:szCs w:val="24"/>
        </w:rPr>
        <w:t xml:space="preserve"> (não perenização como empresa pública no mercado ferroviário e não criação da Infra S.A.). É relevante ressaltar que as oportunidades e perspectivas são fundamentais para a continuidade da Valec, desta forma é correlacionada a possibilidade de extinção da estatal caso as respectivas ações de implementação não sejam concluídas pela empresa no próximo exercício.</w:t>
      </w:r>
    </w:p>
    <w:p w14:paraId="2F21142A" w14:textId="77777777" w:rsidR="005E3702" w:rsidRPr="00252D7B" w:rsidRDefault="005E3702" w:rsidP="005E3702">
      <w:pPr>
        <w:spacing w:before="120" w:after="120"/>
        <w:jc w:val="both"/>
        <w:rPr>
          <w:rFonts w:asciiTheme="minorHAnsi" w:hAnsiTheme="minorHAnsi" w:cstheme="minorHAnsi"/>
          <w:color w:val="000000" w:themeColor="text1"/>
          <w:sz w:val="24"/>
          <w:szCs w:val="24"/>
        </w:rPr>
      </w:pPr>
      <w:r w:rsidRPr="00252D7B">
        <w:rPr>
          <w:rFonts w:asciiTheme="minorHAnsi" w:hAnsiTheme="minorHAnsi" w:cstheme="minorHAnsi"/>
          <w:color w:val="000000" w:themeColor="text1"/>
          <w:sz w:val="24"/>
          <w:szCs w:val="24"/>
        </w:rPr>
        <w:t xml:space="preserve">Conforme Plano de Tratamento do evento de risco 10, as ações de implementação referentes às oportunidades e perspectivas são: </w:t>
      </w:r>
    </w:p>
    <w:p w14:paraId="230F559E" w14:textId="66A5E609" w:rsidR="005E3702" w:rsidRPr="00252D7B" w:rsidRDefault="005E3702" w:rsidP="00404278">
      <w:pPr>
        <w:pStyle w:val="PargrafodaLista"/>
        <w:numPr>
          <w:ilvl w:val="0"/>
          <w:numId w:val="4"/>
        </w:numPr>
        <w:spacing w:before="145"/>
        <w:ind w:right="-44"/>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 xml:space="preserve">Plano de estruturação da empresa </w:t>
      </w:r>
      <w:r w:rsidR="008E78C4" w:rsidRPr="00252D7B">
        <w:rPr>
          <w:rStyle w:val="jsgrdq"/>
          <w:rFonts w:asciiTheme="minorHAnsi" w:hAnsiTheme="minorHAnsi" w:cstheme="minorHAnsi"/>
          <w:sz w:val="24"/>
          <w:szCs w:val="24"/>
        </w:rPr>
        <w:t>com e</w:t>
      </w:r>
      <w:r w:rsidRPr="00252D7B">
        <w:rPr>
          <w:rStyle w:val="jsgrdq"/>
          <w:rFonts w:asciiTheme="minorHAnsi" w:hAnsiTheme="minorHAnsi" w:cstheme="minorHAnsi"/>
          <w:sz w:val="24"/>
          <w:szCs w:val="24"/>
        </w:rPr>
        <w:t xml:space="preserve">laboração, validação e implementação de um </w:t>
      </w:r>
      <w:r w:rsidRPr="00252D7B">
        <w:rPr>
          <w:rStyle w:val="jsgrdq"/>
          <w:rFonts w:asciiTheme="minorHAnsi" w:hAnsiTheme="minorHAnsi" w:cstheme="minorHAnsi"/>
          <w:sz w:val="24"/>
          <w:szCs w:val="24"/>
        </w:rPr>
        <w:lastRenderedPageBreak/>
        <w:t>plano, de modo a prepará-la para atuar como prestadora de serviços técnicos especializados no setor ferroviário, mitigando, dessa forma, o risco de sua extinção</w:t>
      </w:r>
      <w:r w:rsidR="000B6F94" w:rsidRPr="00252D7B">
        <w:rPr>
          <w:rStyle w:val="jsgrdq"/>
          <w:rFonts w:asciiTheme="minorHAnsi" w:hAnsiTheme="minorHAnsi" w:cstheme="minorHAnsi"/>
          <w:sz w:val="24"/>
          <w:szCs w:val="24"/>
        </w:rPr>
        <w:t>;</w:t>
      </w:r>
    </w:p>
    <w:p w14:paraId="1E545762" w14:textId="0576D844" w:rsidR="005E3702" w:rsidRPr="00252D7B" w:rsidRDefault="005E3702" w:rsidP="00404278">
      <w:pPr>
        <w:pStyle w:val="PargrafodaLista"/>
        <w:numPr>
          <w:ilvl w:val="0"/>
          <w:numId w:val="4"/>
        </w:numPr>
        <w:spacing w:before="145"/>
        <w:ind w:right="-44"/>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Elaboração do Plano de Comunicação para novos negócios com pacote de produtos e serviços para clientes e futuros autorizatários</w:t>
      </w:r>
      <w:r w:rsidR="000B6F94" w:rsidRPr="00252D7B">
        <w:rPr>
          <w:rStyle w:val="jsgrdq"/>
          <w:rFonts w:asciiTheme="minorHAnsi" w:hAnsiTheme="minorHAnsi" w:cstheme="minorHAnsi"/>
          <w:sz w:val="24"/>
          <w:szCs w:val="24"/>
        </w:rPr>
        <w:t>;</w:t>
      </w:r>
    </w:p>
    <w:p w14:paraId="24A8FAEF" w14:textId="2D8DAFCE" w:rsidR="005E3702" w:rsidRPr="00252D7B" w:rsidRDefault="005E3702" w:rsidP="00404278">
      <w:pPr>
        <w:pStyle w:val="PargrafodaLista"/>
        <w:numPr>
          <w:ilvl w:val="0"/>
          <w:numId w:val="4"/>
        </w:numPr>
        <w:spacing w:before="145"/>
        <w:ind w:right="-44"/>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Criação e monitoramento de indicadores de receitas e despesas para o Relatório Trimestral de Execução Orçamentária</w:t>
      </w:r>
      <w:r w:rsidR="000B6F94" w:rsidRPr="00252D7B">
        <w:rPr>
          <w:rStyle w:val="jsgrdq"/>
          <w:rFonts w:asciiTheme="minorHAnsi" w:hAnsiTheme="minorHAnsi" w:cstheme="minorHAnsi"/>
          <w:sz w:val="24"/>
          <w:szCs w:val="24"/>
        </w:rPr>
        <w:t>; e</w:t>
      </w:r>
    </w:p>
    <w:p w14:paraId="01AF5C60" w14:textId="23E731B4" w:rsidR="005E3702" w:rsidRPr="00252D7B" w:rsidRDefault="005E3702" w:rsidP="00404278">
      <w:pPr>
        <w:pStyle w:val="PargrafodaLista"/>
        <w:numPr>
          <w:ilvl w:val="0"/>
          <w:numId w:val="4"/>
        </w:numPr>
        <w:spacing w:before="145"/>
        <w:ind w:right="-44"/>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Estruturação do modelo de negócios para a Infra S.A.</w:t>
      </w:r>
    </w:p>
    <w:p w14:paraId="776A8F71" w14:textId="7DAEBF1F" w:rsidR="00436203" w:rsidRPr="00252D7B" w:rsidRDefault="00436203" w:rsidP="00436203">
      <w:pPr>
        <w:spacing w:before="145"/>
        <w:ind w:right="-44"/>
        <w:jc w:val="both"/>
        <w:rPr>
          <w:rStyle w:val="jsgrdq"/>
          <w:rFonts w:asciiTheme="minorHAnsi" w:hAnsiTheme="minorHAnsi" w:cstheme="minorHAnsi"/>
          <w:sz w:val="24"/>
          <w:szCs w:val="24"/>
        </w:rPr>
      </w:pPr>
    </w:p>
    <w:p w14:paraId="33E708D7" w14:textId="77777777" w:rsidR="00436203" w:rsidRPr="00252D7B" w:rsidRDefault="00436203" w:rsidP="00436203">
      <w:pPr>
        <w:spacing w:before="145"/>
        <w:ind w:right="-44"/>
        <w:jc w:val="both"/>
        <w:rPr>
          <w:rStyle w:val="jsgrdq"/>
          <w:rFonts w:asciiTheme="minorHAnsi" w:hAnsiTheme="minorHAnsi" w:cstheme="minorHAnsi"/>
          <w:sz w:val="24"/>
          <w:szCs w:val="24"/>
        </w:rPr>
      </w:pPr>
    </w:p>
    <w:p w14:paraId="63F0A97A" w14:textId="77777777" w:rsidR="005E3702" w:rsidRPr="00252D7B" w:rsidRDefault="005E3702" w:rsidP="00822617">
      <w:pPr>
        <w:pStyle w:val="Ttulo3"/>
        <w:tabs>
          <w:tab w:val="num" w:pos="360"/>
        </w:tabs>
        <w:rPr>
          <w:rFonts w:asciiTheme="minorHAnsi" w:hAnsiTheme="minorHAnsi" w:cstheme="minorHAnsi"/>
        </w:rPr>
      </w:pPr>
      <w:bookmarkStart w:id="103" w:name="_Toc96705909"/>
      <w:bookmarkStart w:id="104" w:name="_Toc103680525"/>
      <w:r w:rsidRPr="00252D7B">
        <w:rPr>
          <w:rFonts w:asciiTheme="minorHAnsi" w:hAnsiTheme="minorHAnsi" w:cstheme="minorHAnsi"/>
        </w:rPr>
        <w:t>Grau de exposição, fonte de riscos e planos de tratamento</w:t>
      </w:r>
      <w:bookmarkEnd w:id="103"/>
      <w:bookmarkEnd w:id="104"/>
    </w:p>
    <w:p w14:paraId="22A28A89" w14:textId="22C86B13" w:rsidR="005E3702" w:rsidRPr="00252D7B" w:rsidRDefault="005E3702" w:rsidP="005E3702">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Os eventos de riscos identificados podem afetar diretamente no alcance dos objetivos estratégicos. Dos 11 eventos de riscos, a partir das escalas de probabilidade e impacto, 10 foram avaliados além do apetite a riscos da empresa, com o grau de exposição igual ou superior ao valor 40, conforme Matriz de Riscos abaixo.</w:t>
      </w:r>
    </w:p>
    <w:p w14:paraId="50A95BBF" w14:textId="77777777" w:rsidR="005E3702" w:rsidRPr="00252D7B" w:rsidRDefault="005E3702" w:rsidP="00490D35">
      <w:pPr>
        <w:spacing w:before="120"/>
        <w:jc w:val="both"/>
        <w:rPr>
          <w:rFonts w:asciiTheme="minorHAnsi" w:hAnsiTheme="minorHAnsi" w:cstheme="minorHAnsi"/>
          <w:sz w:val="24"/>
          <w:szCs w:val="24"/>
        </w:rPr>
      </w:pPr>
    </w:p>
    <w:p w14:paraId="0C318E26" w14:textId="27D0CC72" w:rsidR="005E3702" w:rsidRPr="00252D7B" w:rsidRDefault="005E3702" w:rsidP="005E3702">
      <w:pPr>
        <w:pStyle w:val="Legenda"/>
        <w:jc w:val="center"/>
        <w:rPr>
          <w:rFonts w:asciiTheme="minorHAnsi" w:hAnsiTheme="minorHAnsi" w:cstheme="minorHAnsi"/>
          <w:sz w:val="20"/>
          <w:szCs w:val="20"/>
        </w:rPr>
      </w:pPr>
      <w:bookmarkStart w:id="105" w:name="_Toc96706070"/>
      <w:bookmarkStart w:id="106" w:name="_Toc103680747"/>
      <w:r w:rsidRPr="00252D7B">
        <w:rPr>
          <w:rFonts w:asciiTheme="minorHAnsi" w:hAnsiTheme="minorHAnsi" w:cstheme="minorHAnsi"/>
          <w:sz w:val="20"/>
          <w:szCs w:val="20"/>
        </w:rPr>
        <w:t xml:space="preserve">Figura </w:t>
      </w:r>
      <w:r w:rsidR="00F46BDB" w:rsidRPr="00252D7B">
        <w:rPr>
          <w:rFonts w:asciiTheme="minorHAnsi" w:hAnsiTheme="minorHAnsi" w:cstheme="minorHAnsi"/>
          <w:sz w:val="20"/>
          <w:szCs w:val="20"/>
        </w:rPr>
        <w:fldChar w:fldCharType="begin"/>
      </w:r>
      <w:r w:rsidR="00F46BDB" w:rsidRPr="00252D7B">
        <w:rPr>
          <w:rFonts w:asciiTheme="minorHAnsi" w:hAnsiTheme="minorHAnsi" w:cstheme="minorHAnsi"/>
          <w:sz w:val="20"/>
          <w:szCs w:val="20"/>
        </w:rPr>
        <w:instrText xml:space="preserve"> SEQ Figura \* ARABIC </w:instrText>
      </w:r>
      <w:r w:rsidR="00F46BDB"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11</w:t>
      </w:r>
      <w:r w:rsidR="00F46BDB" w:rsidRPr="00252D7B">
        <w:rPr>
          <w:rFonts w:asciiTheme="minorHAnsi" w:hAnsiTheme="minorHAnsi" w:cstheme="minorHAnsi"/>
          <w:sz w:val="20"/>
          <w:szCs w:val="20"/>
        </w:rPr>
        <w:fldChar w:fldCharType="end"/>
      </w:r>
      <w:r w:rsidRPr="00252D7B">
        <w:rPr>
          <w:rFonts w:asciiTheme="minorHAnsi" w:hAnsiTheme="minorHAnsi" w:cstheme="minorHAnsi"/>
          <w:sz w:val="20"/>
          <w:szCs w:val="20"/>
        </w:rPr>
        <w:t xml:space="preserve"> </w:t>
      </w:r>
      <w:r w:rsidR="00490D35" w:rsidRPr="00252D7B">
        <w:rPr>
          <w:rFonts w:asciiTheme="minorHAnsi" w:hAnsiTheme="minorHAnsi" w:cstheme="minorHAnsi"/>
          <w:sz w:val="20"/>
          <w:szCs w:val="20"/>
        </w:rPr>
        <w:t>–</w:t>
      </w:r>
      <w:r w:rsidRPr="00252D7B">
        <w:rPr>
          <w:rFonts w:asciiTheme="minorHAnsi" w:hAnsiTheme="minorHAnsi" w:cstheme="minorHAnsi"/>
          <w:sz w:val="20"/>
          <w:szCs w:val="20"/>
        </w:rPr>
        <w:t xml:space="preserve"> Matriz de Riscos da Valec</w:t>
      </w:r>
      <w:bookmarkEnd w:id="105"/>
      <w:bookmarkEnd w:id="106"/>
    </w:p>
    <w:p w14:paraId="64270086" w14:textId="77777777" w:rsidR="005E3702" w:rsidRPr="00252D7B" w:rsidRDefault="005E3702" w:rsidP="005E3702">
      <w:pPr>
        <w:spacing w:before="120" w:after="120"/>
        <w:jc w:val="center"/>
        <w:rPr>
          <w:rFonts w:asciiTheme="minorHAnsi" w:hAnsiTheme="minorHAnsi" w:cstheme="minorHAnsi"/>
          <w:sz w:val="24"/>
          <w:szCs w:val="24"/>
        </w:rPr>
      </w:pPr>
      <w:r w:rsidRPr="00252D7B">
        <w:rPr>
          <w:rFonts w:asciiTheme="minorHAnsi" w:hAnsiTheme="minorHAnsi" w:cstheme="minorHAnsi"/>
          <w:noProof/>
        </w:rPr>
        <w:drawing>
          <wp:inline distT="0" distB="0" distL="0" distR="0" wp14:anchorId="0D4C0700" wp14:editId="38B54512">
            <wp:extent cx="5274945" cy="4476750"/>
            <wp:effectExtent l="0" t="0" r="1905" b="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4945" cy="4476750"/>
                    </a:xfrm>
                    <a:prstGeom prst="rect">
                      <a:avLst/>
                    </a:prstGeom>
                    <a:noFill/>
                    <a:ln>
                      <a:noFill/>
                    </a:ln>
                  </pic:spPr>
                </pic:pic>
              </a:graphicData>
            </a:graphic>
          </wp:inline>
        </w:drawing>
      </w:r>
    </w:p>
    <w:p w14:paraId="474C01C6" w14:textId="77777777" w:rsidR="005E3702" w:rsidRPr="00252D7B" w:rsidRDefault="005E3702" w:rsidP="005E3702">
      <w:pPr>
        <w:spacing w:before="120" w:after="120"/>
        <w:jc w:val="both"/>
        <w:rPr>
          <w:rFonts w:asciiTheme="minorHAnsi" w:hAnsiTheme="minorHAnsi" w:cstheme="minorHAnsi"/>
          <w:color w:val="000000"/>
          <w:sz w:val="24"/>
          <w:szCs w:val="24"/>
        </w:rPr>
      </w:pPr>
    </w:p>
    <w:p w14:paraId="49ECF4C0" w14:textId="0F66B476" w:rsidR="005E3702" w:rsidRPr="00252D7B" w:rsidRDefault="005E3702" w:rsidP="00A514F0">
      <w:pPr>
        <w:spacing w:before="120" w:after="120"/>
        <w:jc w:val="both"/>
        <w:rPr>
          <w:rFonts w:asciiTheme="minorHAnsi" w:hAnsiTheme="minorHAnsi" w:cstheme="minorHAnsi"/>
          <w:sz w:val="24"/>
          <w:szCs w:val="24"/>
        </w:rPr>
      </w:pPr>
      <w:r w:rsidRPr="00252D7B">
        <w:rPr>
          <w:rFonts w:asciiTheme="minorHAnsi" w:hAnsiTheme="minorHAnsi" w:cstheme="minorHAnsi"/>
          <w:color w:val="000000"/>
          <w:sz w:val="24"/>
          <w:szCs w:val="24"/>
        </w:rPr>
        <w:t xml:space="preserve">Conforme diretrizes do Ministério da Infraestrutura, foram paralisadas as ações de implementação </w:t>
      </w:r>
      <w:r w:rsidRPr="00252D7B">
        <w:rPr>
          <w:rFonts w:asciiTheme="minorHAnsi" w:hAnsiTheme="minorHAnsi" w:cstheme="minorHAnsi"/>
          <w:color w:val="000000"/>
          <w:sz w:val="24"/>
          <w:szCs w:val="24"/>
        </w:rPr>
        <w:lastRenderedPageBreak/>
        <w:t>relativas aos eventos de riscos 7 e 8, que tratam do Documento Eletrônico de Transporte</w:t>
      </w:r>
      <w:r w:rsidR="003E3C5F" w:rsidRPr="00252D7B">
        <w:rPr>
          <w:rFonts w:asciiTheme="minorHAnsi" w:hAnsiTheme="minorHAnsi" w:cstheme="minorHAnsi"/>
          <w:color w:val="000000"/>
          <w:sz w:val="24"/>
          <w:szCs w:val="24"/>
        </w:rPr>
        <w:t xml:space="preserve"> (</w:t>
      </w:r>
      <w:r w:rsidRPr="00252D7B">
        <w:rPr>
          <w:rFonts w:asciiTheme="minorHAnsi" w:hAnsiTheme="minorHAnsi" w:cstheme="minorHAnsi"/>
          <w:color w:val="000000"/>
          <w:sz w:val="24"/>
          <w:szCs w:val="24"/>
        </w:rPr>
        <w:t>DT-e</w:t>
      </w:r>
      <w:r w:rsidR="003E3C5F" w:rsidRPr="00252D7B">
        <w:rPr>
          <w:rFonts w:asciiTheme="minorHAnsi" w:hAnsiTheme="minorHAnsi" w:cstheme="minorHAnsi"/>
          <w:color w:val="000000"/>
          <w:sz w:val="24"/>
          <w:szCs w:val="24"/>
        </w:rPr>
        <w:t>)</w:t>
      </w:r>
      <w:r w:rsidRPr="00252D7B">
        <w:rPr>
          <w:rFonts w:asciiTheme="minorHAnsi" w:hAnsiTheme="minorHAnsi" w:cstheme="minorHAnsi"/>
          <w:color w:val="000000" w:themeColor="text1"/>
          <w:sz w:val="24"/>
          <w:szCs w:val="24"/>
        </w:rPr>
        <w:t>.</w:t>
      </w:r>
    </w:p>
    <w:p w14:paraId="22765234" w14:textId="77777777" w:rsidR="005E3702" w:rsidRPr="00252D7B" w:rsidRDefault="005E3702" w:rsidP="005E3702">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No intuito de mitigar os eventos de riscos, foram elaborados Planos de Tratamento, que totalizam 22 ações de implementação, com novos controles internos e aprimoramento dos controles internos existentes. Os prazos para conclusão das ações encerram durante o ano de 2022.</w:t>
      </w:r>
    </w:p>
    <w:p w14:paraId="303C504F" w14:textId="18D03182" w:rsidR="005E3702" w:rsidRPr="00252D7B" w:rsidRDefault="005E3702" w:rsidP="005E3702">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As fontes dos eventos de riscos estratégicos são internas e/ou externas. As fontes estão associadas às causas dos eventos de riscos. Para melhor apresentação das fontes de riscos e ações de implementação, segue o </w:t>
      </w:r>
      <w:r w:rsidR="003E3C5F" w:rsidRPr="00252D7B">
        <w:rPr>
          <w:rFonts w:asciiTheme="minorHAnsi" w:hAnsiTheme="minorHAnsi" w:cstheme="minorHAnsi"/>
          <w:sz w:val="24"/>
          <w:szCs w:val="24"/>
        </w:rPr>
        <w:t>Quadro 3</w:t>
      </w:r>
      <w:r w:rsidRPr="00252D7B">
        <w:rPr>
          <w:rFonts w:asciiTheme="minorHAnsi" w:hAnsiTheme="minorHAnsi" w:cstheme="minorHAnsi"/>
          <w:sz w:val="24"/>
          <w:szCs w:val="24"/>
        </w:rPr>
        <w:t xml:space="preserve"> com os planos de tratamento para mitigação dos eventos de riscos estratégicos.</w:t>
      </w:r>
    </w:p>
    <w:p w14:paraId="14E1C21D" w14:textId="57EEEC0D" w:rsidR="005E3702" w:rsidRPr="00252D7B" w:rsidRDefault="005E3702" w:rsidP="00C57550">
      <w:pPr>
        <w:spacing w:before="120"/>
        <w:jc w:val="both"/>
        <w:rPr>
          <w:rFonts w:asciiTheme="minorHAnsi" w:hAnsiTheme="minorHAnsi" w:cstheme="minorHAnsi"/>
          <w:sz w:val="24"/>
          <w:szCs w:val="24"/>
        </w:rPr>
      </w:pPr>
    </w:p>
    <w:p w14:paraId="33E09D17" w14:textId="5F0EAF91" w:rsidR="005E3702" w:rsidRPr="00252D7B" w:rsidRDefault="00AD0DDC" w:rsidP="005E3702">
      <w:pPr>
        <w:pStyle w:val="Legenda"/>
        <w:jc w:val="center"/>
        <w:rPr>
          <w:rFonts w:asciiTheme="minorHAnsi" w:hAnsiTheme="minorHAnsi" w:cstheme="minorHAnsi"/>
          <w:sz w:val="20"/>
          <w:szCs w:val="20"/>
        </w:rPr>
      </w:pPr>
      <w:bookmarkStart w:id="107" w:name="_Ref97564483"/>
      <w:bookmarkStart w:id="108" w:name="_Toc96706009"/>
      <w:bookmarkStart w:id="109" w:name="_Toc103680722"/>
      <w:r w:rsidRPr="00252D7B">
        <w:rPr>
          <w:rFonts w:asciiTheme="minorHAnsi" w:hAnsiTheme="minorHAnsi" w:cstheme="minorHAnsi"/>
          <w:sz w:val="20"/>
          <w:szCs w:val="20"/>
        </w:rPr>
        <w:t xml:space="preserve">Quadro </w:t>
      </w:r>
      <w:r w:rsidRPr="00252D7B">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Quadro \* ARABIC </w:instrText>
      </w:r>
      <w:r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3</w:t>
      </w:r>
      <w:r w:rsidRPr="00252D7B">
        <w:rPr>
          <w:rFonts w:asciiTheme="minorHAnsi" w:hAnsiTheme="minorHAnsi" w:cstheme="minorHAnsi"/>
          <w:sz w:val="20"/>
          <w:szCs w:val="20"/>
        </w:rPr>
        <w:fldChar w:fldCharType="end"/>
      </w:r>
      <w:bookmarkEnd w:id="107"/>
      <w:r w:rsidR="005E3702" w:rsidRPr="00252D7B">
        <w:rPr>
          <w:rFonts w:asciiTheme="minorHAnsi" w:hAnsiTheme="minorHAnsi" w:cstheme="minorHAnsi"/>
          <w:sz w:val="20"/>
          <w:szCs w:val="20"/>
        </w:rPr>
        <w:t xml:space="preserve"> – Planos de Tratamento dos eventos de riscos estratégicos</w:t>
      </w:r>
      <w:bookmarkEnd w:id="108"/>
      <w:bookmarkEnd w:id="109"/>
    </w:p>
    <w:tbl>
      <w:tblPr>
        <w:tblW w:w="10231" w:type="dxa"/>
        <w:tblCellMar>
          <w:left w:w="70" w:type="dxa"/>
          <w:right w:w="70" w:type="dxa"/>
        </w:tblCellMar>
        <w:tblLook w:val="04A0" w:firstRow="1" w:lastRow="0" w:firstColumn="1" w:lastColumn="0" w:noHBand="0" w:noVBand="1"/>
      </w:tblPr>
      <w:tblGrid>
        <w:gridCol w:w="1555"/>
        <w:gridCol w:w="1645"/>
        <w:gridCol w:w="2040"/>
        <w:gridCol w:w="1004"/>
        <w:gridCol w:w="3827"/>
        <w:gridCol w:w="160"/>
      </w:tblGrid>
      <w:tr w:rsidR="005E3702" w:rsidRPr="00252D7B" w14:paraId="4228BE1D" w14:textId="77777777" w:rsidTr="00B426C1">
        <w:trPr>
          <w:gridAfter w:val="1"/>
          <w:wAfter w:w="160" w:type="dxa"/>
          <w:trHeight w:val="662"/>
          <w:tblHeader/>
        </w:trPr>
        <w:tc>
          <w:tcPr>
            <w:tcW w:w="1555"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4AF74AEE" w14:textId="77777777" w:rsidR="005E3702" w:rsidRPr="00252D7B" w:rsidRDefault="005E3702" w:rsidP="00E03684">
            <w:pPr>
              <w:widowControl/>
              <w:autoSpaceDE/>
              <w:autoSpaceDN/>
              <w:jc w:val="center"/>
              <w:rPr>
                <w:rFonts w:asciiTheme="minorHAnsi" w:eastAsia="Times New Roman" w:hAnsiTheme="minorHAnsi" w:cstheme="minorHAnsi"/>
                <w:b/>
                <w:bCs/>
                <w:color w:val="000000"/>
                <w:sz w:val="20"/>
                <w:szCs w:val="20"/>
                <w:lang w:eastAsia="pt-BR" w:bidi="ar-SA"/>
              </w:rPr>
            </w:pPr>
            <w:r w:rsidRPr="00252D7B">
              <w:rPr>
                <w:rFonts w:asciiTheme="minorHAnsi" w:eastAsia="Times New Roman" w:hAnsiTheme="minorHAnsi" w:cstheme="minorHAnsi"/>
                <w:b/>
                <w:bCs/>
                <w:color w:val="000000"/>
                <w:sz w:val="20"/>
                <w:szCs w:val="20"/>
                <w:lang w:eastAsia="pt-BR" w:bidi="ar-SA"/>
              </w:rPr>
              <w:t>Evento de Risco</w:t>
            </w:r>
          </w:p>
        </w:tc>
        <w:tc>
          <w:tcPr>
            <w:tcW w:w="164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02628F" w14:textId="77777777" w:rsidR="005E3702" w:rsidRPr="00252D7B" w:rsidRDefault="005E3702" w:rsidP="00E03684">
            <w:pPr>
              <w:widowControl/>
              <w:autoSpaceDE/>
              <w:autoSpaceDN/>
              <w:jc w:val="center"/>
              <w:rPr>
                <w:rFonts w:asciiTheme="minorHAnsi" w:eastAsia="Times New Roman" w:hAnsiTheme="minorHAnsi" w:cstheme="minorHAnsi"/>
                <w:b/>
                <w:bCs/>
                <w:color w:val="000000"/>
                <w:sz w:val="20"/>
                <w:szCs w:val="20"/>
                <w:lang w:eastAsia="pt-BR" w:bidi="ar-SA"/>
              </w:rPr>
            </w:pPr>
            <w:r w:rsidRPr="00252D7B">
              <w:rPr>
                <w:rFonts w:asciiTheme="minorHAnsi" w:eastAsia="Times New Roman" w:hAnsiTheme="minorHAnsi" w:cstheme="minorHAnsi"/>
                <w:b/>
                <w:bCs/>
                <w:color w:val="000000"/>
                <w:sz w:val="20"/>
                <w:szCs w:val="20"/>
                <w:lang w:eastAsia="pt-BR" w:bidi="ar-SA"/>
              </w:rPr>
              <w:t>Objeto</w:t>
            </w:r>
          </w:p>
        </w:tc>
        <w:tc>
          <w:tcPr>
            <w:tcW w:w="204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8BB01C" w14:textId="77777777" w:rsidR="005E3702" w:rsidRPr="00252D7B" w:rsidRDefault="005E3702" w:rsidP="00E03684">
            <w:pPr>
              <w:widowControl/>
              <w:autoSpaceDE/>
              <w:autoSpaceDN/>
              <w:jc w:val="center"/>
              <w:rPr>
                <w:rFonts w:asciiTheme="minorHAnsi" w:eastAsia="Times New Roman" w:hAnsiTheme="minorHAnsi" w:cstheme="minorHAnsi"/>
                <w:b/>
                <w:bCs/>
                <w:color w:val="000000"/>
                <w:sz w:val="20"/>
                <w:szCs w:val="20"/>
                <w:lang w:eastAsia="pt-BR" w:bidi="ar-SA"/>
              </w:rPr>
            </w:pPr>
            <w:r w:rsidRPr="00252D7B">
              <w:rPr>
                <w:rFonts w:asciiTheme="minorHAnsi" w:eastAsia="Times New Roman" w:hAnsiTheme="minorHAnsi" w:cstheme="minorHAnsi"/>
                <w:b/>
                <w:bCs/>
                <w:color w:val="000000"/>
                <w:sz w:val="20"/>
                <w:szCs w:val="20"/>
                <w:lang w:eastAsia="pt-BR" w:bidi="ar-SA"/>
              </w:rPr>
              <w:t>Principais Causas</w:t>
            </w:r>
          </w:p>
        </w:tc>
        <w:tc>
          <w:tcPr>
            <w:tcW w:w="100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F009CC" w14:textId="77777777" w:rsidR="005E3702" w:rsidRPr="00252D7B" w:rsidRDefault="005E3702" w:rsidP="00E03684">
            <w:pPr>
              <w:widowControl/>
              <w:autoSpaceDE/>
              <w:autoSpaceDN/>
              <w:jc w:val="center"/>
              <w:rPr>
                <w:rFonts w:asciiTheme="minorHAnsi" w:eastAsia="Times New Roman" w:hAnsiTheme="minorHAnsi" w:cstheme="minorHAnsi"/>
                <w:b/>
                <w:bCs/>
                <w:color w:val="000000"/>
                <w:sz w:val="20"/>
                <w:szCs w:val="20"/>
                <w:lang w:eastAsia="pt-BR" w:bidi="ar-SA"/>
              </w:rPr>
            </w:pPr>
            <w:r w:rsidRPr="00252D7B">
              <w:rPr>
                <w:rFonts w:asciiTheme="minorHAnsi" w:eastAsia="Times New Roman" w:hAnsiTheme="minorHAnsi" w:cstheme="minorHAnsi"/>
                <w:b/>
                <w:bCs/>
                <w:color w:val="000000"/>
                <w:sz w:val="20"/>
                <w:szCs w:val="20"/>
                <w:lang w:eastAsia="pt-BR" w:bidi="ar-SA"/>
              </w:rPr>
              <w:t>Grau de Exposição</w:t>
            </w:r>
            <w:r w:rsidRPr="00252D7B">
              <w:rPr>
                <w:rFonts w:asciiTheme="minorHAnsi" w:eastAsia="Times New Roman" w:hAnsiTheme="minorHAnsi" w:cstheme="minorHAnsi"/>
                <w:b/>
                <w:bCs/>
                <w:color w:val="000000"/>
                <w:sz w:val="20"/>
                <w:szCs w:val="20"/>
                <w:lang w:eastAsia="pt-BR" w:bidi="ar-SA"/>
              </w:rPr>
              <w:br/>
              <w:t>(Nível de Risco)</w:t>
            </w:r>
          </w:p>
        </w:tc>
        <w:tc>
          <w:tcPr>
            <w:tcW w:w="38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AB4B8F7" w14:textId="77777777" w:rsidR="005E3702" w:rsidRPr="00252D7B" w:rsidRDefault="005E3702" w:rsidP="00E03684">
            <w:pPr>
              <w:widowControl/>
              <w:autoSpaceDE/>
              <w:autoSpaceDN/>
              <w:jc w:val="center"/>
              <w:rPr>
                <w:rFonts w:asciiTheme="minorHAnsi" w:eastAsia="Times New Roman" w:hAnsiTheme="minorHAnsi" w:cstheme="minorHAnsi"/>
                <w:b/>
                <w:bCs/>
                <w:color w:val="000000"/>
                <w:sz w:val="20"/>
                <w:szCs w:val="20"/>
                <w:lang w:eastAsia="pt-BR" w:bidi="ar-SA"/>
              </w:rPr>
            </w:pPr>
            <w:r w:rsidRPr="00252D7B">
              <w:rPr>
                <w:rFonts w:asciiTheme="minorHAnsi" w:eastAsia="Times New Roman" w:hAnsiTheme="minorHAnsi" w:cstheme="minorHAnsi"/>
                <w:b/>
                <w:bCs/>
                <w:color w:val="000000"/>
                <w:sz w:val="20"/>
                <w:szCs w:val="20"/>
                <w:lang w:eastAsia="pt-BR" w:bidi="ar-SA"/>
              </w:rPr>
              <w:t>Planos de Tratamento dos eventos de riscos</w:t>
            </w:r>
          </w:p>
        </w:tc>
      </w:tr>
      <w:tr w:rsidR="005E3702" w:rsidRPr="00252D7B" w14:paraId="316AF51D" w14:textId="77777777" w:rsidTr="00E03684">
        <w:trPr>
          <w:gridAfter w:val="1"/>
          <w:wAfter w:w="160" w:type="dxa"/>
          <w:trHeight w:val="510"/>
          <w:tblHeader/>
        </w:trPr>
        <w:tc>
          <w:tcPr>
            <w:tcW w:w="1555"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301224F8" w14:textId="77777777" w:rsidR="005E3702" w:rsidRPr="00252D7B" w:rsidRDefault="005E3702" w:rsidP="00E03684">
            <w:pPr>
              <w:widowControl/>
              <w:autoSpaceDE/>
              <w:autoSpaceDN/>
              <w:rPr>
                <w:rFonts w:asciiTheme="minorHAnsi" w:eastAsia="Times New Roman" w:hAnsiTheme="minorHAnsi" w:cstheme="minorHAnsi"/>
                <w:b/>
                <w:bCs/>
                <w:color w:val="000000"/>
                <w:sz w:val="20"/>
                <w:szCs w:val="20"/>
                <w:lang w:eastAsia="pt-BR" w:bidi="ar-SA"/>
              </w:rPr>
            </w:pPr>
          </w:p>
        </w:tc>
        <w:tc>
          <w:tcPr>
            <w:tcW w:w="164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210E0B" w14:textId="77777777" w:rsidR="005E3702" w:rsidRPr="00252D7B" w:rsidRDefault="005E3702" w:rsidP="00E03684">
            <w:pPr>
              <w:widowControl/>
              <w:autoSpaceDE/>
              <w:autoSpaceDN/>
              <w:rPr>
                <w:rFonts w:asciiTheme="minorHAnsi" w:eastAsia="Times New Roman" w:hAnsiTheme="minorHAnsi" w:cstheme="minorHAnsi"/>
                <w:b/>
                <w:bCs/>
                <w:color w:val="000000"/>
                <w:sz w:val="20"/>
                <w:szCs w:val="20"/>
                <w:lang w:eastAsia="pt-BR" w:bidi="ar-SA"/>
              </w:rPr>
            </w:pPr>
          </w:p>
        </w:tc>
        <w:tc>
          <w:tcPr>
            <w:tcW w:w="204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248E91" w14:textId="77777777" w:rsidR="005E3702" w:rsidRPr="00252D7B" w:rsidRDefault="005E3702" w:rsidP="00E03684">
            <w:pPr>
              <w:widowControl/>
              <w:autoSpaceDE/>
              <w:autoSpaceDN/>
              <w:rPr>
                <w:rFonts w:asciiTheme="minorHAnsi" w:eastAsia="Times New Roman" w:hAnsiTheme="minorHAnsi" w:cstheme="minorHAnsi"/>
                <w:b/>
                <w:bCs/>
                <w:color w:val="000000"/>
                <w:sz w:val="20"/>
                <w:szCs w:val="20"/>
                <w:lang w:eastAsia="pt-BR" w:bidi="ar-SA"/>
              </w:rPr>
            </w:pPr>
          </w:p>
        </w:tc>
        <w:tc>
          <w:tcPr>
            <w:tcW w:w="100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7E30F6" w14:textId="77777777" w:rsidR="005E3702" w:rsidRPr="00252D7B" w:rsidRDefault="005E3702" w:rsidP="00E03684">
            <w:pPr>
              <w:widowControl/>
              <w:autoSpaceDE/>
              <w:autoSpaceDN/>
              <w:rPr>
                <w:rFonts w:asciiTheme="minorHAnsi" w:eastAsia="Times New Roman" w:hAnsiTheme="minorHAnsi" w:cstheme="minorHAnsi"/>
                <w:b/>
                <w:bCs/>
                <w:color w:val="000000"/>
                <w:sz w:val="20"/>
                <w:szCs w:val="20"/>
                <w:lang w:eastAsia="pt-BR" w:bidi="ar-SA"/>
              </w:rPr>
            </w:pPr>
          </w:p>
        </w:tc>
        <w:tc>
          <w:tcPr>
            <w:tcW w:w="3827"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B291081" w14:textId="77777777" w:rsidR="005E3702" w:rsidRPr="00252D7B" w:rsidRDefault="005E3702" w:rsidP="00E03684">
            <w:pPr>
              <w:widowControl/>
              <w:autoSpaceDE/>
              <w:autoSpaceDN/>
              <w:jc w:val="center"/>
              <w:rPr>
                <w:rFonts w:asciiTheme="minorHAnsi" w:eastAsia="Times New Roman" w:hAnsiTheme="minorHAnsi" w:cstheme="minorHAnsi"/>
                <w:b/>
                <w:bCs/>
                <w:color w:val="000000"/>
                <w:sz w:val="20"/>
                <w:szCs w:val="20"/>
                <w:lang w:eastAsia="pt-BR" w:bidi="ar-SA"/>
              </w:rPr>
            </w:pPr>
            <w:r w:rsidRPr="00252D7B">
              <w:rPr>
                <w:rFonts w:asciiTheme="minorHAnsi" w:eastAsia="Times New Roman" w:hAnsiTheme="minorHAnsi" w:cstheme="minorHAnsi"/>
                <w:b/>
                <w:bCs/>
                <w:color w:val="000000"/>
                <w:sz w:val="20"/>
                <w:szCs w:val="20"/>
                <w:lang w:eastAsia="pt-BR" w:bidi="ar-SA"/>
              </w:rPr>
              <w:t>Ações de implementação</w:t>
            </w:r>
          </w:p>
        </w:tc>
      </w:tr>
      <w:tr w:rsidR="005E3702" w:rsidRPr="00252D7B" w14:paraId="191AFF63" w14:textId="77777777" w:rsidTr="00B426C1">
        <w:trPr>
          <w:trHeight w:val="70"/>
          <w:tblHeader/>
        </w:trPr>
        <w:tc>
          <w:tcPr>
            <w:tcW w:w="1555"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F4A219D"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164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F87A33"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204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74BB3D"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100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3FDC4A"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3827"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DF2E783"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160" w:type="dxa"/>
            <w:tcBorders>
              <w:top w:val="nil"/>
              <w:left w:val="nil"/>
              <w:bottom w:val="nil"/>
              <w:right w:val="nil"/>
            </w:tcBorders>
            <w:shd w:val="clear" w:color="auto" w:fill="auto"/>
            <w:noWrap/>
            <w:vAlign w:val="bottom"/>
            <w:hideMark/>
          </w:tcPr>
          <w:p w14:paraId="2AA86442" w14:textId="77777777" w:rsidR="005E3702" w:rsidRPr="00252D7B" w:rsidRDefault="005E3702" w:rsidP="00E03684">
            <w:pPr>
              <w:widowControl/>
              <w:autoSpaceDE/>
              <w:autoSpaceDN/>
              <w:jc w:val="center"/>
              <w:rPr>
                <w:rFonts w:asciiTheme="minorHAnsi" w:eastAsia="Times New Roman" w:hAnsiTheme="minorHAnsi" w:cstheme="minorHAnsi"/>
                <w:color w:val="000000"/>
                <w:sz w:val="20"/>
                <w:szCs w:val="20"/>
                <w:lang w:eastAsia="pt-BR" w:bidi="ar-SA"/>
              </w:rPr>
            </w:pPr>
          </w:p>
        </w:tc>
      </w:tr>
      <w:tr w:rsidR="005E3702" w:rsidRPr="00252D7B" w14:paraId="33BF2D57" w14:textId="77777777" w:rsidTr="00E03684">
        <w:trPr>
          <w:trHeight w:val="1065"/>
        </w:trPr>
        <w:tc>
          <w:tcPr>
            <w:tcW w:w="1555" w:type="dxa"/>
            <w:vMerge w:val="restart"/>
            <w:tcBorders>
              <w:top w:val="nil"/>
              <w:left w:val="single" w:sz="4" w:space="0" w:color="auto"/>
              <w:bottom w:val="single" w:sz="4" w:space="0" w:color="000000"/>
              <w:right w:val="single" w:sz="4" w:space="0" w:color="auto"/>
            </w:tcBorders>
            <w:shd w:val="clear" w:color="auto" w:fill="auto"/>
            <w:vAlign w:val="center"/>
            <w:hideMark/>
          </w:tcPr>
          <w:p w14:paraId="3BC4306A" w14:textId="77777777" w:rsidR="005E3702" w:rsidRPr="00252D7B" w:rsidRDefault="005E3702" w:rsidP="00E03684">
            <w:pPr>
              <w:widowControl/>
              <w:autoSpaceDE/>
              <w:autoSpaceDN/>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Risco 1 - Orçamento Insuficiente</w:t>
            </w:r>
          </w:p>
        </w:tc>
        <w:tc>
          <w:tcPr>
            <w:tcW w:w="1645" w:type="dxa"/>
            <w:vMerge w:val="restart"/>
            <w:tcBorders>
              <w:top w:val="nil"/>
              <w:left w:val="single" w:sz="4" w:space="0" w:color="auto"/>
              <w:bottom w:val="single" w:sz="4" w:space="0" w:color="auto"/>
              <w:right w:val="single" w:sz="4" w:space="0" w:color="auto"/>
            </w:tcBorders>
            <w:shd w:val="clear" w:color="auto" w:fill="auto"/>
            <w:vAlign w:val="center"/>
            <w:hideMark/>
          </w:tcPr>
          <w:p w14:paraId="708215DE" w14:textId="77777777" w:rsidR="005E3702" w:rsidRPr="00252D7B" w:rsidRDefault="005E3702" w:rsidP="00E03684">
            <w:pPr>
              <w:widowControl/>
              <w:autoSpaceDE/>
              <w:autoSpaceDN/>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Contratos de Obras da FIOL</w:t>
            </w:r>
            <w:r w:rsidRPr="00252D7B">
              <w:rPr>
                <w:rFonts w:asciiTheme="minorHAnsi" w:eastAsia="Times New Roman" w:hAnsiTheme="minorHAnsi" w:cstheme="minorHAnsi"/>
                <w:color w:val="000000"/>
                <w:sz w:val="20"/>
                <w:szCs w:val="20"/>
                <w:lang w:eastAsia="pt-BR" w:bidi="ar-SA"/>
              </w:rPr>
              <w:br/>
            </w:r>
            <w:r w:rsidRPr="00252D7B">
              <w:rPr>
                <w:rFonts w:asciiTheme="minorHAnsi" w:eastAsia="Times New Roman" w:hAnsiTheme="minorHAnsi" w:cstheme="minorHAnsi"/>
                <w:color w:val="000000"/>
                <w:sz w:val="20"/>
                <w:szCs w:val="20"/>
                <w:lang w:eastAsia="pt-BR" w:bidi="ar-SA"/>
              </w:rPr>
              <w:br/>
            </w:r>
            <w:r w:rsidRPr="00252D7B">
              <w:rPr>
                <w:rFonts w:asciiTheme="minorHAnsi" w:eastAsia="Times New Roman" w:hAnsiTheme="minorHAnsi" w:cstheme="minorHAnsi"/>
                <w:color w:val="000000"/>
                <w:sz w:val="20"/>
                <w:szCs w:val="20"/>
                <w:lang w:eastAsia="pt-BR" w:bidi="ar-SA"/>
              </w:rPr>
              <w:br/>
            </w:r>
            <w:r w:rsidRPr="00252D7B">
              <w:rPr>
                <w:rFonts w:asciiTheme="minorHAnsi" w:eastAsia="Times New Roman" w:hAnsiTheme="minorHAnsi" w:cstheme="minorHAnsi"/>
                <w:color w:val="000000"/>
                <w:sz w:val="20"/>
                <w:szCs w:val="20"/>
                <w:lang w:eastAsia="pt-BR" w:bidi="ar-SA"/>
              </w:rPr>
              <w:br/>
            </w:r>
            <w:r w:rsidRPr="00252D7B">
              <w:rPr>
                <w:rFonts w:asciiTheme="minorHAnsi" w:eastAsia="Times New Roman" w:hAnsiTheme="minorHAnsi" w:cstheme="minorHAnsi"/>
                <w:color w:val="000000"/>
                <w:sz w:val="20"/>
                <w:szCs w:val="20"/>
                <w:lang w:eastAsia="pt-BR" w:bidi="ar-SA"/>
              </w:rPr>
              <w:br/>
            </w:r>
            <w:r w:rsidRPr="00252D7B">
              <w:rPr>
                <w:rFonts w:asciiTheme="minorHAnsi" w:eastAsia="Times New Roman" w:hAnsiTheme="minorHAnsi" w:cstheme="minorHAnsi"/>
                <w:color w:val="000000"/>
                <w:sz w:val="20"/>
                <w:szCs w:val="20"/>
                <w:lang w:eastAsia="pt-BR" w:bidi="ar-SA"/>
              </w:rPr>
              <w:br/>
              <w:t>Contratos de engenharia consultiva para a FICO e FIOL</w:t>
            </w:r>
          </w:p>
        </w:tc>
        <w:tc>
          <w:tcPr>
            <w:tcW w:w="2040" w:type="dxa"/>
            <w:vMerge w:val="restart"/>
            <w:tcBorders>
              <w:top w:val="nil"/>
              <w:left w:val="single" w:sz="4" w:space="0" w:color="auto"/>
              <w:bottom w:val="single" w:sz="4" w:space="0" w:color="auto"/>
              <w:right w:val="single" w:sz="4" w:space="0" w:color="auto"/>
            </w:tcBorders>
            <w:shd w:val="clear" w:color="auto" w:fill="auto"/>
            <w:vAlign w:val="center"/>
            <w:hideMark/>
          </w:tcPr>
          <w:p w14:paraId="498DCACD" w14:textId="77777777" w:rsidR="005E3702" w:rsidRPr="00252D7B" w:rsidRDefault="005E3702" w:rsidP="00E03684">
            <w:pPr>
              <w:widowControl/>
              <w:autoSpaceDE/>
              <w:autoSpaceDN/>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a) Falta de orçamento suficiente na LOA para cumprimento das metas de execução física da FIOL</w:t>
            </w:r>
          </w:p>
          <w:p w14:paraId="5FA9FCB4" w14:textId="77777777" w:rsidR="005E3702" w:rsidRPr="00252D7B" w:rsidRDefault="005E3702" w:rsidP="00E03684">
            <w:pPr>
              <w:widowControl/>
              <w:autoSpaceDE/>
              <w:autoSpaceDN/>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br/>
              <w:t>b) Planejamento inadequado das obras</w:t>
            </w:r>
          </w:p>
        </w:tc>
        <w:tc>
          <w:tcPr>
            <w:tcW w:w="1004" w:type="dxa"/>
            <w:vMerge w:val="restart"/>
            <w:tcBorders>
              <w:top w:val="nil"/>
              <w:left w:val="single" w:sz="4" w:space="0" w:color="auto"/>
              <w:bottom w:val="single" w:sz="4" w:space="0" w:color="auto"/>
              <w:right w:val="single" w:sz="4" w:space="0" w:color="auto"/>
            </w:tcBorders>
            <w:shd w:val="clear" w:color="000000" w:fill="FFFFFF"/>
            <w:vAlign w:val="center"/>
            <w:hideMark/>
          </w:tcPr>
          <w:p w14:paraId="17506441" w14:textId="77777777" w:rsidR="005E3702" w:rsidRPr="00252D7B" w:rsidRDefault="005E3702" w:rsidP="00E03684">
            <w:pPr>
              <w:widowControl/>
              <w:autoSpaceDE/>
              <w:autoSpaceDN/>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Extremo -</w:t>
            </w:r>
            <w:r w:rsidRPr="00252D7B">
              <w:rPr>
                <w:rFonts w:asciiTheme="minorHAnsi" w:eastAsia="Times New Roman" w:hAnsiTheme="minorHAnsi" w:cstheme="minorHAnsi"/>
                <w:color w:val="000000"/>
                <w:sz w:val="20"/>
                <w:szCs w:val="20"/>
                <w:lang w:eastAsia="pt-BR" w:bidi="ar-SA"/>
              </w:rPr>
              <w:br/>
              <w:t xml:space="preserve"> 80</w:t>
            </w:r>
          </w:p>
        </w:tc>
        <w:tc>
          <w:tcPr>
            <w:tcW w:w="3827" w:type="dxa"/>
            <w:tcBorders>
              <w:top w:val="nil"/>
              <w:left w:val="nil"/>
              <w:bottom w:val="single" w:sz="4" w:space="0" w:color="auto"/>
              <w:right w:val="single" w:sz="4" w:space="0" w:color="auto"/>
            </w:tcBorders>
            <w:shd w:val="clear" w:color="auto" w:fill="auto"/>
            <w:vAlign w:val="center"/>
            <w:hideMark/>
          </w:tcPr>
          <w:p w14:paraId="0222C372" w14:textId="77777777" w:rsidR="005E3702" w:rsidRPr="00252D7B" w:rsidRDefault="005E3702" w:rsidP="00E03684">
            <w:pPr>
              <w:widowControl/>
              <w:autoSpaceDE/>
              <w:autoSpaceDN/>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Elaboração da Política de Planejamento de Obras (perenização de procedimentos)</w:t>
            </w:r>
          </w:p>
        </w:tc>
        <w:tc>
          <w:tcPr>
            <w:tcW w:w="160" w:type="dxa"/>
            <w:vAlign w:val="center"/>
            <w:hideMark/>
          </w:tcPr>
          <w:p w14:paraId="0AB097E0" w14:textId="77777777" w:rsidR="005E3702" w:rsidRPr="00252D7B" w:rsidRDefault="005E3702" w:rsidP="00E03684">
            <w:pPr>
              <w:widowControl/>
              <w:autoSpaceDE/>
              <w:autoSpaceDN/>
              <w:rPr>
                <w:rFonts w:asciiTheme="minorHAnsi" w:eastAsia="Times New Roman" w:hAnsiTheme="minorHAnsi" w:cstheme="minorHAnsi"/>
                <w:sz w:val="20"/>
                <w:szCs w:val="20"/>
                <w:lang w:eastAsia="pt-BR" w:bidi="ar-SA"/>
              </w:rPr>
            </w:pPr>
          </w:p>
        </w:tc>
      </w:tr>
      <w:tr w:rsidR="005E3702" w:rsidRPr="00252D7B" w14:paraId="2854B1E5" w14:textId="77777777" w:rsidTr="00E03684">
        <w:trPr>
          <w:trHeight w:val="1020"/>
        </w:trPr>
        <w:tc>
          <w:tcPr>
            <w:tcW w:w="1555" w:type="dxa"/>
            <w:vMerge/>
            <w:tcBorders>
              <w:top w:val="nil"/>
              <w:left w:val="single" w:sz="4" w:space="0" w:color="auto"/>
              <w:bottom w:val="single" w:sz="4" w:space="0" w:color="000000"/>
              <w:right w:val="single" w:sz="4" w:space="0" w:color="auto"/>
            </w:tcBorders>
            <w:vAlign w:val="center"/>
            <w:hideMark/>
          </w:tcPr>
          <w:p w14:paraId="483B3F95"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1645" w:type="dxa"/>
            <w:vMerge/>
            <w:tcBorders>
              <w:top w:val="nil"/>
              <w:left w:val="single" w:sz="4" w:space="0" w:color="auto"/>
              <w:bottom w:val="single" w:sz="4" w:space="0" w:color="auto"/>
              <w:right w:val="single" w:sz="4" w:space="0" w:color="auto"/>
            </w:tcBorders>
            <w:vAlign w:val="center"/>
            <w:hideMark/>
          </w:tcPr>
          <w:p w14:paraId="240311AF"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2040" w:type="dxa"/>
            <w:vMerge/>
            <w:tcBorders>
              <w:top w:val="nil"/>
              <w:left w:val="single" w:sz="4" w:space="0" w:color="auto"/>
              <w:bottom w:val="single" w:sz="4" w:space="0" w:color="auto"/>
              <w:right w:val="single" w:sz="4" w:space="0" w:color="auto"/>
            </w:tcBorders>
            <w:vAlign w:val="center"/>
            <w:hideMark/>
          </w:tcPr>
          <w:p w14:paraId="24CA1A94"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1004" w:type="dxa"/>
            <w:vMerge/>
            <w:tcBorders>
              <w:top w:val="nil"/>
              <w:left w:val="single" w:sz="4" w:space="0" w:color="auto"/>
              <w:bottom w:val="single" w:sz="4" w:space="0" w:color="auto"/>
              <w:right w:val="single" w:sz="4" w:space="0" w:color="auto"/>
            </w:tcBorders>
            <w:vAlign w:val="center"/>
            <w:hideMark/>
          </w:tcPr>
          <w:p w14:paraId="786A557C"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3827" w:type="dxa"/>
            <w:tcBorders>
              <w:top w:val="nil"/>
              <w:left w:val="nil"/>
              <w:bottom w:val="single" w:sz="4" w:space="0" w:color="auto"/>
              <w:right w:val="single" w:sz="4" w:space="0" w:color="auto"/>
            </w:tcBorders>
            <w:shd w:val="clear" w:color="auto" w:fill="auto"/>
            <w:vAlign w:val="center"/>
            <w:hideMark/>
          </w:tcPr>
          <w:p w14:paraId="225E7F51" w14:textId="77777777" w:rsidR="005E3702" w:rsidRPr="00252D7B" w:rsidRDefault="005E3702" w:rsidP="00E03684">
            <w:pPr>
              <w:widowControl/>
              <w:autoSpaceDE/>
              <w:autoSpaceDN/>
              <w:jc w:val="both"/>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Elaboração de Indicadores de Riscos para controle e monitoramento da execução físico-financeira das obras</w:t>
            </w:r>
          </w:p>
        </w:tc>
        <w:tc>
          <w:tcPr>
            <w:tcW w:w="160" w:type="dxa"/>
            <w:vAlign w:val="center"/>
            <w:hideMark/>
          </w:tcPr>
          <w:p w14:paraId="1E471747" w14:textId="77777777" w:rsidR="005E3702" w:rsidRPr="00252D7B" w:rsidRDefault="005E3702" w:rsidP="00E03684">
            <w:pPr>
              <w:widowControl/>
              <w:autoSpaceDE/>
              <w:autoSpaceDN/>
              <w:rPr>
                <w:rFonts w:asciiTheme="minorHAnsi" w:eastAsia="Times New Roman" w:hAnsiTheme="minorHAnsi" w:cstheme="minorHAnsi"/>
                <w:sz w:val="20"/>
                <w:szCs w:val="20"/>
                <w:lang w:eastAsia="pt-BR" w:bidi="ar-SA"/>
              </w:rPr>
            </w:pPr>
          </w:p>
        </w:tc>
      </w:tr>
      <w:tr w:rsidR="005E3702" w:rsidRPr="00252D7B" w14:paraId="0417B774" w14:textId="77777777" w:rsidTr="00E03684">
        <w:trPr>
          <w:trHeight w:val="1035"/>
        </w:trPr>
        <w:tc>
          <w:tcPr>
            <w:tcW w:w="1555" w:type="dxa"/>
            <w:vMerge/>
            <w:tcBorders>
              <w:top w:val="nil"/>
              <w:left w:val="single" w:sz="4" w:space="0" w:color="auto"/>
              <w:bottom w:val="single" w:sz="4" w:space="0" w:color="000000"/>
              <w:right w:val="single" w:sz="4" w:space="0" w:color="auto"/>
            </w:tcBorders>
            <w:vAlign w:val="center"/>
            <w:hideMark/>
          </w:tcPr>
          <w:p w14:paraId="54397362"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1645" w:type="dxa"/>
            <w:vMerge/>
            <w:tcBorders>
              <w:top w:val="nil"/>
              <w:left w:val="single" w:sz="4" w:space="0" w:color="auto"/>
              <w:bottom w:val="single" w:sz="4" w:space="0" w:color="auto"/>
              <w:right w:val="single" w:sz="4" w:space="0" w:color="auto"/>
            </w:tcBorders>
            <w:vAlign w:val="center"/>
            <w:hideMark/>
          </w:tcPr>
          <w:p w14:paraId="3B0C6499"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2040" w:type="dxa"/>
            <w:vMerge/>
            <w:tcBorders>
              <w:top w:val="nil"/>
              <w:left w:val="single" w:sz="4" w:space="0" w:color="auto"/>
              <w:bottom w:val="single" w:sz="4" w:space="0" w:color="auto"/>
              <w:right w:val="single" w:sz="4" w:space="0" w:color="auto"/>
            </w:tcBorders>
            <w:vAlign w:val="center"/>
            <w:hideMark/>
          </w:tcPr>
          <w:p w14:paraId="657C0DEF"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1004" w:type="dxa"/>
            <w:vMerge/>
            <w:tcBorders>
              <w:top w:val="nil"/>
              <w:left w:val="single" w:sz="4" w:space="0" w:color="auto"/>
              <w:bottom w:val="single" w:sz="4" w:space="0" w:color="auto"/>
              <w:right w:val="single" w:sz="4" w:space="0" w:color="auto"/>
            </w:tcBorders>
            <w:vAlign w:val="center"/>
            <w:hideMark/>
          </w:tcPr>
          <w:p w14:paraId="632F672F"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3827" w:type="dxa"/>
            <w:tcBorders>
              <w:top w:val="nil"/>
              <w:left w:val="nil"/>
              <w:bottom w:val="single" w:sz="4" w:space="0" w:color="auto"/>
              <w:right w:val="single" w:sz="4" w:space="0" w:color="auto"/>
            </w:tcBorders>
            <w:shd w:val="clear" w:color="auto" w:fill="auto"/>
            <w:vAlign w:val="center"/>
            <w:hideMark/>
          </w:tcPr>
          <w:p w14:paraId="2C965C5A" w14:textId="77777777" w:rsidR="005E3702" w:rsidRPr="00252D7B" w:rsidRDefault="005E3702" w:rsidP="00E03684">
            <w:pPr>
              <w:widowControl/>
              <w:autoSpaceDE/>
              <w:autoSpaceDN/>
              <w:jc w:val="both"/>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Atualização do conjunto de normativos administrativos</w:t>
            </w:r>
          </w:p>
        </w:tc>
        <w:tc>
          <w:tcPr>
            <w:tcW w:w="160" w:type="dxa"/>
            <w:vAlign w:val="center"/>
            <w:hideMark/>
          </w:tcPr>
          <w:p w14:paraId="1F61C037" w14:textId="77777777" w:rsidR="005E3702" w:rsidRPr="00252D7B" w:rsidRDefault="005E3702" w:rsidP="00E03684">
            <w:pPr>
              <w:widowControl/>
              <w:autoSpaceDE/>
              <w:autoSpaceDN/>
              <w:rPr>
                <w:rFonts w:asciiTheme="minorHAnsi" w:eastAsia="Times New Roman" w:hAnsiTheme="minorHAnsi" w:cstheme="minorHAnsi"/>
                <w:sz w:val="20"/>
                <w:szCs w:val="20"/>
                <w:lang w:eastAsia="pt-BR" w:bidi="ar-SA"/>
              </w:rPr>
            </w:pPr>
          </w:p>
        </w:tc>
      </w:tr>
      <w:tr w:rsidR="005E3702" w:rsidRPr="00252D7B" w14:paraId="6C10A098" w14:textId="77777777" w:rsidTr="00E03684">
        <w:trPr>
          <w:trHeight w:val="1260"/>
        </w:trPr>
        <w:tc>
          <w:tcPr>
            <w:tcW w:w="1555" w:type="dxa"/>
            <w:vMerge/>
            <w:tcBorders>
              <w:top w:val="nil"/>
              <w:left w:val="single" w:sz="4" w:space="0" w:color="auto"/>
              <w:bottom w:val="single" w:sz="4" w:space="0" w:color="000000"/>
              <w:right w:val="single" w:sz="4" w:space="0" w:color="auto"/>
            </w:tcBorders>
            <w:vAlign w:val="center"/>
            <w:hideMark/>
          </w:tcPr>
          <w:p w14:paraId="1CE59CD5"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1645" w:type="dxa"/>
            <w:vMerge/>
            <w:tcBorders>
              <w:top w:val="nil"/>
              <w:left w:val="single" w:sz="4" w:space="0" w:color="auto"/>
              <w:bottom w:val="single" w:sz="4" w:space="0" w:color="auto"/>
              <w:right w:val="single" w:sz="4" w:space="0" w:color="auto"/>
            </w:tcBorders>
            <w:vAlign w:val="center"/>
            <w:hideMark/>
          </w:tcPr>
          <w:p w14:paraId="2FBE59FE"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2040" w:type="dxa"/>
            <w:vMerge/>
            <w:tcBorders>
              <w:top w:val="nil"/>
              <w:left w:val="single" w:sz="4" w:space="0" w:color="auto"/>
              <w:bottom w:val="single" w:sz="4" w:space="0" w:color="auto"/>
              <w:right w:val="single" w:sz="4" w:space="0" w:color="auto"/>
            </w:tcBorders>
            <w:vAlign w:val="center"/>
            <w:hideMark/>
          </w:tcPr>
          <w:p w14:paraId="348F2B1C"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1004" w:type="dxa"/>
            <w:vMerge/>
            <w:tcBorders>
              <w:top w:val="nil"/>
              <w:left w:val="single" w:sz="4" w:space="0" w:color="auto"/>
              <w:bottom w:val="single" w:sz="4" w:space="0" w:color="auto"/>
              <w:right w:val="single" w:sz="4" w:space="0" w:color="auto"/>
            </w:tcBorders>
            <w:vAlign w:val="center"/>
            <w:hideMark/>
          </w:tcPr>
          <w:p w14:paraId="73758FBC"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3827" w:type="dxa"/>
            <w:tcBorders>
              <w:top w:val="nil"/>
              <w:left w:val="nil"/>
              <w:bottom w:val="single" w:sz="4" w:space="0" w:color="auto"/>
              <w:right w:val="single" w:sz="4" w:space="0" w:color="auto"/>
            </w:tcBorders>
            <w:shd w:val="clear" w:color="auto" w:fill="auto"/>
            <w:vAlign w:val="center"/>
            <w:hideMark/>
          </w:tcPr>
          <w:p w14:paraId="001812D7" w14:textId="77777777" w:rsidR="005E3702" w:rsidRPr="00252D7B" w:rsidRDefault="005E3702" w:rsidP="00E03684">
            <w:pPr>
              <w:widowControl/>
              <w:autoSpaceDE/>
              <w:autoSpaceDN/>
              <w:jc w:val="both"/>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Conformidade, avaliação do processo e normativos relacionados com os trabalhos da equipe de planejamento de obras (procedimento)</w:t>
            </w:r>
          </w:p>
        </w:tc>
        <w:tc>
          <w:tcPr>
            <w:tcW w:w="160" w:type="dxa"/>
            <w:vAlign w:val="center"/>
            <w:hideMark/>
          </w:tcPr>
          <w:p w14:paraId="3697792E" w14:textId="77777777" w:rsidR="005E3702" w:rsidRPr="00252D7B" w:rsidRDefault="005E3702" w:rsidP="00E03684">
            <w:pPr>
              <w:widowControl/>
              <w:autoSpaceDE/>
              <w:autoSpaceDN/>
              <w:rPr>
                <w:rFonts w:asciiTheme="minorHAnsi" w:eastAsia="Times New Roman" w:hAnsiTheme="minorHAnsi" w:cstheme="minorHAnsi"/>
                <w:sz w:val="20"/>
                <w:szCs w:val="20"/>
                <w:lang w:eastAsia="pt-BR" w:bidi="ar-SA"/>
              </w:rPr>
            </w:pPr>
          </w:p>
        </w:tc>
      </w:tr>
      <w:tr w:rsidR="005E3702" w:rsidRPr="00252D7B" w14:paraId="54E06472" w14:textId="77777777" w:rsidTr="00E03684">
        <w:trPr>
          <w:trHeight w:val="1920"/>
        </w:trPr>
        <w:tc>
          <w:tcPr>
            <w:tcW w:w="1555" w:type="dxa"/>
            <w:vMerge/>
            <w:tcBorders>
              <w:top w:val="nil"/>
              <w:left w:val="single" w:sz="4" w:space="0" w:color="auto"/>
              <w:bottom w:val="single" w:sz="4" w:space="0" w:color="000000"/>
              <w:right w:val="single" w:sz="4" w:space="0" w:color="auto"/>
            </w:tcBorders>
            <w:vAlign w:val="center"/>
            <w:hideMark/>
          </w:tcPr>
          <w:p w14:paraId="54EDC840"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1645" w:type="dxa"/>
            <w:vMerge/>
            <w:tcBorders>
              <w:top w:val="nil"/>
              <w:left w:val="single" w:sz="4" w:space="0" w:color="auto"/>
              <w:bottom w:val="single" w:sz="4" w:space="0" w:color="auto"/>
              <w:right w:val="single" w:sz="4" w:space="0" w:color="auto"/>
            </w:tcBorders>
            <w:vAlign w:val="center"/>
            <w:hideMark/>
          </w:tcPr>
          <w:p w14:paraId="412821C8"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2040" w:type="dxa"/>
            <w:tcBorders>
              <w:top w:val="nil"/>
              <w:left w:val="nil"/>
              <w:bottom w:val="single" w:sz="4" w:space="0" w:color="auto"/>
              <w:right w:val="single" w:sz="4" w:space="0" w:color="auto"/>
            </w:tcBorders>
            <w:shd w:val="clear" w:color="auto" w:fill="auto"/>
            <w:vAlign w:val="center"/>
            <w:hideMark/>
          </w:tcPr>
          <w:p w14:paraId="3BA4CA07" w14:textId="77777777" w:rsidR="005E3702" w:rsidRPr="00252D7B" w:rsidRDefault="005E3702" w:rsidP="00E03684">
            <w:pPr>
              <w:widowControl/>
              <w:autoSpaceDE/>
              <w:autoSpaceDN/>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a) Gestão da execução orçamentária ineficiente</w:t>
            </w:r>
          </w:p>
        </w:tc>
        <w:tc>
          <w:tcPr>
            <w:tcW w:w="1004" w:type="dxa"/>
            <w:vMerge/>
            <w:tcBorders>
              <w:top w:val="nil"/>
              <w:left w:val="single" w:sz="4" w:space="0" w:color="auto"/>
              <w:bottom w:val="single" w:sz="4" w:space="0" w:color="auto"/>
              <w:right w:val="single" w:sz="4" w:space="0" w:color="auto"/>
            </w:tcBorders>
            <w:vAlign w:val="center"/>
            <w:hideMark/>
          </w:tcPr>
          <w:p w14:paraId="3BE73640"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3827" w:type="dxa"/>
            <w:tcBorders>
              <w:top w:val="nil"/>
              <w:left w:val="nil"/>
              <w:bottom w:val="single" w:sz="4" w:space="0" w:color="auto"/>
              <w:right w:val="single" w:sz="4" w:space="0" w:color="auto"/>
            </w:tcBorders>
            <w:shd w:val="clear" w:color="auto" w:fill="auto"/>
            <w:vAlign w:val="center"/>
            <w:hideMark/>
          </w:tcPr>
          <w:p w14:paraId="30190892" w14:textId="77777777" w:rsidR="005E3702" w:rsidRPr="00252D7B" w:rsidRDefault="005E3702" w:rsidP="00E03684">
            <w:pPr>
              <w:widowControl/>
              <w:autoSpaceDE/>
              <w:autoSpaceDN/>
              <w:jc w:val="both"/>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Avaliação dos indicadores orçamentários da DIRAF/SUPOF</w:t>
            </w:r>
            <w:r w:rsidRPr="00252D7B">
              <w:rPr>
                <w:rFonts w:asciiTheme="minorHAnsi" w:eastAsia="Times New Roman" w:hAnsiTheme="minorHAnsi" w:cstheme="minorHAnsi"/>
                <w:color w:val="000000"/>
                <w:sz w:val="20"/>
                <w:szCs w:val="20"/>
                <w:lang w:eastAsia="pt-BR" w:bidi="ar-SA"/>
              </w:rPr>
              <w:br/>
              <w:t>Avaliação dos indicadores orçamentários de obras constantes no Relatório Integridade de Obras da DIREM/SUDEM</w:t>
            </w:r>
            <w:r w:rsidRPr="00252D7B">
              <w:rPr>
                <w:rFonts w:asciiTheme="minorHAnsi" w:eastAsia="Times New Roman" w:hAnsiTheme="minorHAnsi" w:cstheme="minorHAnsi"/>
                <w:color w:val="000000"/>
                <w:sz w:val="20"/>
                <w:szCs w:val="20"/>
                <w:lang w:eastAsia="pt-BR" w:bidi="ar-SA"/>
              </w:rPr>
              <w:br/>
              <w:t xml:space="preserve">Criação de sala de situação com PRESI, DIRAF, DINEG e DIREM para tomada de decisão com base na avaliação dos indicadores </w:t>
            </w:r>
          </w:p>
        </w:tc>
        <w:tc>
          <w:tcPr>
            <w:tcW w:w="160" w:type="dxa"/>
            <w:vAlign w:val="center"/>
            <w:hideMark/>
          </w:tcPr>
          <w:p w14:paraId="4B6AA247" w14:textId="77777777" w:rsidR="005E3702" w:rsidRPr="00252D7B" w:rsidRDefault="005E3702" w:rsidP="00E03684">
            <w:pPr>
              <w:widowControl/>
              <w:autoSpaceDE/>
              <w:autoSpaceDN/>
              <w:rPr>
                <w:rFonts w:asciiTheme="minorHAnsi" w:eastAsia="Times New Roman" w:hAnsiTheme="minorHAnsi" w:cstheme="minorHAnsi"/>
                <w:sz w:val="20"/>
                <w:szCs w:val="20"/>
                <w:lang w:eastAsia="pt-BR" w:bidi="ar-SA"/>
              </w:rPr>
            </w:pPr>
          </w:p>
        </w:tc>
      </w:tr>
      <w:tr w:rsidR="005E3702" w:rsidRPr="00252D7B" w14:paraId="71DADD8B" w14:textId="77777777" w:rsidTr="00E03684">
        <w:trPr>
          <w:trHeight w:val="960"/>
        </w:trPr>
        <w:tc>
          <w:tcPr>
            <w:tcW w:w="1555" w:type="dxa"/>
            <w:vMerge/>
            <w:tcBorders>
              <w:top w:val="nil"/>
              <w:left w:val="single" w:sz="4" w:space="0" w:color="auto"/>
              <w:bottom w:val="single" w:sz="4" w:space="0" w:color="000000"/>
              <w:right w:val="single" w:sz="4" w:space="0" w:color="auto"/>
            </w:tcBorders>
            <w:vAlign w:val="center"/>
            <w:hideMark/>
          </w:tcPr>
          <w:p w14:paraId="3F7A3D69"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1645" w:type="dxa"/>
            <w:vMerge/>
            <w:tcBorders>
              <w:top w:val="nil"/>
              <w:left w:val="single" w:sz="4" w:space="0" w:color="auto"/>
              <w:bottom w:val="single" w:sz="4" w:space="0" w:color="auto"/>
              <w:right w:val="single" w:sz="4" w:space="0" w:color="auto"/>
            </w:tcBorders>
            <w:vAlign w:val="center"/>
            <w:hideMark/>
          </w:tcPr>
          <w:p w14:paraId="4F92B05F"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2040" w:type="dxa"/>
            <w:tcBorders>
              <w:top w:val="nil"/>
              <w:left w:val="nil"/>
              <w:bottom w:val="single" w:sz="4" w:space="0" w:color="auto"/>
              <w:right w:val="single" w:sz="4" w:space="0" w:color="auto"/>
            </w:tcBorders>
            <w:shd w:val="clear" w:color="auto" w:fill="auto"/>
            <w:noWrap/>
            <w:vAlign w:val="center"/>
            <w:hideMark/>
          </w:tcPr>
          <w:p w14:paraId="49851470" w14:textId="77777777" w:rsidR="005E3702" w:rsidRPr="00252D7B" w:rsidRDefault="005E3702" w:rsidP="00E03684">
            <w:pPr>
              <w:widowControl/>
              <w:autoSpaceDE/>
              <w:autoSpaceDN/>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a) Corte orçamentário</w:t>
            </w:r>
          </w:p>
        </w:tc>
        <w:tc>
          <w:tcPr>
            <w:tcW w:w="1004" w:type="dxa"/>
            <w:vMerge/>
            <w:tcBorders>
              <w:top w:val="nil"/>
              <w:left w:val="single" w:sz="4" w:space="0" w:color="auto"/>
              <w:bottom w:val="single" w:sz="4" w:space="0" w:color="auto"/>
              <w:right w:val="single" w:sz="4" w:space="0" w:color="auto"/>
            </w:tcBorders>
            <w:vAlign w:val="center"/>
            <w:hideMark/>
          </w:tcPr>
          <w:p w14:paraId="116DE40F"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3827" w:type="dxa"/>
            <w:tcBorders>
              <w:top w:val="nil"/>
              <w:left w:val="nil"/>
              <w:bottom w:val="single" w:sz="4" w:space="0" w:color="auto"/>
              <w:right w:val="single" w:sz="4" w:space="0" w:color="auto"/>
            </w:tcBorders>
            <w:shd w:val="clear" w:color="auto" w:fill="auto"/>
            <w:vAlign w:val="center"/>
            <w:hideMark/>
          </w:tcPr>
          <w:p w14:paraId="3FD2BEFC" w14:textId="77777777" w:rsidR="005E3702" w:rsidRPr="00252D7B" w:rsidRDefault="005E3702" w:rsidP="00E03684">
            <w:pPr>
              <w:widowControl/>
              <w:autoSpaceDE/>
              <w:autoSpaceDN/>
              <w:jc w:val="both"/>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 xml:space="preserve">Execução do plano de atuação institucional </w:t>
            </w:r>
          </w:p>
        </w:tc>
        <w:tc>
          <w:tcPr>
            <w:tcW w:w="160" w:type="dxa"/>
            <w:vAlign w:val="center"/>
            <w:hideMark/>
          </w:tcPr>
          <w:p w14:paraId="12F5917B" w14:textId="77777777" w:rsidR="005E3702" w:rsidRPr="00252D7B" w:rsidRDefault="005E3702" w:rsidP="00E03684">
            <w:pPr>
              <w:widowControl/>
              <w:autoSpaceDE/>
              <w:autoSpaceDN/>
              <w:rPr>
                <w:rFonts w:asciiTheme="minorHAnsi" w:eastAsia="Times New Roman" w:hAnsiTheme="minorHAnsi" w:cstheme="minorHAnsi"/>
                <w:sz w:val="20"/>
                <w:szCs w:val="20"/>
                <w:lang w:eastAsia="pt-BR" w:bidi="ar-SA"/>
              </w:rPr>
            </w:pPr>
          </w:p>
        </w:tc>
      </w:tr>
      <w:tr w:rsidR="005E3702" w:rsidRPr="00252D7B" w14:paraId="3F7FE130" w14:textId="77777777" w:rsidTr="00E03684">
        <w:trPr>
          <w:trHeight w:val="1275"/>
        </w:trPr>
        <w:tc>
          <w:tcPr>
            <w:tcW w:w="1555" w:type="dxa"/>
            <w:vMerge w:val="restart"/>
            <w:tcBorders>
              <w:top w:val="nil"/>
              <w:left w:val="single" w:sz="4" w:space="0" w:color="auto"/>
              <w:bottom w:val="single" w:sz="4" w:space="0" w:color="000000"/>
              <w:right w:val="single" w:sz="4" w:space="0" w:color="auto"/>
            </w:tcBorders>
            <w:shd w:val="clear" w:color="auto" w:fill="auto"/>
            <w:vAlign w:val="center"/>
            <w:hideMark/>
          </w:tcPr>
          <w:p w14:paraId="747210BC" w14:textId="77777777" w:rsidR="005E3702" w:rsidRPr="00252D7B" w:rsidRDefault="005E3702" w:rsidP="00E03684">
            <w:pPr>
              <w:widowControl/>
              <w:autoSpaceDE/>
              <w:autoSpaceDN/>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 xml:space="preserve">Risco 02 - Licitações anuladas, desertas, </w:t>
            </w:r>
            <w:r w:rsidRPr="00252D7B">
              <w:rPr>
                <w:rFonts w:asciiTheme="minorHAnsi" w:eastAsia="Times New Roman" w:hAnsiTheme="minorHAnsi" w:cstheme="minorHAnsi"/>
                <w:color w:val="000000"/>
                <w:sz w:val="20"/>
                <w:szCs w:val="20"/>
                <w:lang w:eastAsia="pt-BR" w:bidi="ar-SA"/>
              </w:rPr>
              <w:lastRenderedPageBreak/>
              <w:t>suspensas ou fracassadas</w:t>
            </w:r>
          </w:p>
        </w:tc>
        <w:tc>
          <w:tcPr>
            <w:tcW w:w="1645" w:type="dxa"/>
            <w:vMerge w:val="restart"/>
            <w:tcBorders>
              <w:top w:val="nil"/>
              <w:left w:val="single" w:sz="4" w:space="0" w:color="auto"/>
              <w:bottom w:val="single" w:sz="4" w:space="0" w:color="000000"/>
              <w:right w:val="single" w:sz="4" w:space="0" w:color="auto"/>
            </w:tcBorders>
            <w:shd w:val="clear" w:color="auto" w:fill="auto"/>
            <w:vAlign w:val="center"/>
            <w:hideMark/>
          </w:tcPr>
          <w:p w14:paraId="56F8E439" w14:textId="77777777" w:rsidR="005E3702" w:rsidRPr="00252D7B" w:rsidRDefault="005E3702" w:rsidP="00E03684">
            <w:pPr>
              <w:widowControl/>
              <w:autoSpaceDE/>
              <w:autoSpaceDN/>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lastRenderedPageBreak/>
              <w:t>Contratos de obras da FIOL e termos aditivos</w:t>
            </w:r>
            <w:r w:rsidRPr="00252D7B">
              <w:rPr>
                <w:rFonts w:asciiTheme="minorHAnsi" w:eastAsia="Times New Roman" w:hAnsiTheme="minorHAnsi" w:cstheme="minorHAnsi"/>
                <w:color w:val="000000"/>
                <w:sz w:val="20"/>
                <w:szCs w:val="20"/>
                <w:lang w:eastAsia="pt-BR" w:bidi="ar-SA"/>
              </w:rPr>
              <w:br/>
            </w:r>
            <w:r w:rsidRPr="00252D7B">
              <w:rPr>
                <w:rFonts w:asciiTheme="minorHAnsi" w:eastAsia="Times New Roman" w:hAnsiTheme="minorHAnsi" w:cstheme="minorHAnsi"/>
                <w:color w:val="000000"/>
                <w:sz w:val="20"/>
                <w:szCs w:val="20"/>
                <w:lang w:eastAsia="pt-BR" w:bidi="ar-SA"/>
              </w:rPr>
              <w:br/>
              <w:t xml:space="preserve">Contratos de </w:t>
            </w:r>
            <w:r w:rsidRPr="00252D7B">
              <w:rPr>
                <w:rFonts w:asciiTheme="minorHAnsi" w:eastAsia="Times New Roman" w:hAnsiTheme="minorHAnsi" w:cstheme="minorHAnsi"/>
                <w:color w:val="000000"/>
                <w:sz w:val="20"/>
                <w:szCs w:val="20"/>
                <w:lang w:eastAsia="pt-BR" w:bidi="ar-SA"/>
              </w:rPr>
              <w:lastRenderedPageBreak/>
              <w:t>engenharia consultiva para a FICO e FIOL</w:t>
            </w:r>
          </w:p>
        </w:tc>
        <w:tc>
          <w:tcPr>
            <w:tcW w:w="2040" w:type="dxa"/>
            <w:vMerge w:val="restart"/>
            <w:tcBorders>
              <w:top w:val="nil"/>
              <w:left w:val="single" w:sz="4" w:space="0" w:color="auto"/>
              <w:bottom w:val="single" w:sz="4" w:space="0" w:color="000000"/>
              <w:right w:val="single" w:sz="4" w:space="0" w:color="auto"/>
            </w:tcBorders>
            <w:shd w:val="clear" w:color="auto" w:fill="auto"/>
            <w:vAlign w:val="center"/>
            <w:hideMark/>
          </w:tcPr>
          <w:p w14:paraId="25583626" w14:textId="77777777" w:rsidR="005E3702" w:rsidRPr="00252D7B" w:rsidRDefault="005E3702" w:rsidP="00E03684">
            <w:pPr>
              <w:widowControl/>
              <w:autoSpaceDE/>
              <w:autoSpaceDN/>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lastRenderedPageBreak/>
              <w:t xml:space="preserve">a) Empresas com registros irregulares </w:t>
            </w:r>
            <w:r w:rsidRPr="00252D7B">
              <w:rPr>
                <w:rFonts w:asciiTheme="minorHAnsi" w:eastAsia="Times New Roman" w:hAnsiTheme="minorHAnsi" w:cstheme="minorHAnsi"/>
                <w:color w:val="000000"/>
                <w:sz w:val="20"/>
                <w:szCs w:val="20"/>
                <w:lang w:eastAsia="pt-BR" w:bidi="ar-SA"/>
              </w:rPr>
              <w:br/>
            </w:r>
            <w:r w:rsidRPr="00252D7B">
              <w:rPr>
                <w:rFonts w:asciiTheme="minorHAnsi" w:eastAsia="Times New Roman" w:hAnsiTheme="minorHAnsi" w:cstheme="minorHAnsi"/>
                <w:color w:val="000000"/>
                <w:sz w:val="20"/>
                <w:szCs w:val="20"/>
                <w:lang w:eastAsia="pt-BR" w:bidi="ar-SA"/>
              </w:rPr>
              <w:br/>
              <w:t xml:space="preserve">b) Judicialização </w:t>
            </w:r>
          </w:p>
        </w:tc>
        <w:tc>
          <w:tcPr>
            <w:tcW w:w="100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42228AB" w14:textId="77777777" w:rsidR="005E3702" w:rsidRPr="00252D7B" w:rsidRDefault="005E3702" w:rsidP="00E03684">
            <w:pPr>
              <w:widowControl/>
              <w:autoSpaceDE/>
              <w:autoSpaceDN/>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Alto - 64</w:t>
            </w:r>
          </w:p>
        </w:tc>
        <w:tc>
          <w:tcPr>
            <w:tcW w:w="3827" w:type="dxa"/>
            <w:tcBorders>
              <w:top w:val="nil"/>
              <w:left w:val="nil"/>
              <w:bottom w:val="single" w:sz="4" w:space="0" w:color="auto"/>
              <w:right w:val="single" w:sz="4" w:space="0" w:color="auto"/>
            </w:tcBorders>
            <w:shd w:val="clear" w:color="auto" w:fill="auto"/>
            <w:vAlign w:val="center"/>
            <w:hideMark/>
          </w:tcPr>
          <w:p w14:paraId="6D7F124B"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 xml:space="preserve">Conformidade na avaliação das empresas nas licitações e termos aditivos e </w:t>
            </w:r>
            <w:r w:rsidRPr="00252D7B">
              <w:rPr>
                <w:rFonts w:asciiTheme="minorHAnsi" w:eastAsia="Times New Roman" w:hAnsiTheme="minorHAnsi" w:cstheme="minorHAnsi"/>
                <w:color w:val="000000"/>
                <w:sz w:val="20"/>
                <w:szCs w:val="20"/>
                <w:lang w:eastAsia="pt-BR" w:bidi="ar-SA"/>
              </w:rPr>
              <w:br/>
            </w:r>
            <w:r w:rsidRPr="00252D7B">
              <w:rPr>
                <w:rFonts w:asciiTheme="minorHAnsi" w:eastAsia="Times New Roman" w:hAnsiTheme="minorHAnsi" w:cstheme="minorHAnsi"/>
                <w:i/>
                <w:iCs/>
                <w:color w:val="000000"/>
                <w:sz w:val="20"/>
                <w:szCs w:val="20"/>
                <w:lang w:eastAsia="pt-BR" w:bidi="ar-SA"/>
              </w:rPr>
              <w:t>check-lists</w:t>
            </w:r>
          </w:p>
        </w:tc>
        <w:tc>
          <w:tcPr>
            <w:tcW w:w="160" w:type="dxa"/>
            <w:vAlign w:val="center"/>
            <w:hideMark/>
          </w:tcPr>
          <w:p w14:paraId="3EEDAFD9" w14:textId="77777777" w:rsidR="005E3702" w:rsidRPr="00252D7B" w:rsidRDefault="005E3702" w:rsidP="00E03684">
            <w:pPr>
              <w:widowControl/>
              <w:autoSpaceDE/>
              <w:autoSpaceDN/>
              <w:rPr>
                <w:rFonts w:asciiTheme="minorHAnsi" w:eastAsia="Times New Roman" w:hAnsiTheme="minorHAnsi" w:cstheme="minorHAnsi"/>
                <w:sz w:val="20"/>
                <w:szCs w:val="20"/>
                <w:lang w:eastAsia="pt-BR" w:bidi="ar-SA"/>
              </w:rPr>
            </w:pPr>
          </w:p>
        </w:tc>
      </w:tr>
      <w:tr w:rsidR="005E3702" w:rsidRPr="00252D7B" w14:paraId="59D3C331" w14:textId="77777777" w:rsidTr="00E03684">
        <w:trPr>
          <w:trHeight w:val="1170"/>
        </w:trPr>
        <w:tc>
          <w:tcPr>
            <w:tcW w:w="1555" w:type="dxa"/>
            <w:vMerge/>
            <w:tcBorders>
              <w:top w:val="nil"/>
              <w:left w:val="single" w:sz="4" w:space="0" w:color="auto"/>
              <w:bottom w:val="single" w:sz="4" w:space="0" w:color="000000"/>
              <w:right w:val="single" w:sz="4" w:space="0" w:color="auto"/>
            </w:tcBorders>
            <w:vAlign w:val="center"/>
            <w:hideMark/>
          </w:tcPr>
          <w:p w14:paraId="27EEC19C"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1645" w:type="dxa"/>
            <w:vMerge/>
            <w:tcBorders>
              <w:top w:val="nil"/>
              <w:left w:val="single" w:sz="4" w:space="0" w:color="auto"/>
              <w:bottom w:val="single" w:sz="4" w:space="0" w:color="000000"/>
              <w:right w:val="single" w:sz="4" w:space="0" w:color="auto"/>
            </w:tcBorders>
            <w:vAlign w:val="center"/>
            <w:hideMark/>
          </w:tcPr>
          <w:p w14:paraId="0D8648FA"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2040" w:type="dxa"/>
            <w:vMerge/>
            <w:tcBorders>
              <w:top w:val="nil"/>
              <w:left w:val="single" w:sz="4" w:space="0" w:color="auto"/>
              <w:bottom w:val="single" w:sz="4" w:space="0" w:color="000000"/>
              <w:right w:val="single" w:sz="4" w:space="0" w:color="auto"/>
            </w:tcBorders>
            <w:vAlign w:val="center"/>
            <w:hideMark/>
          </w:tcPr>
          <w:p w14:paraId="73AA6759"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1004" w:type="dxa"/>
            <w:vMerge/>
            <w:tcBorders>
              <w:top w:val="nil"/>
              <w:left w:val="single" w:sz="4" w:space="0" w:color="auto"/>
              <w:bottom w:val="single" w:sz="4" w:space="0" w:color="000000"/>
              <w:right w:val="single" w:sz="4" w:space="0" w:color="auto"/>
            </w:tcBorders>
            <w:vAlign w:val="center"/>
            <w:hideMark/>
          </w:tcPr>
          <w:p w14:paraId="6B4BBAF0"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3827" w:type="dxa"/>
            <w:tcBorders>
              <w:top w:val="nil"/>
              <w:left w:val="nil"/>
              <w:bottom w:val="single" w:sz="4" w:space="0" w:color="auto"/>
              <w:right w:val="single" w:sz="4" w:space="0" w:color="auto"/>
            </w:tcBorders>
            <w:shd w:val="clear" w:color="auto" w:fill="auto"/>
            <w:vAlign w:val="center"/>
            <w:hideMark/>
          </w:tcPr>
          <w:p w14:paraId="534F81E5"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Ciclo de Lições Aprendidas</w:t>
            </w:r>
          </w:p>
        </w:tc>
        <w:tc>
          <w:tcPr>
            <w:tcW w:w="160" w:type="dxa"/>
            <w:vAlign w:val="center"/>
            <w:hideMark/>
          </w:tcPr>
          <w:p w14:paraId="2C372002" w14:textId="77777777" w:rsidR="005E3702" w:rsidRPr="00252D7B" w:rsidRDefault="005E3702" w:rsidP="00E03684">
            <w:pPr>
              <w:widowControl/>
              <w:autoSpaceDE/>
              <w:autoSpaceDN/>
              <w:rPr>
                <w:rFonts w:asciiTheme="minorHAnsi" w:eastAsia="Times New Roman" w:hAnsiTheme="minorHAnsi" w:cstheme="minorHAnsi"/>
                <w:sz w:val="20"/>
                <w:szCs w:val="20"/>
                <w:lang w:eastAsia="pt-BR" w:bidi="ar-SA"/>
              </w:rPr>
            </w:pPr>
          </w:p>
        </w:tc>
      </w:tr>
      <w:tr w:rsidR="005E3702" w:rsidRPr="00252D7B" w14:paraId="3EE1A48B" w14:textId="77777777" w:rsidTr="00E03684">
        <w:trPr>
          <w:trHeight w:val="780"/>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14:paraId="2BF4202B" w14:textId="77777777" w:rsidR="005E3702" w:rsidRPr="00252D7B" w:rsidRDefault="005E3702" w:rsidP="00E03684">
            <w:pPr>
              <w:widowControl/>
              <w:autoSpaceDE/>
              <w:autoSpaceDN/>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Risco 03 - Não dispor de pessoal qualificado para executar o Plano de Negócios da Valec</w:t>
            </w:r>
          </w:p>
        </w:tc>
        <w:tc>
          <w:tcPr>
            <w:tcW w:w="1645" w:type="dxa"/>
            <w:vMerge w:val="restart"/>
            <w:tcBorders>
              <w:top w:val="nil"/>
              <w:left w:val="single" w:sz="4" w:space="0" w:color="auto"/>
              <w:bottom w:val="single" w:sz="4" w:space="0" w:color="000000"/>
              <w:right w:val="single" w:sz="4" w:space="0" w:color="auto"/>
            </w:tcBorders>
            <w:shd w:val="clear" w:color="auto" w:fill="auto"/>
            <w:vAlign w:val="center"/>
            <w:hideMark/>
          </w:tcPr>
          <w:p w14:paraId="4F82E4A4" w14:textId="77777777" w:rsidR="005E3702" w:rsidRPr="00252D7B" w:rsidRDefault="005E3702" w:rsidP="00E03684">
            <w:pPr>
              <w:widowControl/>
              <w:autoSpaceDE/>
              <w:autoSpaceDN/>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FIOL II</w:t>
            </w:r>
            <w:r w:rsidRPr="00252D7B">
              <w:rPr>
                <w:rFonts w:asciiTheme="minorHAnsi" w:eastAsia="Times New Roman" w:hAnsiTheme="minorHAnsi" w:cstheme="minorHAnsi"/>
                <w:color w:val="000000"/>
                <w:sz w:val="20"/>
                <w:szCs w:val="20"/>
                <w:lang w:eastAsia="pt-BR" w:bidi="ar-SA"/>
              </w:rPr>
              <w:br/>
              <w:t xml:space="preserve">FICO </w:t>
            </w:r>
            <w:r w:rsidRPr="00252D7B">
              <w:rPr>
                <w:rFonts w:asciiTheme="minorHAnsi" w:eastAsia="Times New Roman" w:hAnsiTheme="minorHAnsi" w:cstheme="minorHAnsi"/>
                <w:color w:val="000000"/>
                <w:sz w:val="20"/>
                <w:szCs w:val="20"/>
                <w:lang w:eastAsia="pt-BR" w:bidi="ar-SA"/>
              </w:rPr>
              <w:br/>
              <w:t>Novos negócios</w:t>
            </w:r>
            <w:r w:rsidRPr="00252D7B">
              <w:rPr>
                <w:rFonts w:asciiTheme="minorHAnsi" w:eastAsia="Times New Roman" w:hAnsiTheme="minorHAnsi" w:cstheme="minorHAnsi"/>
                <w:color w:val="000000"/>
                <w:sz w:val="20"/>
                <w:szCs w:val="20"/>
                <w:lang w:eastAsia="pt-BR" w:bidi="ar-SA"/>
              </w:rPr>
              <w:br/>
              <w:t>TLSA</w:t>
            </w:r>
            <w:r w:rsidRPr="00252D7B">
              <w:rPr>
                <w:rFonts w:asciiTheme="minorHAnsi" w:eastAsia="Times New Roman" w:hAnsiTheme="minorHAnsi" w:cstheme="minorHAnsi"/>
                <w:color w:val="000000"/>
                <w:sz w:val="20"/>
                <w:szCs w:val="20"/>
                <w:lang w:eastAsia="pt-BR" w:bidi="ar-SA"/>
              </w:rPr>
              <w:br/>
              <w:t xml:space="preserve">Ingresso econômico das ferrovias </w:t>
            </w:r>
            <w:r w:rsidRPr="00252D7B">
              <w:rPr>
                <w:rFonts w:asciiTheme="minorHAnsi" w:eastAsia="Times New Roman" w:hAnsiTheme="minorHAnsi" w:cstheme="minorHAnsi"/>
                <w:color w:val="000000"/>
                <w:sz w:val="20"/>
                <w:szCs w:val="20"/>
                <w:lang w:eastAsia="pt-BR" w:bidi="ar-SA"/>
              </w:rPr>
              <w:br/>
              <w:t>Integridade</w:t>
            </w:r>
          </w:p>
        </w:tc>
        <w:tc>
          <w:tcPr>
            <w:tcW w:w="2040" w:type="dxa"/>
            <w:vMerge w:val="restart"/>
            <w:tcBorders>
              <w:top w:val="nil"/>
              <w:left w:val="single" w:sz="4" w:space="0" w:color="auto"/>
              <w:bottom w:val="single" w:sz="4" w:space="0" w:color="auto"/>
              <w:right w:val="single" w:sz="4" w:space="0" w:color="auto"/>
            </w:tcBorders>
            <w:shd w:val="clear" w:color="auto" w:fill="auto"/>
            <w:vAlign w:val="center"/>
            <w:hideMark/>
          </w:tcPr>
          <w:p w14:paraId="6B8A4B4E" w14:textId="77777777" w:rsidR="005E3702" w:rsidRPr="00252D7B" w:rsidRDefault="005E3702" w:rsidP="00E03684">
            <w:pPr>
              <w:widowControl/>
              <w:autoSpaceDE/>
              <w:autoSpaceDN/>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a) Empregados não executam algumas atividades fins da empresa, apenas a gestão de contratos de apoio e assessoramento</w:t>
            </w:r>
          </w:p>
        </w:tc>
        <w:tc>
          <w:tcPr>
            <w:tcW w:w="100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377E679" w14:textId="77777777" w:rsidR="005E3702" w:rsidRPr="00252D7B" w:rsidRDefault="005E3702" w:rsidP="00E03684">
            <w:pPr>
              <w:widowControl/>
              <w:autoSpaceDE/>
              <w:autoSpaceDN/>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Extremo - 80</w:t>
            </w:r>
          </w:p>
        </w:tc>
        <w:tc>
          <w:tcPr>
            <w:tcW w:w="3827" w:type="dxa"/>
            <w:tcBorders>
              <w:top w:val="nil"/>
              <w:left w:val="nil"/>
              <w:bottom w:val="single" w:sz="4" w:space="0" w:color="auto"/>
              <w:right w:val="single" w:sz="4" w:space="0" w:color="auto"/>
            </w:tcBorders>
            <w:shd w:val="clear" w:color="auto" w:fill="auto"/>
            <w:vAlign w:val="center"/>
            <w:hideMark/>
          </w:tcPr>
          <w:p w14:paraId="19D1829B" w14:textId="77777777" w:rsidR="005E3702" w:rsidRPr="00252D7B" w:rsidRDefault="005E3702" w:rsidP="00E03684">
            <w:pPr>
              <w:widowControl/>
              <w:autoSpaceDE/>
              <w:autoSpaceDN/>
              <w:jc w:val="both"/>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Análise e adequação do PEA</w:t>
            </w:r>
          </w:p>
        </w:tc>
        <w:tc>
          <w:tcPr>
            <w:tcW w:w="160" w:type="dxa"/>
            <w:vAlign w:val="center"/>
            <w:hideMark/>
          </w:tcPr>
          <w:p w14:paraId="158C3533" w14:textId="77777777" w:rsidR="005E3702" w:rsidRPr="00252D7B" w:rsidRDefault="005E3702" w:rsidP="00E03684">
            <w:pPr>
              <w:widowControl/>
              <w:autoSpaceDE/>
              <w:autoSpaceDN/>
              <w:rPr>
                <w:rFonts w:asciiTheme="minorHAnsi" w:eastAsia="Times New Roman" w:hAnsiTheme="minorHAnsi" w:cstheme="minorHAnsi"/>
                <w:sz w:val="20"/>
                <w:szCs w:val="20"/>
                <w:lang w:eastAsia="pt-BR" w:bidi="ar-SA"/>
              </w:rPr>
            </w:pPr>
          </w:p>
        </w:tc>
      </w:tr>
      <w:tr w:rsidR="005E3702" w:rsidRPr="00252D7B" w14:paraId="54C79ABE" w14:textId="77777777" w:rsidTr="00E03684">
        <w:trPr>
          <w:trHeight w:val="1320"/>
        </w:trPr>
        <w:tc>
          <w:tcPr>
            <w:tcW w:w="1555" w:type="dxa"/>
            <w:vMerge/>
            <w:tcBorders>
              <w:top w:val="nil"/>
              <w:left w:val="single" w:sz="4" w:space="0" w:color="auto"/>
              <w:bottom w:val="single" w:sz="4" w:space="0" w:color="auto"/>
              <w:right w:val="single" w:sz="4" w:space="0" w:color="auto"/>
            </w:tcBorders>
            <w:vAlign w:val="center"/>
            <w:hideMark/>
          </w:tcPr>
          <w:p w14:paraId="7172391E"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1645" w:type="dxa"/>
            <w:vMerge/>
            <w:tcBorders>
              <w:top w:val="nil"/>
              <w:left w:val="single" w:sz="4" w:space="0" w:color="auto"/>
              <w:bottom w:val="single" w:sz="4" w:space="0" w:color="000000"/>
              <w:right w:val="single" w:sz="4" w:space="0" w:color="auto"/>
            </w:tcBorders>
            <w:vAlign w:val="center"/>
            <w:hideMark/>
          </w:tcPr>
          <w:p w14:paraId="46061ED2"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2040" w:type="dxa"/>
            <w:vMerge/>
            <w:tcBorders>
              <w:top w:val="nil"/>
              <w:left w:val="single" w:sz="4" w:space="0" w:color="auto"/>
              <w:bottom w:val="single" w:sz="4" w:space="0" w:color="auto"/>
              <w:right w:val="single" w:sz="4" w:space="0" w:color="auto"/>
            </w:tcBorders>
            <w:vAlign w:val="center"/>
            <w:hideMark/>
          </w:tcPr>
          <w:p w14:paraId="73D93FEB"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1004" w:type="dxa"/>
            <w:vMerge/>
            <w:tcBorders>
              <w:top w:val="nil"/>
              <w:left w:val="single" w:sz="4" w:space="0" w:color="auto"/>
              <w:bottom w:val="single" w:sz="4" w:space="0" w:color="000000"/>
              <w:right w:val="single" w:sz="4" w:space="0" w:color="auto"/>
            </w:tcBorders>
            <w:vAlign w:val="center"/>
            <w:hideMark/>
          </w:tcPr>
          <w:p w14:paraId="70760E35"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3827" w:type="dxa"/>
            <w:tcBorders>
              <w:top w:val="nil"/>
              <w:left w:val="nil"/>
              <w:bottom w:val="single" w:sz="4" w:space="0" w:color="auto"/>
              <w:right w:val="single" w:sz="4" w:space="0" w:color="auto"/>
            </w:tcBorders>
            <w:shd w:val="clear" w:color="auto" w:fill="auto"/>
            <w:vAlign w:val="center"/>
            <w:hideMark/>
          </w:tcPr>
          <w:p w14:paraId="7C0C008F" w14:textId="77777777" w:rsidR="005E3702" w:rsidRPr="00252D7B" w:rsidRDefault="005E3702" w:rsidP="00E03684">
            <w:pPr>
              <w:widowControl/>
              <w:autoSpaceDE/>
              <w:autoSpaceDN/>
              <w:jc w:val="both"/>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Criação de indicadores para verificar a eficácia, eficiência e efetividade das capacitações</w:t>
            </w:r>
          </w:p>
        </w:tc>
        <w:tc>
          <w:tcPr>
            <w:tcW w:w="160" w:type="dxa"/>
            <w:vAlign w:val="center"/>
            <w:hideMark/>
          </w:tcPr>
          <w:p w14:paraId="737E7125" w14:textId="77777777" w:rsidR="005E3702" w:rsidRPr="00252D7B" w:rsidRDefault="005E3702" w:rsidP="00E03684">
            <w:pPr>
              <w:widowControl/>
              <w:autoSpaceDE/>
              <w:autoSpaceDN/>
              <w:rPr>
                <w:rFonts w:asciiTheme="minorHAnsi" w:eastAsia="Times New Roman" w:hAnsiTheme="minorHAnsi" w:cstheme="minorHAnsi"/>
                <w:sz w:val="20"/>
                <w:szCs w:val="20"/>
                <w:lang w:eastAsia="pt-BR" w:bidi="ar-SA"/>
              </w:rPr>
            </w:pPr>
          </w:p>
        </w:tc>
      </w:tr>
      <w:tr w:rsidR="005E3702" w:rsidRPr="00252D7B" w14:paraId="5A029825" w14:textId="77777777" w:rsidTr="00E03684">
        <w:trPr>
          <w:trHeight w:val="930"/>
        </w:trPr>
        <w:tc>
          <w:tcPr>
            <w:tcW w:w="1555" w:type="dxa"/>
            <w:vMerge w:val="restart"/>
            <w:tcBorders>
              <w:top w:val="nil"/>
              <w:left w:val="single" w:sz="4" w:space="0" w:color="auto"/>
              <w:bottom w:val="single" w:sz="4" w:space="0" w:color="000000"/>
              <w:right w:val="single" w:sz="4" w:space="0" w:color="auto"/>
            </w:tcBorders>
            <w:shd w:val="clear" w:color="auto" w:fill="auto"/>
            <w:vAlign w:val="center"/>
            <w:hideMark/>
          </w:tcPr>
          <w:p w14:paraId="08884012" w14:textId="77777777" w:rsidR="005E3702" w:rsidRPr="00252D7B" w:rsidRDefault="005E3702" w:rsidP="00E03684">
            <w:pPr>
              <w:widowControl/>
              <w:autoSpaceDE/>
              <w:autoSpaceDN/>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Risco 04 - Não dispor de projetos adequados no prazo</w:t>
            </w:r>
          </w:p>
        </w:tc>
        <w:tc>
          <w:tcPr>
            <w:tcW w:w="1645" w:type="dxa"/>
            <w:vMerge w:val="restart"/>
            <w:tcBorders>
              <w:top w:val="nil"/>
              <w:left w:val="single" w:sz="4" w:space="0" w:color="auto"/>
              <w:bottom w:val="single" w:sz="4" w:space="0" w:color="000000"/>
              <w:right w:val="single" w:sz="4" w:space="0" w:color="auto"/>
            </w:tcBorders>
            <w:shd w:val="clear" w:color="auto" w:fill="auto"/>
            <w:vAlign w:val="center"/>
            <w:hideMark/>
          </w:tcPr>
          <w:p w14:paraId="6E0EAC3B" w14:textId="77777777" w:rsidR="005E3702" w:rsidRPr="00252D7B" w:rsidRDefault="005E3702" w:rsidP="00E03684">
            <w:pPr>
              <w:widowControl/>
              <w:autoSpaceDE/>
              <w:autoSpaceDN/>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Obras da FIOL</w:t>
            </w:r>
          </w:p>
        </w:tc>
        <w:tc>
          <w:tcPr>
            <w:tcW w:w="2040" w:type="dxa"/>
            <w:vMerge w:val="restart"/>
            <w:tcBorders>
              <w:top w:val="nil"/>
              <w:left w:val="single" w:sz="4" w:space="0" w:color="auto"/>
              <w:bottom w:val="single" w:sz="4" w:space="0" w:color="000000"/>
              <w:right w:val="single" w:sz="4" w:space="0" w:color="auto"/>
            </w:tcBorders>
            <w:shd w:val="clear" w:color="auto" w:fill="auto"/>
            <w:vAlign w:val="center"/>
            <w:hideMark/>
          </w:tcPr>
          <w:p w14:paraId="43F24E64" w14:textId="77777777" w:rsidR="005E3702" w:rsidRPr="00252D7B" w:rsidRDefault="005E3702" w:rsidP="00E03684">
            <w:pPr>
              <w:widowControl/>
              <w:autoSpaceDE/>
              <w:autoSpaceDN/>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a) Processos, fluxos e procedimentos não definidos e consolidados</w:t>
            </w:r>
            <w:r w:rsidRPr="00252D7B">
              <w:rPr>
                <w:rFonts w:asciiTheme="minorHAnsi" w:eastAsia="Times New Roman" w:hAnsiTheme="minorHAnsi" w:cstheme="minorHAnsi"/>
                <w:color w:val="000000"/>
                <w:sz w:val="20"/>
                <w:szCs w:val="20"/>
                <w:lang w:eastAsia="pt-BR" w:bidi="ar-SA"/>
              </w:rPr>
              <w:br/>
            </w:r>
            <w:r w:rsidRPr="00252D7B">
              <w:rPr>
                <w:rFonts w:asciiTheme="minorHAnsi" w:eastAsia="Times New Roman" w:hAnsiTheme="minorHAnsi" w:cstheme="minorHAnsi"/>
                <w:color w:val="000000"/>
                <w:sz w:val="20"/>
                <w:szCs w:val="20"/>
                <w:lang w:eastAsia="pt-BR" w:bidi="ar-SA"/>
              </w:rPr>
              <w:br/>
              <w:t>b) Falta de equipe capacitada para a elaboração de projetos nas diversas disciplinas</w:t>
            </w:r>
          </w:p>
        </w:tc>
        <w:tc>
          <w:tcPr>
            <w:tcW w:w="100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1B62F04" w14:textId="77777777" w:rsidR="005E3702" w:rsidRPr="00252D7B" w:rsidRDefault="005E3702" w:rsidP="00E03684">
            <w:pPr>
              <w:widowControl/>
              <w:autoSpaceDE/>
              <w:autoSpaceDN/>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Alto - 64</w:t>
            </w:r>
          </w:p>
        </w:tc>
        <w:tc>
          <w:tcPr>
            <w:tcW w:w="3827" w:type="dxa"/>
            <w:tcBorders>
              <w:top w:val="nil"/>
              <w:left w:val="nil"/>
              <w:bottom w:val="single" w:sz="4" w:space="0" w:color="auto"/>
              <w:right w:val="single" w:sz="4" w:space="0" w:color="auto"/>
            </w:tcBorders>
            <w:shd w:val="clear" w:color="auto" w:fill="auto"/>
            <w:vAlign w:val="center"/>
            <w:hideMark/>
          </w:tcPr>
          <w:p w14:paraId="05367A62" w14:textId="77777777" w:rsidR="005E3702" w:rsidRPr="00252D7B" w:rsidRDefault="005E3702" w:rsidP="00E03684">
            <w:pPr>
              <w:widowControl/>
              <w:autoSpaceDE/>
              <w:autoSpaceDN/>
              <w:jc w:val="both"/>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Elaboração e normatização dos checklists para avaliação dos documentos na submissão de projetos à SUPRO</w:t>
            </w:r>
          </w:p>
        </w:tc>
        <w:tc>
          <w:tcPr>
            <w:tcW w:w="160" w:type="dxa"/>
            <w:vAlign w:val="center"/>
            <w:hideMark/>
          </w:tcPr>
          <w:p w14:paraId="1601B17C" w14:textId="77777777" w:rsidR="005E3702" w:rsidRPr="00252D7B" w:rsidRDefault="005E3702" w:rsidP="00E03684">
            <w:pPr>
              <w:widowControl/>
              <w:autoSpaceDE/>
              <w:autoSpaceDN/>
              <w:rPr>
                <w:rFonts w:asciiTheme="minorHAnsi" w:eastAsia="Times New Roman" w:hAnsiTheme="minorHAnsi" w:cstheme="minorHAnsi"/>
                <w:sz w:val="20"/>
                <w:szCs w:val="20"/>
                <w:lang w:eastAsia="pt-BR" w:bidi="ar-SA"/>
              </w:rPr>
            </w:pPr>
          </w:p>
        </w:tc>
      </w:tr>
      <w:tr w:rsidR="005E3702" w:rsidRPr="00252D7B" w14:paraId="046F6FB6" w14:textId="77777777" w:rsidTr="00E03684">
        <w:trPr>
          <w:trHeight w:val="1335"/>
        </w:trPr>
        <w:tc>
          <w:tcPr>
            <w:tcW w:w="1555" w:type="dxa"/>
            <w:vMerge/>
            <w:tcBorders>
              <w:top w:val="nil"/>
              <w:left w:val="single" w:sz="4" w:space="0" w:color="auto"/>
              <w:bottom w:val="single" w:sz="4" w:space="0" w:color="000000"/>
              <w:right w:val="single" w:sz="4" w:space="0" w:color="auto"/>
            </w:tcBorders>
            <w:vAlign w:val="center"/>
            <w:hideMark/>
          </w:tcPr>
          <w:p w14:paraId="3093A2D4"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1645" w:type="dxa"/>
            <w:vMerge/>
            <w:tcBorders>
              <w:top w:val="nil"/>
              <w:left w:val="single" w:sz="4" w:space="0" w:color="auto"/>
              <w:bottom w:val="single" w:sz="4" w:space="0" w:color="000000"/>
              <w:right w:val="single" w:sz="4" w:space="0" w:color="auto"/>
            </w:tcBorders>
            <w:vAlign w:val="center"/>
            <w:hideMark/>
          </w:tcPr>
          <w:p w14:paraId="2ADA5B42"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2040" w:type="dxa"/>
            <w:vMerge/>
            <w:tcBorders>
              <w:top w:val="nil"/>
              <w:left w:val="single" w:sz="4" w:space="0" w:color="auto"/>
              <w:bottom w:val="single" w:sz="4" w:space="0" w:color="000000"/>
              <w:right w:val="single" w:sz="4" w:space="0" w:color="auto"/>
            </w:tcBorders>
            <w:vAlign w:val="center"/>
            <w:hideMark/>
          </w:tcPr>
          <w:p w14:paraId="15EBCE51"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1004" w:type="dxa"/>
            <w:vMerge/>
            <w:tcBorders>
              <w:top w:val="nil"/>
              <w:left w:val="single" w:sz="4" w:space="0" w:color="auto"/>
              <w:bottom w:val="single" w:sz="4" w:space="0" w:color="000000"/>
              <w:right w:val="single" w:sz="4" w:space="0" w:color="auto"/>
            </w:tcBorders>
            <w:vAlign w:val="center"/>
            <w:hideMark/>
          </w:tcPr>
          <w:p w14:paraId="1256BD04"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3827" w:type="dxa"/>
            <w:tcBorders>
              <w:top w:val="nil"/>
              <w:left w:val="nil"/>
              <w:bottom w:val="single" w:sz="4" w:space="0" w:color="auto"/>
              <w:right w:val="single" w:sz="4" w:space="0" w:color="auto"/>
            </w:tcBorders>
            <w:shd w:val="clear" w:color="auto" w:fill="auto"/>
            <w:vAlign w:val="center"/>
            <w:hideMark/>
          </w:tcPr>
          <w:p w14:paraId="249DEFC9" w14:textId="15267F92" w:rsidR="005E3702" w:rsidRPr="00252D7B" w:rsidRDefault="005E3702" w:rsidP="00E03684">
            <w:pPr>
              <w:widowControl/>
              <w:autoSpaceDE/>
              <w:autoSpaceDN/>
              <w:jc w:val="both"/>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 xml:space="preserve">Identificação do caminho crítico e riscos de processo </w:t>
            </w:r>
            <w:r w:rsidR="00610C91" w:rsidRPr="00252D7B">
              <w:rPr>
                <w:rFonts w:asciiTheme="minorHAnsi" w:eastAsia="Times New Roman" w:hAnsiTheme="minorHAnsi" w:cstheme="minorHAnsi"/>
                <w:color w:val="000000"/>
                <w:sz w:val="20"/>
                <w:szCs w:val="20"/>
                <w:lang w:eastAsia="pt-BR" w:bidi="ar-SA"/>
              </w:rPr>
              <w:t>por meio</w:t>
            </w:r>
            <w:r w:rsidRPr="00252D7B">
              <w:rPr>
                <w:rFonts w:asciiTheme="minorHAnsi" w:eastAsia="Times New Roman" w:hAnsiTheme="minorHAnsi" w:cstheme="minorHAnsi"/>
                <w:color w:val="000000"/>
                <w:sz w:val="20"/>
                <w:szCs w:val="20"/>
                <w:lang w:eastAsia="pt-BR" w:bidi="ar-SA"/>
              </w:rPr>
              <w:t xml:space="preserve"> do mapeamento do macroprocesso (cadeia de valor), referente à revisão de projeto de engenharia em fase de obra</w:t>
            </w:r>
          </w:p>
        </w:tc>
        <w:tc>
          <w:tcPr>
            <w:tcW w:w="160" w:type="dxa"/>
            <w:vAlign w:val="center"/>
            <w:hideMark/>
          </w:tcPr>
          <w:p w14:paraId="5A04C7BC" w14:textId="77777777" w:rsidR="005E3702" w:rsidRPr="00252D7B" w:rsidRDefault="005E3702" w:rsidP="00E03684">
            <w:pPr>
              <w:widowControl/>
              <w:autoSpaceDE/>
              <w:autoSpaceDN/>
              <w:rPr>
                <w:rFonts w:asciiTheme="minorHAnsi" w:eastAsia="Times New Roman" w:hAnsiTheme="minorHAnsi" w:cstheme="minorHAnsi"/>
                <w:sz w:val="20"/>
                <w:szCs w:val="20"/>
                <w:lang w:eastAsia="pt-BR" w:bidi="ar-SA"/>
              </w:rPr>
            </w:pPr>
          </w:p>
        </w:tc>
      </w:tr>
      <w:tr w:rsidR="005E3702" w:rsidRPr="00252D7B" w14:paraId="5E973AE7" w14:textId="77777777" w:rsidTr="00E03684">
        <w:trPr>
          <w:trHeight w:val="930"/>
        </w:trPr>
        <w:tc>
          <w:tcPr>
            <w:tcW w:w="1555" w:type="dxa"/>
            <w:vMerge/>
            <w:tcBorders>
              <w:top w:val="nil"/>
              <w:left w:val="single" w:sz="4" w:space="0" w:color="auto"/>
              <w:bottom w:val="single" w:sz="4" w:space="0" w:color="000000"/>
              <w:right w:val="single" w:sz="4" w:space="0" w:color="auto"/>
            </w:tcBorders>
            <w:vAlign w:val="center"/>
            <w:hideMark/>
          </w:tcPr>
          <w:p w14:paraId="421D489F"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1645" w:type="dxa"/>
            <w:vMerge/>
            <w:tcBorders>
              <w:top w:val="nil"/>
              <w:left w:val="single" w:sz="4" w:space="0" w:color="auto"/>
              <w:bottom w:val="single" w:sz="4" w:space="0" w:color="000000"/>
              <w:right w:val="single" w:sz="4" w:space="0" w:color="auto"/>
            </w:tcBorders>
            <w:vAlign w:val="center"/>
            <w:hideMark/>
          </w:tcPr>
          <w:p w14:paraId="7877DBBE"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2040" w:type="dxa"/>
            <w:vMerge/>
            <w:tcBorders>
              <w:top w:val="nil"/>
              <w:left w:val="single" w:sz="4" w:space="0" w:color="auto"/>
              <w:bottom w:val="single" w:sz="4" w:space="0" w:color="000000"/>
              <w:right w:val="single" w:sz="4" w:space="0" w:color="auto"/>
            </w:tcBorders>
            <w:vAlign w:val="center"/>
            <w:hideMark/>
          </w:tcPr>
          <w:p w14:paraId="2935FC04"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1004" w:type="dxa"/>
            <w:vMerge/>
            <w:tcBorders>
              <w:top w:val="nil"/>
              <w:left w:val="single" w:sz="4" w:space="0" w:color="auto"/>
              <w:bottom w:val="single" w:sz="4" w:space="0" w:color="000000"/>
              <w:right w:val="single" w:sz="4" w:space="0" w:color="auto"/>
            </w:tcBorders>
            <w:vAlign w:val="center"/>
            <w:hideMark/>
          </w:tcPr>
          <w:p w14:paraId="1711DFD3"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3827" w:type="dxa"/>
            <w:tcBorders>
              <w:top w:val="nil"/>
              <w:left w:val="nil"/>
              <w:bottom w:val="single" w:sz="4" w:space="0" w:color="auto"/>
              <w:right w:val="single" w:sz="4" w:space="0" w:color="auto"/>
            </w:tcBorders>
            <w:shd w:val="clear" w:color="auto" w:fill="auto"/>
            <w:vAlign w:val="center"/>
            <w:hideMark/>
          </w:tcPr>
          <w:p w14:paraId="23C4683D" w14:textId="77777777" w:rsidR="005E3702" w:rsidRPr="00252D7B" w:rsidRDefault="005E3702" w:rsidP="00E03684">
            <w:pPr>
              <w:widowControl/>
              <w:autoSpaceDE/>
              <w:autoSpaceDN/>
              <w:jc w:val="both"/>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Capacitação dos empregados da SUPRO para a gestão das equipes das empresas credenciadas</w:t>
            </w:r>
          </w:p>
        </w:tc>
        <w:tc>
          <w:tcPr>
            <w:tcW w:w="160" w:type="dxa"/>
            <w:vAlign w:val="center"/>
            <w:hideMark/>
          </w:tcPr>
          <w:p w14:paraId="40DFA3AF" w14:textId="77777777" w:rsidR="005E3702" w:rsidRPr="00252D7B" w:rsidRDefault="005E3702" w:rsidP="00E03684">
            <w:pPr>
              <w:widowControl/>
              <w:autoSpaceDE/>
              <w:autoSpaceDN/>
              <w:rPr>
                <w:rFonts w:asciiTheme="minorHAnsi" w:eastAsia="Times New Roman" w:hAnsiTheme="minorHAnsi" w:cstheme="minorHAnsi"/>
                <w:sz w:val="20"/>
                <w:szCs w:val="20"/>
                <w:lang w:eastAsia="pt-BR" w:bidi="ar-SA"/>
              </w:rPr>
            </w:pPr>
          </w:p>
        </w:tc>
      </w:tr>
      <w:tr w:rsidR="005E3702" w:rsidRPr="00252D7B" w14:paraId="13BBF0C2" w14:textId="77777777" w:rsidTr="00A514F0">
        <w:trPr>
          <w:trHeight w:val="3325"/>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ABB90F3" w14:textId="77777777" w:rsidR="005E3702" w:rsidRPr="00252D7B" w:rsidRDefault="005E3702" w:rsidP="00E03684">
            <w:pPr>
              <w:widowControl/>
              <w:autoSpaceDE/>
              <w:autoSpaceDN/>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 xml:space="preserve">Risco 05 - Não ingresso de benefícios econômicos oriundos de subconcessões e outras atividades econômicas da empresa </w:t>
            </w:r>
          </w:p>
        </w:tc>
        <w:tc>
          <w:tcPr>
            <w:tcW w:w="1645" w:type="dxa"/>
            <w:tcBorders>
              <w:top w:val="nil"/>
              <w:left w:val="nil"/>
              <w:bottom w:val="single" w:sz="4" w:space="0" w:color="auto"/>
              <w:right w:val="single" w:sz="4" w:space="0" w:color="auto"/>
            </w:tcBorders>
            <w:shd w:val="clear" w:color="auto" w:fill="auto"/>
            <w:vAlign w:val="center"/>
            <w:hideMark/>
          </w:tcPr>
          <w:p w14:paraId="38B49CBC" w14:textId="77777777" w:rsidR="005E3702" w:rsidRPr="00252D7B" w:rsidRDefault="005E3702" w:rsidP="00E03684">
            <w:pPr>
              <w:widowControl/>
              <w:autoSpaceDE/>
              <w:autoSpaceDN/>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FICO</w:t>
            </w:r>
            <w:r w:rsidRPr="00252D7B">
              <w:rPr>
                <w:rFonts w:asciiTheme="minorHAnsi" w:eastAsia="Times New Roman" w:hAnsiTheme="minorHAnsi" w:cstheme="minorHAnsi"/>
                <w:color w:val="000000"/>
                <w:sz w:val="20"/>
                <w:szCs w:val="20"/>
                <w:lang w:eastAsia="pt-BR" w:bidi="ar-SA"/>
              </w:rPr>
              <w:br/>
              <w:t xml:space="preserve">FIOL I </w:t>
            </w:r>
            <w:r w:rsidRPr="00252D7B">
              <w:rPr>
                <w:rFonts w:asciiTheme="minorHAnsi" w:eastAsia="Times New Roman" w:hAnsiTheme="minorHAnsi" w:cstheme="minorHAnsi"/>
                <w:color w:val="000000"/>
                <w:sz w:val="20"/>
                <w:szCs w:val="20"/>
                <w:lang w:eastAsia="pt-BR" w:bidi="ar-SA"/>
              </w:rPr>
              <w:br/>
              <w:t>Novos empreendimentos</w:t>
            </w:r>
            <w:r w:rsidRPr="00252D7B">
              <w:rPr>
                <w:rFonts w:asciiTheme="minorHAnsi" w:eastAsia="Times New Roman" w:hAnsiTheme="minorHAnsi" w:cstheme="minorHAnsi"/>
                <w:color w:val="000000"/>
                <w:sz w:val="20"/>
                <w:szCs w:val="20"/>
                <w:lang w:eastAsia="pt-BR" w:bidi="ar-SA"/>
              </w:rPr>
              <w:br/>
              <w:t>(Ex: FIOL III e FICO II)</w:t>
            </w:r>
          </w:p>
        </w:tc>
        <w:tc>
          <w:tcPr>
            <w:tcW w:w="2040" w:type="dxa"/>
            <w:tcBorders>
              <w:top w:val="nil"/>
              <w:left w:val="nil"/>
              <w:bottom w:val="single" w:sz="4" w:space="0" w:color="auto"/>
              <w:right w:val="single" w:sz="4" w:space="0" w:color="auto"/>
            </w:tcBorders>
            <w:shd w:val="clear" w:color="auto" w:fill="auto"/>
            <w:vAlign w:val="center"/>
            <w:hideMark/>
          </w:tcPr>
          <w:p w14:paraId="03EDA5B4" w14:textId="77777777" w:rsidR="005E3702" w:rsidRPr="00252D7B" w:rsidRDefault="005E3702" w:rsidP="00E03684">
            <w:pPr>
              <w:widowControl/>
              <w:autoSpaceDE/>
              <w:autoSpaceDN/>
              <w:jc w:val="both"/>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 xml:space="preserve">a) Diretrizes acerca da utilização e destinação dos ativos susceptíveis a mudança no caso de alteração dos ocupantes da Alta Administração </w:t>
            </w:r>
          </w:p>
          <w:p w14:paraId="4EFA8FDB" w14:textId="77777777" w:rsidR="005E3702" w:rsidRPr="00252D7B" w:rsidRDefault="005E3702" w:rsidP="00E03684">
            <w:pPr>
              <w:widowControl/>
              <w:autoSpaceDE/>
              <w:autoSpaceDN/>
              <w:jc w:val="both"/>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br/>
              <w:t>b) Falta de atuação da Valec junto aos agentes externos de forma a assegurar o ingresso econômico dos ativos</w:t>
            </w:r>
          </w:p>
        </w:tc>
        <w:tc>
          <w:tcPr>
            <w:tcW w:w="1004" w:type="dxa"/>
            <w:tcBorders>
              <w:top w:val="nil"/>
              <w:left w:val="nil"/>
              <w:bottom w:val="single" w:sz="4" w:space="0" w:color="auto"/>
              <w:right w:val="single" w:sz="4" w:space="0" w:color="auto"/>
            </w:tcBorders>
            <w:shd w:val="clear" w:color="000000" w:fill="FFFFFF"/>
            <w:noWrap/>
            <w:vAlign w:val="center"/>
            <w:hideMark/>
          </w:tcPr>
          <w:p w14:paraId="7D6D9780" w14:textId="77777777" w:rsidR="005E3702" w:rsidRPr="00252D7B" w:rsidRDefault="005E3702" w:rsidP="00E03684">
            <w:pPr>
              <w:widowControl/>
              <w:autoSpaceDE/>
              <w:autoSpaceDN/>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Médio - 20</w:t>
            </w:r>
          </w:p>
        </w:tc>
        <w:tc>
          <w:tcPr>
            <w:tcW w:w="3827" w:type="dxa"/>
            <w:tcBorders>
              <w:top w:val="nil"/>
              <w:left w:val="nil"/>
              <w:bottom w:val="single" w:sz="4" w:space="0" w:color="auto"/>
              <w:right w:val="single" w:sz="4" w:space="0" w:color="auto"/>
            </w:tcBorders>
            <w:shd w:val="clear" w:color="auto" w:fill="auto"/>
            <w:noWrap/>
            <w:vAlign w:val="center"/>
            <w:hideMark/>
          </w:tcPr>
          <w:p w14:paraId="705A0C9F" w14:textId="77777777" w:rsidR="005E3702" w:rsidRPr="00252D7B" w:rsidRDefault="005E3702" w:rsidP="00E03684">
            <w:pPr>
              <w:widowControl/>
              <w:autoSpaceDE/>
              <w:autoSpaceDN/>
              <w:jc w:val="both"/>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Elaboração da Política Perene de Contabilização dos Ativos</w:t>
            </w:r>
          </w:p>
        </w:tc>
        <w:tc>
          <w:tcPr>
            <w:tcW w:w="160" w:type="dxa"/>
            <w:vAlign w:val="center"/>
            <w:hideMark/>
          </w:tcPr>
          <w:p w14:paraId="49A32B2B" w14:textId="77777777" w:rsidR="005E3702" w:rsidRPr="00252D7B" w:rsidRDefault="005E3702" w:rsidP="00E03684">
            <w:pPr>
              <w:widowControl/>
              <w:autoSpaceDE/>
              <w:autoSpaceDN/>
              <w:rPr>
                <w:rFonts w:asciiTheme="minorHAnsi" w:eastAsia="Times New Roman" w:hAnsiTheme="minorHAnsi" w:cstheme="minorHAnsi"/>
                <w:sz w:val="20"/>
                <w:szCs w:val="20"/>
                <w:lang w:eastAsia="pt-BR" w:bidi="ar-SA"/>
              </w:rPr>
            </w:pPr>
          </w:p>
        </w:tc>
      </w:tr>
      <w:tr w:rsidR="005E3702" w:rsidRPr="00252D7B" w14:paraId="37D990A1" w14:textId="77777777" w:rsidTr="00E03684">
        <w:trPr>
          <w:trHeight w:val="914"/>
        </w:trPr>
        <w:tc>
          <w:tcPr>
            <w:tcW w:w="1555" w:type="dxa"/>
            <w:vMerge w:val="restart"/>
            <w:tcBorders>
              <w:top w:val="nil"/>
              <w:left w:val="single" w:sz="4" w:space="0" w:color="auto"/>
              <w:bottom w:val="single" w:sz="4" w:space="0" w:color="000000"/>
              <w:right w:val="single" w:sz="4" w:space="0" w:color="auto"/>
            </w:tcBorders>
            <w:shd w:val="clear" w:color="auto" w:fill="auto"/>
            <w:vAlign w:val="center"/>
            <w:hideMark/>
          </w:tcPr>
          <w:p w14:paraId="2C0FF7AD" w14:textId="63E2AE1A" w:rsidR="005E3702" w:rsidRPr="00252D7B" w:rsidRDefault="005E3702" w:rsidP="00E03684">
            <w:pPr>
              <w:widowControl/>
              <w:autoSpaceDE/>
              <w:autoSpaceDN/>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 xml:space="preserve">Risco 06 - Alteração de acordo acionista com impacto financeiro à </w:t>
            </w:r>
            <w:r w:rsidR="00610C91" w:rsidRPr="00252D7B">
              <w:rPr>
                <w:rFonts w:asciiTheme="minorHAnsi" w:eastAsia="Times New Roman" w:hAnsiTheme="minorHAnsi" w:cstheme="minorHAnsi"/>
                <w:color w:val="000000"/>
                <w:sz w:val="20"/>
                <w:szCs w:val="20"/>
                <w:lang w:eastAsia="pt-BR" w:bidi="ar-SA"/>
              </w:rPr>
              <w:t>Valec</w:t>
            </w:r>
          </w:p>
        </w:tc>
        <w:tc>
          <w:tcPr>
            <w:tcW w:w="1645" w:type="dxa"/>
            <w:vMerge w:val="restart"/>
            <w:tcBorders>
              <w:top w:val="nil"/>
              <w:left w:val="single" w:sz="4" w:space="0" w:color="auto"/>
              <w:bottom w:val="single" w:sz="4" w:space="0" w:color="000000"/>
              <w:right w:val="single" w:sz="4" w:space="0" w:color="auto"/>
            </w:tcBorders>
            <w:shd w:val="clear" w:color="auto" w:fill="auto"/>
            <w:vAlign w:val="center"/>
            <w:hideMark/>
          </w:tcPr>
          <w:p w14:paraId="7B9D8056" w14:textId="77777777" w:rsidR="005E3702" w:rsidRPr="00252D7B" w:rsidRDefault="005E3702" w:rsidP="00E03684">
            <w:pPr>
              <w:widowControl/>
              <w:autoSpaceDE/>
              <w:autoSpaceDN/>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Ferrovia Transnordestina</w:t>
            </w:r>
          </w:p>
        </w:tc>
        <w:tc>
          <w:tcPr>
            <w:tcW w:w="2040" w:type="dxa"/>
            <w:vMerge w:val="restart"/>
            <w:tcBorders>
              <w:top w:val="nil"/>
              <w:left w:val="single" w:sz="4" w:space="0" w:color="auto"/>
              <w:bottom w:val="single" w:sz="4" w:space="0" w:color="000000"/>
              <w:right w:val="single" w:sz="4" w:space="0" w:color="auto"/>
            </w:tcBorders>
            <w:shd w:val="clear" w:color="auto" w:fill="auto"/>
            <w:vAlign w:val="center"/>
            <w:hideMark/>
          </w:tcPr>
          <w:p w14:paraId="645150EF" w14:textId="77777777" w:rsidR="005E3702" w:rsidRPr="00252D7B" w:rsidRDefault="005E3702" w:rsidP="00E03684">
            <w:pPr>
              <w:widowControl/>
              <w:autoSpaceDE/>
              <w:autoSpaceDN/>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a) Insegurança Jurídica</w:t>
            </w:r>
            <w:r w:rsidRPr="00252D7B">
              <w:rPr>
                <w:rFonts w:asciiTheme="minorHAnsi" w:eastAsia="Times New Roman" w:hAnsiTheme="minorHAnsi" w:cstheme="minorHAnsi"/>
                <w:color w:val="000000"/>
                <w:sz w:val="20"/>
                <w:szCs w:val="20"/>
                <w:lang w:eastAsia="pt-BR" w:bidi="ar-SA"/>
              </w:rPr>
              <w:br/>
              <w:t>b) Ingerência do empreendimento</w:t>
            </w:r>
            <w:r w:rsidRPr="00252D7B">
              <w:rPr>
                <w:rFonts w:asciiTheme="minorHAnsi" w:eastAsia="Times New Roman" w:hAnsiTheme="minorHAnsi" w:cstheme="minorHAnsi"/>
                <w:color w:val="000000"/>
                <w:sz w:val="20"/>
                <w:szCs w:val="20"/>
                <w:lang w:eastAsia="pt-BR" w:bidi="ar-SA"/>
              </w:rPr>
              <w:br/>
              <w:t>c) Atribuições constantes no acordo societário</w:t>
            </w:r>
          </w:p>
        </w:tc>
        <w:tc>
          <w:tcPr>
            <w:tcW w:w="100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E9ADE08" w14:textId="77777777" w:rsidR="005E3702" w:rsidRPr="00252D7B" w:rsidRDefault="005E3702" w:rsidP="00E03684">
            <w:pPr>
              <w:widowControl/>
              <w:autoSpaceDE/>
              <w:autoSpaceDN/>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Alto - 40</w:t>
            </w:r>
          </w:p>
        </w:tc>
        <w:tc>
          <w:tcPr>
            <w:tcW w:w="3827" w:type="dxa"/>
            <w:tcBorders>
              <w:top w:val="nil"/>
              <w:left w:val="nil"/>
              <w:bottom w:val="single" w:sz="4" w:space="0" w:color="auto"/>
              <w:right w:val="single" w:sz="4" w:space="0" w:color="auto"/>
            </w:tcBorders>
            <w:shd w:val="clear" w:color="auto" w:fill="auto"/>
            <w:noWrap/>
            <w:vAlign w:val="center"/>
            <w:hideMark/>
          </w:tcPr>
          <w:p w14:paraId="3644A064" w14:textId="77777777" w:rsidR="005E3702" w:rsidRPr="00252D7B" w:rsidRDefault="005E3702" w:rsidP="00E03684">
            <w:pPr>
              <w:widowControl/>
              <w:autoSpaceDE/>
              <w:autoSpaceDN/>
              <w:jc w:val="both"/>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Alteração do Acordo de Acionistas e Acordo de Investimentos</w:t>
            </w:r>
          </w:p>
        </w:tc>
        <w:tc>
          <w:tcPr>
            <w:tcW w:w="160" w:type="dxa"/>
            <w:vAlign w:val="center"/>
            <w:hideMark/>
          </w:tcPr>
          <w:p w14:paraId="01C9DABF" w14:textId="77777777" w:rsidR="005E3702" w:rsidRPr="00252D7B" w:rsidRDefault="005E3702" w:rsidP="00E03684">
            <w:pPr>
              <w:widowControl/>
              <w:autoSpaceDE/>
              <w:autoSpaceDN/>
              <w:rPr>
                <w:rFonts w:asciiTheme="minorHAnsi" w:eastAsia="Times New Roman" w:hAnsiTheme="minorHAnsi" w:cstheme="minorHAnsi"/>
                <w:sz w:val="20"/>
                <w:szCs w:val="20"/>
                <w:lang w:eastAsia="pt-BR" w:bidi="ar-SA"/>
              </w:rPr>
            </w:pPr>
          </w:p>
        </w:tc>
      </w:tr>
      <w:tr w:rsidR="005E3702" w:rsidRPr="00252D7B" w14:paraId="3D878FBD" w14:textId="77777777" w:rsidTr="00A514F0">
        <w:trPr>
          <w:trHeight w:val="637"/>
        </w:trPr>
        <w:tc>
          <w:tcPr>
            <w:tcW w:w="1555" w:type="dxa"/>
            <w:vMerge/>
            <w:tcBorders>
              <w:top w:val="nil"/>
              <w:left w:val="single" w:sz="4" w:space="0" w:color="auto"/>
              <w:bottom w:val="single" w:sz="4" w:space="0" w:color="000000"/>
              <w:right w:val="single" w:sz="4" w:space="0" w:color="auto"/>
            </w:tcBorders>
            <w:vAlign w:val="center"/>
            <w:hideMark/>
          </w:tcPr>
          <w:p w14:paraId="308E2FA8"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1645" w:type="dxa"/>
            <w:vMerge/>
            <w:tcBorders>
              <w:top w:val="nil"/>
              <w:left w:val="single" w:sz="4" w:space="0" w:color="auto"/>
              <w:bottom w:val="single" w:sz="4" w:space="0" w:color="000000"/>
              <w:right w:val="single" w:sz="4" w:space="0" w:color="auto"/>
            </w:tcBorders>
            <w:vAlign w:val="center"/>
            <w:hideMark/>
          </w:tcPr>
          <w:p w14:paraId="59C70F3B"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2040" w:type="dxa"/>
            <w:vMerge/>
            <w:tcBorders>
              <w:top w:val="nil"/>
              <w:left w:val="single" w:sz="4" w:space="0" w:color="auto"/>
              <w:bottom w:val="single" w:sz="4" w:space="0" w:color="000000"/>
              <w:right w:val="single" w:sz="4" w:space="0" w:color="auto"/>
            </w:tcBorders>
            <w:vAlign w:val="center"/>
            <w:hideMark/>
          </w:tcPr>
          <w:p w14:paraId="44A0240C"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1004" w:type="dxa"/>
            <w:vMerge/>
            <w:tcBorders>
              <w:top w:val="nil"/>
              <w:left w:val="single" w:sz="4" w:space="0" w:color="auto"/>
              <w:bottom w:val="single" w:sz="4" w:space="0" w:color="000000"/>
              <w:right w:val="single" w:sz="4" w:space="0" w:color="auto"/>
            </w:tcBorders>
            <w:vAlign w:val="center"/>
            <w:hideMark/>
          </w:tcPr>
          <w:p w14:paraId="4E93C37D"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3827" w:type="dxa"/>
            <w:tcBorders>
              <w:top w:val="nil"/>
              <w:left w:val="nil"/>
              <w:bottom w:val="single" w:sz="4" w:space="0" w:color="auto"/>
              <w:right w:val="single" w:sz="4" w:space="0" w:color="auto"/>
            </w:tcBorders>
            <w:shd w:val="clear" w:color="auto" w:fill="auto"/>
            <w:noWrap/>
            <w:vAlign w:val="center"/>
            <w:hideMark/>
          </w:tcPr>
          <w:p w14:paraId="15BF782A" w14:textId="77777777" w:rsidR="005E3702" w:rsidRPr="00252D7B" w:rsidRDefault="005E3702" w:rsidP="00E03684">
            <w:pPr>
              <w:widowControl/>
              <w:autoSpaceDE/>
              <w:autoSpaceDN/>
              <w:jc w:val="both"/>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Definição de alternativas viáveis do empreendimento</w:t>
            </w:r>
          </w:p>
        </w:tc>
        <w:tc>
          <w:tcPr>
            <w:tcW w:w="160" w:type="dxa"/>
            <w:vAlign w:val="center"/>
            <w:hideMark/>
          </w:tcPr>
          <w:p w14:paraId="6D71B05B" w14:textId="77777777" w:rsidR="005E3702" w:rsidRPr="00252D7B" w:rsidRDefault="005E3702" w:rsidP="00E03684">
            <w:pPr>
              <w:widowControl/>
              <w:autoSpaceDE/>
              <w:autoSpaceDN/>
              <w:rPr>
                <w:rFonts w:asciiTheme="minorHAnsi" w:eastAsia="Times New Roman" w:hAnsiTheme="minorHAnsi" w:cstheme="minorHAnsi"/>
                <w:sz w:val="20"/>
                <w:szCs w:val="20"/>
                <w:lang w:eastAsia="pt-BR" w:bidi="ar-SA"/>
              </w:rPr>
            </w:pPr>
          </w:p>
        </w:tc>
      </w:tr>
      <w:tr w:rsidR="005E3702" w:rsidRPr="00252D7B" w14:paraId="51204685" w14:textId="77777777" w:rsidTr="00A514F0">
        <w:trPr>
          <w:trHeight w:val="369"/>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4A22918" w14:textId="0CDCF1DE" w:rsidR="005E3702" w:rsidRPr="00252D7B" w:rsidRDefault="005E3702" w:rsidP="00E03684">
            <w:pPr>
              <w:widowControl/>
              <w:autoSpaceDE/>
              <w:autoSpaceDN/>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 xml:space="preserve">Risco 09 </w:t>
            </w:r>
            <w:r w:rsidR="00AE0B7A">
              <w:rPr>
                <w:rFonts w:asciiTheme="minorHAnsi" w:eastAsia="Times New Roman" w:hAnsiTheme="minorHAnsi" w:cstheme="minorHAnsi"/>
                <w:color w:val="000000"/>
                <w:sz w:val="20"/>
                <w:szCs w:val="20"/>
                <w:lang w:eastAsia="pt-BR" w:bidi="ar-SA"/>
              </w:rPr>
              <w:t xml:space="preserve">- </w:t>
            </w:r>
            <w:r w:rsidRPr="00252D7B">
              <w:rPr>
                <w:rFonts w:asciiTheme="minorHAnsi" w:eastAsia="Times New Roman" w:hAnsiTheme="minorHAnsi" w:cstheme="minorHAnsi"/>
                <w:color w:val="000000"/>
                <w:sz w:val="20"/>
                <w:szCs w:val="20"/>
                <w:lang w:eastAsia="pt-BR" w:bidi="ar-SA"/>
              </w:rPr>
              <w:t>Surgimento/</w:t>
            </w:r>
            <w:r w:rsidRPr="00252D7B">
              <w:rPr>
                <w:rFonts w:asciiTheme="minorHAnsi" w:eastAsia="Times New Roman" w:hAnsiTheme="minorHAnsi" w:cstheme="minorHAnsi"/>
                <w:color w:val="000000"/>
                <w:sz w:val="20"/>
                <w:szCs w:val="20"/>
                <w:lang w:eastAsia="pt-BR" w:bidi="ar-SA"/>
              </w:rPr>
              <w:br/>
              <w:t>ações contrárias à integridade</w:t>
            </w:r>
          </w:p>
        </w:tc>
        <w:tc>
          <w:tcPr>
            <w:tcW w:w="1645" w:type="dxa"/>
            <w:tcBorders>
              <w:top w:val="nil"/>
              <w:left w:val="nil"/>
              <w:bottom w:val="single" w:sz="4" w:space="0" w:color="auto"/>
              <w:right w:val="single" w:sz="4" w:space="0" w:color="auto"/>
            </w:tcBorders>
            <w:shd w:val="clear" w:color="auto" w:fill="auto"/>
            <w:vAlign w:val="center"/>
            <w:hideMark/>
          </w:tcPr>
          <w:p w14:paraId="2C0F329F" w14:textId="77777777" w:rsidR="005E3702" w:rsidRPr="00252D7B" w:rsidRDefault="005E3702" w:rsidP="00E03684">
            <w:pPr>
              <w:widowControl/>
              <w:autoSpaceDE/>
              <w:autoSpaceDN/>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Integridade e</w:t>
            </w:r>
            <w:r w:rsidRPr="00252D7B">
              <w:rPr>
                <w:rFonts w:asciiTheme="minorHAnsi" w:eastAsia="Times New Roman" w:hAnsiTheme="minorHAnsi" w:cstheme="minorHAnsi"/>
                <w:color w:val="000000"/>
                <w:sz w:val="20"/>
                <w:szCs w:val="20"/>
                <w:lang w:eastAsia="pt-BR" w:bidi="ar-SA"/>
              </w:rPr>
              <w:br/>
            </w:r>
            <w:r w:rsidRPr="00252D7B">
              <w:rPr>
                <w:rFonts w:asciiTheme="minorHAnsi" w:eastAsia="Times New Roman" w:hAnsiTheme="minorHAnsi" w:cstheme="minorHAnsi"/>
                <w:i/>
                <w:iCs/>
                <w:color w:val="000000"/>
                <w:sz w:val="20"/>
                <w:szCs w:val="20"/>
                <w:lang w:eastAsia="pt-BR" w:bidi="ar-SA"/>
              </w:rPr>
              <w:t>compliance</w:t>
            </w:r>
          </w:p>
        </w:tc>
        <w:tc>
          <w:tcPr>
            <w:tcW w:w="2040" w:type="dxa"/>
            <w:tcBorders>
              <w:top w:val="nil"/>
              <w:left w:val="nil"/>
              <w:bottom w:val="single" w:sz="4" w:space="0" w:color="auto"/>
              <w:right w:val="single" w:sz="4" w:space="0" w:color="auto"/>
            </w:tcBorders>
            <w:shd w:val="clear" w:color="auto" w:fill="auto"/>
            <w:vAlign w:val="center"/>
            <w:hideMark/>
          </w:tcPr>
          <w:p w14:paraId="5E15BA61" w14:textId="5668D32D" w:rsidR="005E3702" w:rsidRPr="00252D7B" w:rsidRDefault="005E3702" w:rsidP="00E03684">
            <w:pPr>
              <w:widowControl/>
              <w:autoSpaceDE/>
              <w:autoSpaceDN/>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a) Ausência de normas</w:t>
            </w:r>
            <w:r w:rsidRPr="00252D7B">
              <w:rPr>
                <w:rFonts w:asciiTheme="minorHAnsi" w:eastAsia="Times New Roman" w:hAnsiTheme="minorHAnsi" w:cstheme="minorHAnsi"/>
                <w:color w:val="000000"/>
                <w:sz w:val="20"/>
                <w:szCs w:val="20"/>
                <w:lang w:eastAsia="pt-BR" w:bidi="ar-SA"/>
              </w:rPr>
              <w:br/>
              <w:t xml:space="preserve"> b) Conjunto de normas e políticas com necessidade de revisão, </w:t>
            </w:r>
            <w:r w:rsidRPr="00252D7B">
              <w:rPr>
                <w:rFonts w:asciiTheme="minorHAnsi" w:eastAsia="Times New Roman" w:hAnsiTheme="minorHAnsi" w:cstheme="minorHAnsi"/>
                <w:color w:val="000000"/>
                <w:sz w:val="20"/>
                <w:szCs w:val="20"/>
                <w:lang w:eastAsia="pt-BR" w:bidi="ar-SA"/>
              </w:rPr>
              <w:lastRenderedPageBreak/>
              <w:t xml:space="preserve">aprimoramento e ampla divulgação </w:t>
            </w:r>
          </w:p>
        </w:tc>
        <w:tc>
          <w:tcPr>
            <w:tcW w:w="1004" w:type="dxa"/>
            <w:tcBorders>
              <w:top w:val="nil"/>
              <w:left w:val="nil"/>
              <w:bottom w:val="single" w:sz="4" w:space="0" w:color="auto"/>
              <w:right w:val="single" w:sz="4" w:space="0" w:color="auto"/>
            </w:tcBorders>
            <w:shd w:val="clear" w:color="000000" w:fill="FFFFFF"/>
            <w:noWrap/>
            <w:vAlign w:val="center"/>
            <w:hideMark/>
          </w:tcPr>
          <w:p w14:paraId="029BF30F" w14:textId="77777777" w:rsidR="005E3702" w:rsidRPr="00252D7B" w:rsidRDefault="005E3702" w:rsidP="00E03684">
            <w:pPr>
              <w:widowControl/>
              <w:autoSpaceDE/>
              <w:autoSpaceDN/>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lastRenderedPageBreak/>
              <w:t>Alto - 40</w:t>
            </w:r>
          </w:p>
        </w:tc>
        <w:tc>
          <w:tcPr>
            <w:tcW w:w="3827" w:type="dxa"/>
            <w:tcBorders>
              <w:top w:val="nil"/>
              <w:left w:val="nil"/>
              <w:bottom w:val="single" w:sz="4" w:space="0" w:color="auto"/>
              <w:right w:val="single" w:sz="4" w:space="0" w:color="auto"/>
            </w:tcBorders>
            <w:shd w:val="clear" w:color="auto" w:fill="auto"/>
            <w:vAlign w:val="center"/>
            <w:hideMark/>
          </w:tcPr>
          <w:p w14:paraId="33C8356E" w14:textId="77777777" w:rsidR="005E3702" w:rsidRPr="00252D7B" w:rsidRDefault="005E3702" w:rsidP="00E03684">
            <w:pPr>
              <w:widowControl/>
              <w:autoSpaceDE/>
              <w:autoSpaceDN/>
              <w:jc w:val="both"/>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Execução e monitoramento das ações Programa de Integridade 2016-2020 e Plano de Integridade 2021-2022</w:t>
            </w:r>
          </w:p>
        </w:tc>
        <w:tc>
          <w:tcPr>
            <w:tcW w:w="160" w:type="dxa"/>
            <w:vAlign w:val="center"/>
            <w:hideMark/>
          </w:tcPr>
          <w:p w14:paraId="22B69289" w14:textId="77777777" w:rsidR="005E3702" w:rsidRPr="00252D7B" w:rsidRDefault="005E3702" w:rsidP="00E03684">
            <w:pPr>
              <w:widowControl/>
              <w:autoSpaceDE/>
              <w:autoSpaceDN/>
              <w:rPr>
                <w:rFonts w:asciiTheme="minorHAnsi" w:eastAsia="Times New Roman" w:hAnsiTheme="minorHAnsi" w:cstheme="minorHAnsi"/>
                <w:sz w:val="20"/>
                <w:szCs w:val="20"/>
                <w:lang w:eastAsia="pt-BR" w:bidi="ar-SA"/>
              </w:rPr>
            </w:pPr>
          </w:p>
        </w:tc>
      </w:tr>
      <w:tr w:rsidR="005E3702" w:rsidRPr="00252D7B" w14:paraId="2981A824" w14:textId="77777777" w:rsidTr="00E03684">
        <w:trPr>
          <w:trHeight w:val="950"/>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14:paraId="5E3E315C" w14:textId="77777777" w:rsidR="005E3702" w:rsidRPr="00252D7B" w:rsidRDefault="005E3702" w:rsidP="00E03684">
            <w:pPr>
              <w:widowControl/>
              <w:autoSpaceDE/>
              <w:autoSpaceDN/>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Risco 10 - Extinção da Valec (não perenização como empresa pública no mercado ferroviário</w:t>
            </w:r>
            <w:r w:rsidRPr="00252D7B">
              <w:rPr>
                <w:rFonts w:asciiTheme="minorHAnsi" w:eastAsia="Times New Roman" w:hAnsiTheme="minorHAnsi" w:cstheme="minorHAnsi"/>
                <w:color w:val="000000"/>
                <w:sz w:val="20"/>
                <w:szCs w:val="20"/>
                <w:lang w:eastAsia="pt-BR" w:bidi="ar-SA"/>
              </w:rPr>
              <w:br/>
              <w:t>e não criação da empresa Infra S.A.)</w:t>
            </w:r>
          </w:p>
        </w:tc>
        <w:tc>
          <w:tcPr>
            <w:tcW w:w="1645" w:type="dxa"/>
            <w:vMerge w:val="restart"/>
            <w:tcBorders>
              <w:top w:val="nil"/>
              <w:left w:val="single" w:sz="4" w:space="0" w:color="auto"/>
              <w:bottom w:val="single" w:sz="4" w:space="0" w:color="000000"/>
              <w:right w:val="single" w:sz="4" w:space="0" w:color="auto"/>
            </w:tcBorders>
            <w:shd w:val="clear" w:color="auto" w:fill="auto"/>
            <w:vAlign w:val="center"/>
            <w:hideMark/>
          </w:tcPr>
          <w:p w14:paraId="12F8767C" w14:textId="77777777" w:rsidR="005E3702" w:rsidRPr="00252D7B" w:rsidRDefault="005E3702" w:rsidP="00E03684">
            <w:pPr>
              <w:widowControl/>
              <w:autoSpaceDE/>
              <w:autoSpaceDN/>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br/>
              <w:t>Continuidade da empresa</w:t>
            </w:r>
            <w:r w:rsidRPr="00252D7B">
              <w:rPr>
                <w:rFonts w:asciiTheme="minorHAnsi" w:eastAsia="Times New Roman" w:hAnsiTheme="minorHAnsi" w:cstheme="minorHAnsi"/>
                <w:color w:val="000000"/>
                <w:sz w:val="20"/>
                <w:szCs w:val="20"/>
                <w:lang w:eastAsia="pt-BR" w:bidi="ar-SA"/>
              </w:rPr>
              <w:br/>
              <w:t>Novos empreendimentos e negócios</w:t>
            </w:r>
          </w:p>
        </w:tc>
        <w:tc>
          <w:tcPr>
            <w:tcW w:w="2040" w:type="dxa"/>
            <w:vMerge w:val="restart"/>
            <w:tcBorders>
              <w:top w:val="nil"/>
              <w:left w:val="single" w:sz="4" w:space="0" w:color="auto"/>
              <w:bottom w:val="single" w:sz="4" w:space="0" w:color="000000"/>
              <w:right w:val="single" w:sz="4" w:space="0" w:color="auto"/>
            </w:tcBorders>
            <w:shd w:val="clear" w:color="auto" w:fill="auto"/>
            <w:vAlign w:val="center"/>
            <w:hideMark/>
          </w:tcPr>
          <w:p w14:paraId="60E62147" w14:textId="77777777" w:rsidR="005E3702" w:rsidRPr="00252D7B" w:rsidRDefault="005E3702" w:rsidP="00E03684">
            <w:pPr>
              <w:widowControl/>
              <w:autoSpaceDE/>
              <w:autoSpaceDN/>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a) Falta de recursos previstos no orçamento para novas demandas de mercado</w:t>
            </w:r>
            <w:r w:rsidRPr="00252D7B">
              <w:rPr>
                <w:rFonts w:asciiTheme="minorHAnsi" w:eastAsia="Times New Roman" w:hAnsiTheme="minorHAnsi" w:cstheme="minorHAnsi"/>
                <w:color w:val="000000"/>
                <w:sz w:val="20"/>
                <w:szCs w:val="20"/>
                <w:lang w:eastAsia="pt-BR" w:bidi="ar-SA"/>
              </w:rPr>
              <w:br/>
            </w:r>
            <w:r w:rsidRPr="00252D7B">
              <w:rPr>
                <w:rFonts w:asciiTheme="minorHAnsi" w:eastAsia="Times New Roman" w:hAnsiTheme="minorHAnsi" w:cstheme="minorHAnsi"/>
                <w:color w:val="000000"/>
                <w:sz w:val="20"/>
                <w:szCs w:val="20"/>
                <w:lang w:eastAsia="pt-BR" w:bidi="ar-SA"/>
              </w:rPr>
              <w:br/>
              <w:t>b) Empresa não adaptada à prestação de serviços</w:t>
            </w:r>
            <w:r w:rsidRPr="00252D7B">
              <w:rPr>
                <w:rFonts w:asciiTheme="minorHAnsi" w:eastAsia="Times New Roman" w:hAnsiTheme="minorHAnsi" w:cstheme="minorHAnsi"/>
                <w:color w:val="000000"/>
                <w:sz w:val="20"/>
                <w:szCs w:val="20"/>
                <w:lang w:eastAsia="pt-BR" w:bidi="ar-SA"/>
              </w:rPr>
              <w:br/>
            </w:r>
            <w:r w:rsidRPr="00252D7B">
              <w:rPr>
                <w:rFonts w:asciiTheme="minorHAnsi" w:eastAsia="Times New Roman" w:hAnsiTheme="minorHAnsi" w:cstheme="minorHAnsi"/>
                <w:color w:val="000000"/>
                <w:sz w:val="20"/>
                <w:szCs w:val="20"/>
                <w:lang w:eastAsia="pt-BR" w:bidi="ar-SA"/>
              </w:rPr>
              <w:br/>
              <w:t>c) Falta de diretrizes na condução dos negócios</w:t>
            </w:r>
            <w:r w:rsidRPr="00252D7B">
              <w:rPr>
                <w:rFonts w:asciiTheme="minorHAnsi" w:eastAsia="Times New Roman" w:hAnsiTheme="minorHAnsi" w:cstheme="minorHAnsi"/>
                <w:color w:val="000000"/>
                <w:sz w:val="20"/>
                <w:szCs w:val="20"/>
                <w:lang w:eastAsia="pt-BR" w:bidi="ar-SA"/>
              </w:rPr>
              <w:br/>
            </w:r>
            <w:r w:rsidRPr="00252D7B">
              <w:rPr>
                <w:rFonts w:asciiTheme="minorHAnsi" w:eastAsia="Times New Roman" w:hAnsiTheme="minorHAnsi" w:cstheme="minorHAnsi"/>
                <w:color w:val="000000"/>
                <w:sz w:val="20"/>
                <w:szCs w:val="20"/>
                <w:lang w:eastAsia="pt-BR" w:bidi="ar-SA"/>
              </w:rPr>
              <w:br/>
              <w:t>d) Morosidade nos processos</w:t>
            </w:r>
          </w:p>
        </w:tc>
        <w:tc>
          <w:tcPr>
            <w:tcW w:w="100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7977D67" w14:textId="77777777" w:rsidR="005E3702" w:rsidRPr="00252D7B" w:rsidRDefault="005E3702" w:rsidP="00E03684">
            <w:pPr>
              <w:widowControl/>
              <w:autoSpaceDE/>
              <w:autoSpaceDN/>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Alto - 50</w:t>
            </w:r>
          </w:p>
        </w:tc>
        <w:tc>
          <w:tcPr>
            <w:tcW w:w="3827" w:type="dxa"/>
            <w:tcBorders>
              <w:top w:val="nil"/>
              <w:left w:val="nil"/>
              <w:bottom w:val="single" w:sz="4" w:space="0" w:color="auto"/>
              <w:right w:val="single" w:sz="4" w:space="0" w:color="auto"/>
            </w:tcBorders>
            <w:shd w:val="clear" w:color="auto" w:fill="auto"/>
            <w:vAlign w:val="center"/>
            <w:hideMark/>
          </w:tcPr>
          <w:p w14:paraId="09B2C5BE" w14:textId="77777777" w:rsidR="005E3702" w:rsidRPr="00252D7B" w:rsidRDefault="005E3702" w:rsidP="00E03684">
            <w:pPr>
              <w:widowControl/>
              <w:autoSpaceDE/>
              <w:autoSpaceDN/>
              <w:jc w:val="both"/>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Plano de estruturação da empresa - Elaboração, validação e implementação de um plano de estruturação da empresa, de modo a prepará-la para efetivamente atuar como uma prestadora de serviços técnicos especializados no setor ferroviário, mitigando, dessa forma, o risco de sua extinção.</w:t>
            </w:r>
          </w:p>
        </w:tc>
        <w:tc>
          <w:tcPr>
            <w:tcW w:w="160" w:type="dxa"/>
            <w:vAlign w:val="center"/>
            <w:hideMark/>
          </w:tcPr>
          <w:p w14:paraId="2A58BE1A" w14:textId="77777777" w:rsidR="005E3702" w:rsidRPr="00252D7B" w:rsidRDefault="005E3702" w:rsidP="00E03684">
            <w:pPr>
              <w:widowControl/>
              <w:autoSpaceDE/>
              <w:autoSpaceDN/>
              <w:rPr>
                <w:rFonts w:asciiTheme="minorHAnsi" w:eastAsia="Times New Roman" w:hAnsiTheme="minorHAnsi" w:cstheme="minorHAnsi"/>
                <w:sz w:val="20"/>
                <w:szCs w:val="20"/>
                <w:lang w:eastAsia="pt-BR" w:bidi="ar-SA"/>
              </w:rPr>
            </w:pPr>
          </w:p>
        </w:tc>
      </w:tr>
      <w:tr w:rsidR="005E3702" w:rsidRPr="00252D7B" w14:paraId="1425204F" w14:textId="77777777" w:rsidTr="00A514F0">
        <w:trPr>
          <w:trHeight w:val="950"/>
        </w:trPr>
        <w:tc>
          <w:tcPr>
            <w:tcW w:w="1555" w:type="dxa"/>
            <w:vMerge/>
            <w:tcBorders>
              <w:top w:val="nil"/>
              <w:left w:val="single" w:sz="4" w:space="0" w:color="auto"/>
              <w:bottom w:val="single" w:sz="4" w:space="0" w:color="auto"/>
              <w:right w:val="single" w:sz="4" w:space="0" w:color="auto"/>
            </w:tcBorders>
            <w:vAlign w:val="center"/>
            <w:hideMark/>
          </w:tcPr>
          <w:p w14:paraId="6E1C257F"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1645" w:type="dxa"/>
            <w:vMerge/>
            <w:tcBorders>
              <w:top w:val="nil"/>
              <w:left w:val="single" w:sz="4" w:space="0" w:color="auto"/>
              <w:bottom w:val="single" w:sz="4" w:space="0" w:color="000000"/>
              <w:right w:val="single" w:sz="4" w:space="0" w:color="auto"/>
            </w:tcBorders>
            <w:vAlign w:val="center"/>
            <w:hideMark/>
          </w:tcPr>
          <w:p w14:paraId="48D770B9"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2040" w:type="dxa"/>
            <w:vMerge/>
            <w:tcBorders>
              <w:top w:val="nil"/>
              <w:left w:val="single" w:sz="4" w:space="0" w:color="auto"/>
              <w:bottom w:val="single" w:sz="4" w:space="0" w:color="000000"/>
              <w:right w:val="single" w:sz="4" w:space="0" w:color="auto"/>
            </w:tcBorders>
            <w:vAlign w:val="center"/>
            <w:hideMark/>
          </w:tcPr>
          <w:p w14:paraId="0C0C3F27"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1004" w:type="dxa"/>
            <w:vMerge/>
            <w:tcBorders>
              <w:top w:val="nil"/>
              <w:left w:val="single" w:sz="4" w:space="0" w:color="auto"/>
              <w:bottom w:val="single" w:sz="4" w:space="0" w:color="000000"/>
              <w:right w:val="single" w:sz="4" w:space="0" w:color="auto"/>
            </w:tcBorders>
            <w:vAlign w:val="center"/>
            <w:hideMark/>
          </w:tcPr>
          <w:p w14:paraId="4CDF7BC1"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3827" w:type="dxa"/>
            <w:tcBorders>
              <w:top w:val="nil"/>
              <w:left w:val="nil"/>
              <w:bottom w:val="single" w:sz="4" w:space="0" w:color="auto"/>
              <w:right w:val="single" w:sz="4" w:space="0" w:color="auto"/>
            </w:tcBorders>
            <w:shd w:val="clear" w:color="auto" w:fill="auto"/>
            <w:noWrap/>
            <w:vAlign w:val="center"/>
            <w:hideMark/>
          </w:tcPr>
          <w:p w14:paraId="349B8AFB" w14:textId="77777777" w:rsidR="005E3702" w:rsidRPr="00252D7B" w:rsidRDefault="005E3702" w:rsidP="00E03684">
            <w:pPr>
              <w:widowControl/>
              <w:autoSpaceDE/>
              <w:autoSpaceDN/>
              <w:jc w:val="both"/>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Elaboração do Plano de Comunicação para novos negócios com pacote de produtos e serviços para clientes e futuros autoritários</w:t>
            </w:r>
          </w:p>
        </w:tc>
        <w:tc>
          <w:tcPr>
            <w:tcW w:w="160" w:type="dxa"/>
            <w:vAlign w:val="center"/>
            <w:hideMark/>
          </w:tcPr>
          <w:p w14:paraId="4E2FA04A" w14:textId="77777777" w:rsidR="005E3702" w:rsidRPr="00252D7B" w:rsidRDefault="005E3702" w:rsidP="00E03684">
            <w:pPr>
              <w:widowControl/>
              <w:autoSpaceDE/>
              <w:autoSpaceDN/>
              <w:rPr>
                <w:rFonts w:asciiTheme="minorHAnsi" w:eastAsia="Times New Roman" w:hAnsiTheme="minorHAnsi" w:cstheme="minorHAnsi"/>
                <w:sz w:val="20"/>
                <w:szCs w:val="20"/>
                <w:lang w:eastAsia="pt-BR" w:bidi="ar-SA"/>
              </w:rPr>
            </w:pPr>
          </w:p>
        </w:tc>
      </w:tr>
      <w:tr w:rsidR="005E3702" w:rsidRPr="00252D7B" w14:paraId="7200FAF4" w14:textId="77777777" w:rsidTr="00E03684">
        <w:trPr>
          <w:trHeight w:val="740"/>
        </w:trPr>
        <w:tc>
          <w:tcPr>
            <w:tcW w:w="1555" w:type="dxa"/>
            <w:vMerge/>
            <w:tcBorders>
              <w:top w:val="nil"/>
              <w:left w:val="single" w:sz="4" w:space="0" w:color="auto"/>
              <w:bottom w:val="single" w:sz="4" w:space="0" w:color="auto"/>
              <w:right w:val="single" w:sz="4" w:space="0" w:color="auto"/>
            </w:tcBorders>
            <w:vAlign w:val="center"/>
            <w:hideMark/>
          </w:tcPr>
          <w:p w14:paraId="6F553FFA"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1645" w:type="dxa"/>
            <w:vMerge/>
            <w:tcBorders>
              <w:top w:val="nil"/>
              <w:left w:val="single" w:sz="4" w:space="0" w:color="auto"/>
              <w:bottom w:val="single" w:sz="4" w:space="0" w:color="000000"/>
              <w:right w:val="single" w:sz="4" w:space="0" w:color="auto"/>
            </w:tcBorders>
            <w:vAlign w:val="center"/>
            <w:hideMark/>
          </w:tcPr>
          <w:p w14:paraId="34844C63"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2040" w:type="dxa"/>
            <w:vMerge/>
            <w:tcBorders>
              <w:top w:val="nil"/>
              <w:left w:val="single" w:sz="4" w:space="0" w:color="auto"/>
              <w:bottom w:val="single" w:sz="4" w:space="0" w:color="000000"/>
              <w:right w:val="single" w:sz="4" w:space="0" w:color="auto"/>
            </w:tcBorders>
            <w:vAlign w:val="center"/>
            <w:hideMark/>
          </w:tcPr>
          <w:p w14:paraId="52734177"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1004" w:type="dxa"/>
            <w:vMerge/>
            <w:tcBorders>
              <w:top w:val="nil"/>
              <w:left w:val="single" w:sz="4" w:space="0" w:color="auto"/>
              <w:bottom w:val="single" w:sz="4" w:space="0" w:color="000000"/>
              <w:right w:val="single" w:sz="4" w:space="0" w:color="auto"/>
            </w:tcBorders>
            <w:vAlign w:val="center"/>
            <w:hideMark/>
          </w:tcPr>
          <w:p w14:paraId="2AA3415B"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3827" w:type="dxa"/>
            <w:tcBorders>
              <w:top w:val="nil"/>
              <w:left w:val="nil"/>
              <w:bottom w:val="single" w:sz="4" w:space="0" w:color="auto"/>
              <w:right w:val="single" w:sz="4" w:space="0" w:color="auto"/>
            </w:tcBorders>
            <w:shd w:val="clear" w:color="auto" w:fill="auto"/>
            <w:vAlign w:val="center"/>
            <w:hideMark/>
          </w:tcPr>
          <w:p w14:paraId="540F12B4" w14:textId="77777777" w:rsidR="005E3702" w:rsidRPr="00252D7B" w:rsidRDefault="005E3702" w:rsidP="00E03684">
            <w:pPr>
              <w:widowControl/>
              <w:autoSpaceDE/>
              <w:autoSpaceDN/>
              <w:jc w:val="both"/>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 xml:space="preserve">Criação e monitoramento de indicadores de receitas e despesas para o Relatório Trimestral de Execução Orçamentária </w:t>
            </w:r>
          </w:p>
        </w:tc>
        <w:tc>
          <w:tcPr>
            <w:tcW w:w="160" w:type="dxa"/>
            <w:vAlign w:val="center"/>
            <w:hideMark/>
          </w:tcPr>
          <w:p w14:paraId="614D6AA4" w14:textId="77777777" w:rsidR="005E3702" w:rsidRPr="00252D7B" w:rsidRDefault="005E3702" w:rsidP="00E03684">
            <w:pPr>
              <w:widowControl/>
              <w:autoSpaceDE/>
              <w:autoSpaceDN/>
              <w:rPr>
                <w:rFonts w:asciiTheme="minorHAnsi" w:eastAsia="Times New Roman" w:hAnsiTheme="minorHAnsi" w:cstheme="minorHAnsi"/>
                <w:sz w:val="20"/>
                <w:szCs w:val="20"/>
                <w:lang w:eastAsia="pt-BR" w:bidi="ar-SA"/>
              </w:rPr>
            </w:pPr>
          </w:p>
        </w:tc>
      </w:tr>
      <w:tr w:rsidR="005E3702" w:rsidRPr="00252D7B" w14:paraId="7DD3DC56" w14:textId="77777777" w:rsidTr="00A514F0">
        <w:trPr>
          <w:trHeight w:val="663"/>
        </w:trPr>
        <w:tc>
          <w:tcPr>
            <w:tcW w:w="1555" w:type="dxa"/>
            <w:vMerge/>
            <w:tcBorders>
              <w:top w:val="nil"/>
              <w:left w:val="single" w:sz="4" w:space="0" w:color="auto"/>
              <w:bottom w:val="single" w:sz="4" w:space="0" w:color="auto"/>
              <w:right w:val="single" w:sz="4" w:space="0" w:color="auto"/>
            </w:tcBorders>
            <w:vAlign w:val="center"/>
            <w:hideMark/>
          </w:tcPr>
          <w:p w14:paraId="2AA859A1"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1645" w:type="dxa"/>
            <w:vMerge/>
            <w:tcBorders>
              <w:top w:val="nil"/>
              <w:left w:val="single" w:sz="4" w:space="0" w:color="auto"/>
              <w:bottom w:val="single" w:sz="4" w:space="0" w:color="000000"/>
              <w:right w:val="single" w:sz="4" w:space="0" w:color="auto"/>
            </w:tcBorders>
            <w:vAlign w:val="center"/>
            <w:hideMark/>
          </w:tcPr>
          <w:p w14:paraId="17833A0D"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2040" w:type="dxa"/>
            <w:vMerge/>
            <w:tcBorders>
              <w:top w:val="nil"/>
              <w:left w:val="single" w:sz="4" w:space="0" w:color="auto"/>
              <w:bottom w:val="single" w:sz="4" w:space="0" w:color="000000"/>
              <w:right w:val="single" w:sz="4" w:space="0" w:color="auto"/>
            </w:tcBorders>
            <w:vAlign w:val="center"/>
            <w:hideMark/>
          </w:tcPr>
          <w:p w14:paraId="2056BFEB"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1004" w:type="dxa"/>
            <w:vMerge/>
            <w:tcBorders>
              <w:top w:val="nil"/>
              <w:left w:val="single" w:sz="4" w:space="0" w:color="auto"/>
              <w:bottom w:val="single" w:sz="4" w:space="0" w:color="000000"/>
              <w:right w:val="single" w:sz="4" w:space="0" w:color="auto"/>
            </w:tcBorders>
            <w:vAlign w:val="center"/>
            <w:hideMark/>
          </w:tcPr>
          <w:p w14:paraId="3B0D60E1" w14:textId="77777777" w:rsidR="005E3702" w:rsidRPr="00252D7B" w:rsidRDefault="005E3702" w:rsidP="00E03684">
            <w:pPr>
              <w:widowControl/>
              <w:autoSpaceDE/>
              <w:autoSpaceDN/>
              <w:rPr>
                <w:rFonts w:asciiTheme="minorHAnsi" w:eastAsia="Times New Roman" w:hAnsiTheme="minorHAnsi" w:cstheme="minorHAnsi"/>
                <w:color w:val="000000"/>
                <w:sz w:val="20"/>
                <w:szCs w:val="20"/>
                <w:lang w:eastAsia="pt-BR" w:bidi="ar-SA"/>
              </w:rPr>
            </w:pPr>
          </w:p>
        </w:tc>
        <w:tc>
          <w:tcPr>
            <w:tcW w:w="3827" w:type="dxa"/>
            <w:tcBorders>
              <w:top w:val="nil"/>
              <w:left w:val="nil"/>
              <w:bottom w:val="single" w:sz="4" w:space="0" w:color="auto"/>
              <w:right w:val="single" w:sz="4" w:space="0" w:color="auto"/>
            </w:tcBorders>
            <w:shd w:val="clear" w:color="auto" w:fill="auto"/>
            <w:vAlign w:val="center"/>
            <w:hideMark/>
          </w:tcPr>
          <w:p w14:paraId="0B4A6EA9" w14:textId="77777777" w:rsidR="005E3702" w:rsidRPr="00252D7B" w:rsidRDefault="005E3702" w:rsidP="00E03684">
            <w:pPr>
              <w:widowControl/>
              <w:autoSpaceDE/>
              <w:autoSpaceDN/>
              <w:jc w:val="both"/>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Estruturação do modelo de negócios para a Infra S.A.</w:t>
            </w:r>
          </w:p>
        </w:tc>
        <w:tc>
          <w:tcPr>
            <w:tcW w:w="160" w:type="dxa"/>
            <w:vAlign w:val="center"/>
            <w:hideMark/>
          </w:tcPr>
          <w:p w14:paraId="4183F17B" w14:textId="77777777" w:rsidR="005E3702" w:rsidRPr="00252D7B" w:rsidRDefault="005E3702" w:rsidP="00E03684">
            <w:pPr>
              <w:widowControl/>
              <w:autoSpaceDE/>
              <w:autoSpaceDN/>
              <w:rPr>
                <w:rFonts w:asciiTheme="minorHAnsi" w:eastAsia="Times New Roman" w:hAnsiTheme="minorHAnsi" w:cstheme="minorHAnsi"/>
                <w:sz w:val="20"/>
                <w:szCs w:val="20"/>
                <w:lang w:eastAsia="pt-BR" w:bidi="ar-SA"/>
              </w:rPr>
            </w:pPr>
          </w:p>
        </w:tc>
      </w:tr>
      <w:tr w:rsidR="005E3702" w:rsidRPr="00252D7B" w14:paraId="3B2DC64F" w14:textId="77777777" w:rsidTr="00E03684">
        <w:trPr>
          <w:trHeight w:val="204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3B8DB95" w14:textId="77777777" w:rsidR="005E3702" w:rsidRPr="00252D7B" w:rsidRDefault="005E3702" w:rsidP="00E03684">
            <w:pPr>
              <w:widowControl/>
              <w:autoSpaceDE/>
              <w:autoSpaceDN/>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Risco 11 - Falhas no controle e governança das obrigações definidas no Anexo 9 no âmbito do Investimento Cruzado da FICO</w:t>
            </w:r>
          </w:p>
        </w:tc>
        <w:tc>
          <w:tcPr>
            <w:tcW w:w="1645" w:type="dxa"/>
            <w:tcBorders>
              <w:top w:val="nil"/>
              <w:left w:val="nil"/>
              <w:bottom w:val="single" w:sz="4" w:space="0" w:color="auto"/>
              <w:right w:val="single" w:sz="4" w:space="0" w:color="auto"/>
            </w:tcBorders>
            <w:shd w:val="clear" w:color="auto" w:fill="auto"/>
            <w:vAlign w:val="center"/>
            <w:hideMark/>
          </w:tcPr>
          <w:p w14:paraId="25CCC536" w14:textId="77777777" w:rsidR="005E3702" w:rsidRPr="00252D7B" w:rsidRDefault="005E3702" w:rsidP="00E03684">
            <w:pPr>
              <w:widowControl/>
              <w:autoSpaceDE/>
              <w:autoSpaceDN/>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FICO</w:t>
            </w:r>
          </w:p>
        </w:tc>
        <w:tc>
          <w:tcPr>
            <w:tcW w:w="2040" w:type="dxa"/>
            <w:tcBorders>
              <w:top w:val="nil"/>
              <w:left w:val="nil"/>
              <w:bottom w:val="single" w:sz="4" w:space="0" w:color="auto"/>
              <w:right w:val="single" w:sz="4" w:space="0" w:color="auto"/>
            </w:tcBorders>
            <w:shd w:val="clear" w:color="auto" w:fill="auto"/>
            <w:vAlign w:val="center"/>
            <w:hideMark/>
          </w:tcPr>
          <w:p w14:paraId="3BB6798A" w14:textId="77777777" w:rsidR="005E3702" w:rsidRPr="00252D7B" w:rsidRDefault="005E3702" w:rsidP="00E03684">
            <w:pPr>
              <w:widowControl/>
              <w:autoSpaceDE/>
              <w:autoSpaceDN/>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a) Modelo inovador de construção</w:t>
            </w:r>
            <w:r w:rsidRPr="00252D7B">
              <w:rPr>
                <w:rFonts w:asciiTheme="minorHAnsi" w:eastAsia="Times New Roman" w:hAnsiTheme="minorHAnsi" w:cstheme="minorHAnsi"/>
                <w:color w:val="000000"/>
                <w:sz w:val="20"/>
                <w:szCs w:val="20"/>
                <w:lang w:eastAsia="pt-BR" w:bidi="ar-SA"/>
              </w:rPr>
              <w:br/>
            </w:r>
            <w:r w:rsidRPr="00252D7B">
              <w:rPr>
                <w:rFonts w:asciiTheme="minorHAnsi" w:eastAsia="Times New Roman" w:hAnsiTheme="minorHAnsi" w:cstheme="minorHAnsi"/>
                <w:color w:val="000000"/>
                <w:sz w:val="20"/>
                <w:szCs w:val="20"/>
                <w:lang w:eastAsia="pt-BR" w:bidi="ar-SA"/>
              </w:rPr>
              <w:br/>
              <w:t>b) Ausência de normativo interno que discipline o processo</w:t>
            </w:r>
          </w:p>
        </w:tc>
        <w:tc>
          <w:tcPr>
            <w:tcW w:w="1004" w:type="dxa"/>
            <w:tcBorders>
              <w:top w:val="nil"/>
              <w:left w:val="nil"/>
              <w:bottom w:val="single" w:sz="4" w:space="0" w:color="auto"/>
              <w:right w:val="single" w:sz="4" w:space="0" w:color="auto"/>
            </w:tcBorders>
            <w:shd w:val="clear" w:color="000000" w:fill="FFFFFF"/>
            <w:noWrap/>
            <w:vAlign w:val="center"/>
            <w:hideMark/>
          </w:tcPr>
          <w:p w14:paraId="62618390" w14:textId="77777777" w:rsidR="005E3702" w:rsidRPr="00252D7B" w:rsidRDefault="005E3702" w:rsidP="00E03684">
            <w:pPr>
              <w:widowControl/>
              <w:autoSpaceDE/>
              <w:autoSpaceDN/>
              <w:jc w:val="center"/>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Alto - 40</w:t>
            </w:r>
          </w:p>
        </w:tc>
        <w:tc>
          <w:tcPr>
            <w:tcW w:w="3827" w:type="dxa"/>
            <w:tcBorders>
              <w:top w:val="nil"/>
              <w:left w:val="nil"/>
              <w:bottom w:val="single" w:sz="4" w:space="0" w:color="auto"/>
              <w:right w:val="single" w:sz="4" w:space="0" w:color="auto"/>
            </w:tcBorders>
            <w:shd w:val="clear" w:color="auto" w:fill="auto"/>
            <w:vAlign w:val="center"/>
            <w:hideMark/>
          </w:tcPr>
          <w:p w14:paraId="520122BF" w14:textId="77777777" w:rsidR="005E3702" w:rsidRPr="00252D7B" w:rsidRDefault="005E3702" w:rsidP="00E03684">
            <w:pPr>
              <w:widowControl/>
              <w:autoSpaceDE/>
              <w:autoSpaceDN/>
              <w:jc w:val="both"/>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Elaboração de Portaria Normativa para disciplinar a gestão dos investimentos cruzados.</w:t>
            </w:r>
          </w:p>
        </w:tc>
        <w:tc>
          <w:tcPr>
            <w:tcW w:w="160" w:type="dxa"/>
            <w:vAlign w:val="center"/>
            <w:hideMark/>
          </w:tcPr>
          <w:p w14:paraId="109EE7C2" w14:textId="77777777" w:rsidR="005E3702" w:rsidRPr="00252D7B" w:rsidRDefault="005E3702" w:rsidP="00E03684">
            <w:pPr>
              <w:widowControl/>
              <w:autoSpaceDE/>
              <w:autoSpaceDN/>
              <w:rPr>
                <w:rFonts w:asciiTheme="minorHAnsi" w:eastAsia="Times New Roman" w:hAnsiTheme="minorHAnsi" w:cstheme="minorHAnsi"/>
                <w:sz w:val="20"/>
                <w:szCs w:val="20"/>
                <w:lang w:eastAsia="pt-BR" w:bidi="ar-SA"/>
              </w:rPr>
            </w:pPr>
          </w:p>
        </w:tc>
      </w:tr>
    </w:tbl>
    <w:p w14:paraId="661D8D74" w14:textId="77777777" w:rsidR="005E3702" w:rsidRPr="00252D7B" w:rsidRDefault="005E3702" w:rsidP="005E3702">
      <w:pPr>
        <w:widowControl/>
        <w:autoSpaceDE/>
        <w:autoSpaceDN/>
        <w:spacing w:after="160"/>
        <w:rPr>
          <w:rFonts w:asciiTheme="minorHAnsi" w:hAnsiTheme="minorHAnsi" w:cstheme="minorHAnsi"/>
          <w:sz w:val="20"/>
          <w:szCs w:val="20"/>
        </w:rPr>
      </w:pPr>
      <w:r w:rsidRPr="00252D7B">
        <w:rPr>
          <w:rFonts w:asciiTheme="minorHAnsi" w:hAnsiTheme="minorHAnsi" w:cstheme="minorHAnsi"/>
          <w:sz w:val="20"/>
          <w:szCs w:val="20"/>
        </w:rPr>
        <w:br w:type="page"/>
      </w:r>
    </w:p>
    <w:p w14:paraId="16C8834B" w14:textId="77777777" w:rsidR="005E3702" w:rsidRPr="00252D7B" w:rsidRDefault="005E3702" w:rsidP="005E3702">
      <w:pPr>
        <w:pStyle w:val="Ttulo1"/>
        <w:jc w:val="left"/>
        <w:rPr>
          <w:rFonts w:asciiTheme="minorHAnsi" w:hAnsiTheme="minorHAnsi" w:cstheme="minorHAnsi"/>
        </w:rPr>
      </w:pPr>
      <w:bookmarkStart w:id="110" w:name="_Toc95830210"/>
      <w:bookmarkStart w:id="111" w:name="_Toc96705910"/>
      <w:bookmarkStart w:id="112" w:name="_Toc103680526"/>
      <w:r w:rsidRPr="00252D7B">
        <w:rPr>
          <w:rFonts w:asciiTheme="minorHAnsi" w:hAnsiTheme="minorHAnsi" w:cstheme="minorHAnsi"/>
        </w:rPr>
        <w:lastRenderedPageBreak/>
        <w:t>GOVERNANÇA E ESTRATÉGIA</w:t>
      </w:r>
      <w:bookmarkEnd w:id="110"/>
      <w:bookmarkEnd w:id="111"/>
      <w:bookmarkEnd w:id="112"/>
    </w:p>
    <w:p w14:paraId="25619A28" w14:textId="77777777" w:rsidR="005E3702" w:rsidRPr="00252D7B" w:rsidRDefault="005E3702" w:rsidP="005E3702">
      <w:pPr>
        <w:jc w:val="both"/>
        <w:rPr>
          <w:rFonts w:asciiTheme="minorHAnsi" w:hAnsiTheme="minorHAnsi" w:cstheme="minorHAnsi"/>
        </w:rPr>
      </w:pPr>
    </w:p>
    <w:p w14:paraId="2C63B611" w14:textId="77777777" w:rsidR="005E3702" w:rsidRPr="00252D7B" w:rsidRDefault="005E3702" w:rsidP="00F100A9">
      <w:pPr>
        <w:pStyle w:val="Ttulo2"/>
      </w:pPr>
      <w:bookmarkStart w:id="113" w:name="_Toc95830211"/>
      <w:bookmarkStart w:id="114" w:name="_Toc96705911"/>
      <w:bookmarkStart w:id="115" w:name="_Toc103680527"/>
      <w:r w:rsidRPr="00252D7B">
        <w:t>Estrutura de governança</w:t>
      </w:r>
      <w:bookmarkEnd w:id="113"/>
      <w:bookmarkEnd w:id="114"/>
      <w:bookmarkEnd w:id="115"/>
    </w:p>
    <w:p w14:paraId="084C733C" w14:textId="13DE09C3" w:rsidR="005E3702" w:rsidRPr="00252D7B" w:rsidRDefault="005E3702" w:rsidP="005E3702">
      <w:pPr>
        <w:spacing w:before="120" w:after="120"/>
        <w:jc w:val="both"/>
        <w:rPr>
          <w:rFonts w:asciiTheme="minorHAnsi" w:hAnsiTheme="minorHAnsi" w:cstheme="minorHAnsi"/>
          <w:color w:val="000000"/>
          <w:sz w:val="24"/>
          <w:szCs w:val="24"/>
        </w:rPr>
      </w:pPr>
      <w:bookmarkStart w:id="116" w:name="_Toc95830212"/>
      <w:r w:rsidRPr="00252D7B">
        <w:rPr>
          <w:rFonts w:asciiTheme="minorHAnsi" w:hAnsiTheme="minorHAnsi" w:cstheme="minorHAnsi"/>
          <w:color w:val="000000"/>
          <w:sz w:val="24"/>
          <w:szCs w:val="24"/>
        </w:rPr>
        <w:t>A empresa realizou uma evolução na sua estrutura de governança, transformando a Assessoria de Governança em Superintendência de Integridade - SUINT, com suas respectivas gerências de: Integridade - GEINT, Gestão de Riscos e Controles Internos - GRCOI e Desenvolvimento Institucional - GEDIN, trazendo a definição e o fortalecimento à instância interna responsável pela integridade.</w:t>
      </w:r>
    </w:p>
    <w:p w14:paraId="77ED7C17" w14:textId="77777777" w:rsidR="005E3702" w:rsidRPr="00252D7B" w:rsidRDefault="005E3702" w:rsidP="005E3702">
      <w:pPr>
        <w:spacing w:before="120" w:after="120"/>
        <w:jc w:val="both"/>
        <w:rPr>
          <w:rFonts w:asciiTheme="minorHAnsi" w:hAnsiTheme="minorHAnsi" w:cstheme="minorHAnsi"/>
          <w:color w:val="000000"/>
          <w:sz w:val="24"/>
          <w:szCs w:val="24"/>
        </w:rPr>
      </w:pPr>
      <w:r w:rsidRPr="00252D7B">
        <w:rPr>
          <w:rFonts w:asciiTheme="minorHAnsi" w:hAnsiTheme="minorHAnsi" w:cstheme="minorHAnsi"/>
          <w:color w:val="000000"/>
          <w:sz w:val="24"/>
          <w:szCs w:val="24"/>
        </w:rPr>
        <w:t>As novas competências da Superintendência de Integridade e de suas gerências consubstancia a estrutura de integridade da empresa, permitindo, o pleno desenvolvimento do Plano de Integridade e sua fiscalização.</w:t>
      </w:r>
    </w:p>
    <w:p w14:paraId="6CBE8081" w14:textId="7B983218" w:rsidR="005E3702" w:rsidRPr="00252D7B" w:rsidRDefault="005E3702" w:rsidP="00A514F0">
      <w:pPr>
        <w:spacing w:before="120" w:after="120"/>
        <w:jc w:val="both"/>
        <w:rPr>
          <w:rFonts w:asciiTheme="minorHAnsi" w:hAnsiTheme="minorHAnsi" w:cstheme="minorHAnsi"/>
          <w:color w:val="000000"/>
          <w:sz w:val="24"/>
          <w:szCs w:val="24"/>
        </w:rPr>
      </w:pPr>
      <w:r w:rsidRPr="00252D7B">
        <w:rPr>
          <w:rFonts w:asciiTheme="minorHAnsi" w:hAnsiTheme="minorHAnsi" w:cstheme="minorHAnsi"/>
          <w:color w:val="000000"/>
          <w:sz w:val="24"/>
          <w:szCs w:val="24"/>
        </w:rPr>
        <w:t xml:space="preserve">Ressalta-se que, em sua estrutura, a empresa conta, ainda, com a Auditoria Interna - AUDIN, Corregedoria - COGER, Ouvidoria - OUVIR e Secretaria Executiva da Comissão de Ética - SECOE, além dos Conselhos e Comitês. A </w:t>
      </w:r>
      <w:r w:rsidRPr="00252D7B">
        <w:rPr>
          <w:rFonts w:asciiTheme="minorHAnsi" w:hAnsiTheme="minorHAnsi" w:cstheme="minorHAnsi"/>
          <w:color w:val="000000"/>
          <w:sz w:val="24"/>
          <w:szCs w:val="24"/>
        </w:rPr>
        <w:fldChar w:fldCharType="begin"/>
      </w:r>
      <w:r w:rsidRPr="00252D7B">
        <w:rPr>
          <w:rFonts w:asciiTheme="minorHAnsi" w:hAnsiTheme="minorHAnsi" w:cstheme="minorHAnsi"/>
          <w:color w:val="000000"/>
          <w:sz w:val="24"/>
          <w:szCs w:val="24"/>
        </w:rPr>
        <w:instrText xml:space="preserve"> REF _Ref96705322  \* MERGEFORMAT </w:instrText>
      </w:r>
      <w:r w:rsidRPr="00252D7B">
        <w:rPr>
          <w:rFonts w:asciiTheme="minorHAnsi" w:hAnsiTheme="minorHAnsi" w:cstheme="minorHAnsi"/>
          <w:color w:val="000000"/>
          <w:sz w:val="24"/>
          <w:szCs w:val="24"/>
        </w:rPr>
        <w:fldChar w:fldCharType="separate"/>
      </w:r>
      <w:r w:rsidR="00C12888" w:rsidRPr="00C12888">
        <w:rPr>
          <w:rFonts w:asciiTheme="minorHAnsi" w:hAnsiTheme="minorHAnsi" w:cstheme="minorHAnsi"/>
          <w:color w:val="000000"/>
          <w:sz w:val="24"/>
          <w:szCs w:val="24"/>
        </w:rPr>
        <w:t>Figura 12</w:t>
      </w:r>
      <w:r w:rsidRPr="00252D7B">
        <w:rPr>
          <w:rFonts w:asciiTheme="minorHAnsi" w:hAnsiTheme="minorHAnsi" w:cstheme="minorHAnsi"/>
          <w:color w:val="000000"/>
          <w:sz w:val="24"/>
          <w:szCs w:val="24"/>
        </w:rPr>
        <w:fldChar w:fldCharType="end"/>
      </w:r>
      <w:r w:rsidRPr="00252D7B">
        <w:rPr>
          <w:rFonts w:asciiTheme="minorHAnsi" w:hAnsiTheme="minorHAnsi" w:cstheme="minorHAnsi"/>
          <w:color w:val="000000"/>
          <w:sz w:val="24"/>
          <w:szCs w:val="24"/>
        </w:rPr>
        <w:t xml:space="preserve"> representa essa estrutura.</w:t>
      </w:r>
    </w:p>
    <w:p w14:paraId="6354C255" w14:textId="77777777" w:rsidR="005E3702" w:rsidRPr="00252D7B" w:rsidRDefault="005E3702" w:rsidP="005E3702">
      <w:pPr>
        <w:rPr>
          <w:rFonts w:asciiTheme="minorHAnsi" w:hAnsiTheme="minorHAnsi" w:cstheme="minorHAnsi"/>
          <w:sz w:val="24"/>
          <w:szCs w:val="24"/>
        </w:rPr>
      </w:pPr>
    </w:p>
    <w:p w14:paraId="45B01F41" w14:textId="20F22FBE" w:rsidR="005E3702" w:rsidRPr="00252D7B" w:rsidRDefault="005E3702" w:rsidP="005E3702">
      <w:pPr>
        <w:pStyle w:val="Legenda"/>
        <w:jc w:val="center"/>
        <w:rPr>
          <w:rFonts w:asciiTheme="minorHAnsi" w:hAnsiTheme="minorHAnsi" w:cstheme="minorHAnsi"/>
          <w:sz w:val="20"/>
          <w:szCs w:val="20"/>
        </w:rPr>
      </w:pPr>
      <w:bookmarkStart w:id="117" w:name="_Ref96705322"/>
      <w:bookmarkStart w:id="118" w:name="_Toc96444041"/>
      <w:bookmarkStart w:id="119" w:name="_Toc96706071"/>
      <w:bookmarkStart w:id="120" w:name="_Toc103680748"/>
      <w:r w:rsidRPr="00252D7B">
        <w:rPr>
          <w:rFonts w:asciiTheme="minorHAnsi" w:hAnsiTheme="minorHAnsi" w:cstheme="minorHAnsi"/>
          <w:sz w:val="20"/>
          <w:szCs w:val="20"/>
        </w:rPr>
        <w:t xml:space="preserve">Figura </w:t>
      </w:r>
      <w:r w:rsidR="00F46BDB" w:rsidRPr="00252D7B">
        <w:rPr>
          <w:rFonts w:asciiTheme="minorHAnsi" w:hAnsiTheme="minorHAnsi" w:cstheme="minorHAnsi"/>
          <w:sz w:val="20"/>
          <w:szCs w:val="20"/>
        </w:rPr>
        <w:fldChar w:fldCharType="begin"/>
      </w:r>
      <w:r w:rsidR="00F46BDB" w:rsidRPr="00252D7B">
        <w:rPr>
          <w:rFonts w:asciiTheme="minorHAnsi" w:hAnsiTheme="minorHAnsi" w:cstheme="minorHAnsi"/>
          <w:sz w:val="20"/>
          <w:szCs w:val="20"/>
        </w:rPr>
        <w:instrText xml:space="preserve"> SEQ Figura \* ARABIC </w:instrText>
      </w:r>
      <w:r w:rsidR="00F46BDB"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12</w:t>
      </w:r>
      <w:r w:rsidR="00F46BDB" w:rsidRPr="00252D7B">
        <w:rPr>
          <w:rFonts w:asciiTheme="minorHAnsi" w:hAnsiTheme="minorHAnsi" w:cstheme="minorHAnsi"/>
          <w:sz w:val="20"/>
          <w:szCs w:val="20"/>
        </w:rPr>
        <w:fldChar w:fldCharType="end"/>
      </w:r>
      <w:bookmarkEnd w:id="117"/>
      <w:r w:rsidRPr="00252D7B">
        <w:rPr>
          <w:rFonts w:asciiTheme="minorHAnsi" w:hAnsiTheme="minorHAnsi" w:cstheme="minorHAnsi"/>
          <w:sz w:val="20"/>
          <w:szCs w:val="20"/>
        </w:rPr>
        <w:t xml:space="preserve"> – Estrutura de Governança da Valec</w:t>
      </w:r>
      <w:bookmarkEnd w:id="118"/>
      <w:bookmarkEnd w:id="119"/>
      <w:bookmarkEnd w:id="120"/>
    </w:p>
    <w:p w14:paraId="10ABDB6E" w14:textId="77777777" w:rsidR="005E3702" w:rsidRPr="00252D7B" w:rsidRDefault="005E3702" w:rsidP="005E3702">
      <w:pPr>
        <w:jc w:val="center"/>
        <w:rPr>
          <w:rFonts w:asciiTheme="minorHAnsi" w:eastAsia="Times New Roman" w:hAnsiTheme="minorHAnsi" w:cstheme="minorHAnsi"/>
          <w:sz w:val="24"/>
          <w:szCs w:val="24"/>
          <w:lang w:eastAsia="pt-BR"/>
        </w:rPr>
      </w:pPr>
      <w:r w:rsidRPr="00252D7B">
        <w:rPr>
          <w:rFonts w:asciiTheme="minorHAnsi" w:hAnsiTheme="minorHAnsi" w:cstheme="minorHAnsi"/>
          <w:noProof/>
        </w:rPr>
        <w:drawing>
          <wp:inline distT="0" distB="0" distL="0" distR="0" wp14:anchorId="1D27949D" wp14:editId="127D130B">
            <wp:extent cx="5141987" cy="4791919"/>
            <wp:effectExtent l="0" t="0" r="1905" b="8890"/>
            <wp:docPr id="74" name="Imagem 74"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Diagrama&#10;&#10;Descrição gerada automaticamente"/>
                    <pic:cNvPicPr/>
                  </pic:nvPicPr>
                  <pic:blipFill>
                    <a:blip r:embed="rId54"/>
                    <a:stretch>
                      <a:fillRect/>
                    </a:stretch>
                  </pic:blipFill>
                  <pic:spPr>
                    <a:xfrm>
                      <a:off x="0" y="0"/>
                      <a:ext cx="5151854" cy="4801114"/>
                    </a:xfrm>
                    <a:prstGeom prst="rect">
                      <a:avLst/>
                    </a:prstGeom>
                  </pic:spPr>
                </pic:pic>
              </a:graphicData>
            </a:graphic>
          </wp:inline>
        </w:drawing>
      </w:r>
    </w:p>
    <w:p w14:paraId="2C0DC422" w14:textId="77777777" w:rsidR="005E3702" w:rsidRPr="00252D7B" w:rsidRDefault="005E3702" w:rsidP="005E3702">
      <w:pPr>
        <w:rPr>
          <w:rFonts w:asciiTheme="minorHAnsi" w:eastAsia="Times New Roman" w:hAnsiTheme="minorHAnsi" w:cstheme="minorHAnsi"/>
          <w:sz w:val="24"/>
          <w:szCs w:val="24"/>
          <w:lang w:eastAsia="pt-BR"/>
        </w:rPr>
      </w:pPr>
    </w:p>
    <w:p w14:paraId="272A1688" w14:textId="77777777" w:rsidR="005E3702" w:rsidRPr="00252D7B" w:rsidRDefault="005E3702" w:rsidP="00F100A9">
      <w:pPr>
        <w:pStyle w:val="Ttulo2"/>
      </w:pPr>
      <w:bookmarkStart w:id="121" w:name="_Toc96705912"/>
      <w:bookmarkStart w:id="122" w:name="_Toc103680528"/>
      <w:r w:rsidRPr="00252D7B">
        <w:lastRenderedPageBreak/>
        <w:t>Planejamento estratégico institucional</w:t>
      </w:r>
      <w:bookmarkEnd w:id="116"/>
      <w:bookmarkEnd w:id="121"/>
      <w:bookmarkEnd w:id="122"/>
    </w:p>
    <w:p w14:paraId="14AF3281" w14:textId="20E31968" w:rsidR="005E3702" w:rsidRPr="00252D7B" w:rsidRDefault="005E3702" w:rsidP="005E3702">
      <w:pPr>
        <w:spacing w:before="120" w:after="120"/>
        <w:jc w:val="both"/>
        <w:rPr>
          <w:rFonts w:asciiTheme="minorHAnsi" w:hAnsiTheme="minorHAnsi" w:cstheme="minorHAnsi"/>
          <w:color w:val="000000"/>
          <w:sz w:val="24"/>
          <w:szCs w:val="24"/>
        </w:rPr>
      </w:pPr>
      <w:r w:rsidRPr="00252D7B">
        <w:rPr>
          <w:rFonts w:asciiTheme="minorHAnsi" w:hAnsiTheme="minorHAnsi" w:cstheme="minorHAnsi"/>
          <w:color w:val="000000"/>
          <w:sz w:val="24"/>
          <w:szCs w:val="24"/>
        </w:rPr>
        <w:t>O Planejamento Estratégico Institucional (PEI) é o direcionamento que a empresa deverá adotar em um período de longo prazo. A Lei nº 13.303/2016, art. 95, inciso II, define que seja preparado em um horizonte de, no mínimo, cinco anos (2020 a 2024). Nesse planejamento estão contidos todos os objetivos e as metas a serem alcançadas no período em questão, podendo ocorrer, eventualmente, de um ano para o outro, ajustes no planejamento.</w:t>
      </w:r>
    </w:p>
    <w:p w14:paraId="20314333" w14:textId="77777777" w:rsidR="005E3702" w:rsidRPr="00252D7B" w:rsidRDefault="005E3702" w:rsidP="005E3702">
      <w:pPr>
        <w:spacing w:before="120" w:after="120"/>
        <w:jc w:val="both"/>
        <w:rPr>
          <w:rFonts w:asciiTheme="minorHAnsi" w:hAnsiTheme="minorHAnsi" w:cstheme="minorHAnsi"/>
          <w:color w:val="000000"/>
          <w:sz w:val="24"/>
          <w:szCs w:val="24"/>
        </w:rPr>
      </w:pPr>
      <w:r w:rsidRPr="00252D7B">
        <w:rPr>
          <w:rFonts w:asciiTheme="minorHAnsi" w:hAnsiTheme="minorHAnsi" w:cstheme="minorHAnsi"/>
          <w:color w:val="000000"/>
          <w:sz w:val="24"/>
          <w:szCs w:val="24"/>
        </w:rPr>
        <w:t>No período entre junho e julho de 2020 foram revisadas a missão, a visão e os valores da Organização, seus objetivos estratégicos, suas metas e iniciativas estratégicas.</w:t>
      </w:r>
    </w:p>
    <w:p w14:paraId="1CEBC82E" w14:textId="1993BCD1" w:rsidR="005E3702" w:rsidRPr="00252D7B" w:rsidRDefault="005E3702" w:rsidP="005E3702">
      <w:pPr>
        <w:spacing w:before="120" w:after="120"/>
        <w:jc w:val="both"/>
        <w:rPr>
          <w:rFonts w:asciiTheme="minorHAnsi" w:hAnsiTheme="minorHAnsi" w:cstheme="minorHAnsi"/>
          <w:color w:val="000000"/>
          <w:sz w:val="24"/>
          <w:szCs w:val="24"/>
        </w:rPr>
      </w:pPr>
      <w:r w:rsidRPr="00252D7B">
        <w:rPr>
          <w:rFonts w:asciiTheme="minorHAnsi" w:hAnsiTheme="minorHAnsi" w:cstheme="minorHAnsi"/>
          <w:color w:val="000000"/>
          <w:sz w:val="24"/>
          <w:szCs w:val="24"/>
        </w:rPr>
        <w:t>O atual mapa estratégico (</w:t>
      </w:r>
      <w:r w:rsidRPr="00252D7B">
        <w:rPr>
          <w:rFonts w:asciiTheme="minorHAnsi" w:hAnsiTheme="minorHAnsi" w:cstheme="minorHAnsi"/>
          <w:color w:val="000000"/>
          <w:sz w:val="24"/>
          <w:szCs w:val="24"/>
        </w:rPr>
        <w:fldChar w:fldCharType="begin"/>
      </w:r>
      <w:r w:rsidRPr="00252D7B">
        <w:rPr>
          <w:rFonts w:asciiTheme="minorHAnsi" w:hAnsiTheme="minorHAnsi" w:cstheme="minorHAnsi"/>
          <w:color w:val="000000"/>
          <w:sz w:val="24"/>
          <w:szCs w:val="24"/>
        </w:rPr>
        <w:instrText xml:space="preserve"> REF _Ref96356246 </w:instrText>
      </w:r>
      <w:r w:rsidR="00101738" w:rsidRPr="00252D7B">
        <w:rPr>
          <w:rFonts w:asciiTheme="minorHAnsi" w:hAnsiTheme="minorHAnsi" w:cstheme="minorHAnsi"/>
          <w:color w:val="000000"/>
          <w:sz w:val="24"/>
          <w:szCs w:val="24"/>
        </w:rPr>
        <w:instrText xml:space="preserve"> \* MERGEFORMAT </w:instrText>
      </w:r>
      <w:r w:rsidRPr="00252D7B">
        <w:rPr>
          <w:rFonts w:asciiTheme="minorHAnsi" w:hAnsiTheme="minorHAnsi" w:cstheme="minorHAnsi"/>
          <w:color w:val="000000"/>
          <w:sz w:val="24"/>
          <w:szCs w:val="24"/>
        </w:rPr>
        <w:fldChar w:fldCharType="separate"/>
      </w:r>
      <w:r w:rsidR="00C12888" w:rsidRPr="00C12888">
        <w:rPr>
          <w:rFonts w:asciiTheme="minorHAnsi" w:hAnsiTheme="minorHAnsi" w:cstheme="minorHAnsi"/>
          <w:color w:val="000000"/>
          <w:sz w:val="24"/>
          <w:szCs w:val="24"/>
        </w:rPr>
        <w:t>Figura 13</w:t>
      </w:r>
      <w:r w:rsidRPr="00252D7B">
        <w:rPr>
          <w:rFonts w:asciiTheme="minorHAnsi" w:hAnsiTheme="minorHAnsi" w:cstheme="minorHAnsi"/>
          <w:color w:val="000000"/>
          <w:sz w:val="24"/>
          <w:szCs w:val="24"/>
        </w:rPr>
        <w:fldChar w:fldCharType="end"/>
      </w:r>
      <w:r w:rsidRPr="00252D7B">
        <w:rPr>
          <w:rFonts w:asciiTheme="minorHAnsi" w:hAnsiTheme="minorHAnsi" w:cstheme="minorHAnsi"/>
          <w:color w:val="000000"/>
          <w:sz w:val="24"/>
          <w:szCs w:val="24"/>
        </w:rPr>
        <w:t>) está alinhado ao Plano Nacional de Logística (PNL), às prioridades do Programa de Parcerias de Investimento (PPI) e ao Plano Plurianual (PPA) especialmente no que se refere às orientações do Ministério da Infraestrutura em relação ao seu próprio Plano Estratégico Ministerial, e à visão de futuro que o Ministério tem em relação à Valec.</w:t>
      </w:r>
    </w:p>
    <w:p w14:paraId="1C6B5F96" w14:textId="77777777" w:rsidR="005E3702" w:rsidRPr="00252D7B" w:rsidRDefault="005E3702" w:rsidP="00C57550">
      <w:pPr>
        <w:spacing w:before="120"/>
        <w:rPr>
          <w:rFonts w:asciiTheme="minorHAnsi" w:hAnsiTheme="minorHAnsi" w:cstheme="minorHAnsi"/>
        </w:rPr>
      </w:pPr>
    </w:p>
    <w:p w14:paraId="5E3EACEC" w14:textId="16BE9F3E" w:rsidR="005E3702" w:rsidRPr="00252D7B" w:rsidRDefault="005E3702" w:rsidP="005E3702">
      <w:pPr>
        <w:pStyle w:val="Legenda"/>
        <w:jc w:val="center"/>
        <w:rPr>
          <w:rFonts w:asciiTheme="minorHAnsi" w:hAnsiTheme="minorHAnsi" w:cstheme="minorHAnsi"/>
          <w:sz w:val="20"/>
          <w:szCs w:val="20"/>
        </w:rPr>
      </w:pPr>
      <w:bookmarkStart w:id="123" w:name="_Ref96356246"/>
      <w:bookmarkStart w:id="124" w:name="_Toc96706072"/>
      <w:bookmarkStart w:id="125" w:name="_Toc103680749"/>
      <w:r w:rsidRPr="00252D7B">
        <w:rPr>
          <w:rFonts w:asciiTheme="minorHAnsi" w:hAnsiTheme="minorHAnsi" w:cstheme="minorHAnsi"/>
          <w:sz w:val="20"/>
          <w:szCs w:val="20"/>
        </w:rPr>
        <w:t xml:space="preserve">Figura </w:t>
      </w:r>
      <w:r w:rsidR="00F46BDB" w:rsidRPr="00252D7B">
        <w:rPr>
          <w:rFonts w:asciiTheme="minorHAnsi" w:hAnsiTheme="minorHAnsi" w:cstheme="minorHAnsi"/>
          <w:sz w:val="20"/>
          <w:szCs w:val="20"/>
        </w:rPr>
        <w:fldChar w:fldCharType="begin"/>
      </w:r>
      <w:r w:rsidR="00F46BDB" w:rsidRPr="00252D7B">
        <w:rPr>
          <w:rFonts w:asciiTheme="minorHAnsi" w:hAnsiTheme="minorHAnsi" w:cstheme="minorHAnsi"/>
          <w:sz w:val="20"/>
          <w:szCs w:val="20"/>
        </w:rPr>
        <w:instrText xml:space="preserve"> SEQ Figura \* ARABIC </w:instrText>
      </w:r>
      <w:r w:rsidR="00F46BDB"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13</w:t>
      </w:r>
      <w:r w:rsidR="00F46BDB" w:rsidRPr="00252D7B">
        <w:rPr>
          <w:rFonts w:asciiTheme="minorHAnsi" w:hAnsiTheme="minorHAnsi" w:cstheme="minorHAnsi"/>
          <w:sz w:val="20"/>
          <w:szCs w:val="20"/>
        </w:rPr>
        <w:fldChar w:fldCharType="end"/>
      </w:r>
      <w:bookmarkEnd w:id="123"/>
      <w:r w:rsidRPr="00252D7B">
        <w:rPr>
          <w:rFonts w:asciiTheme="minorHAnsi" w:hAnsiTheme="minorHAnsi" w:cstheme="minorHAnsi"/>
          <w:sz w:val="20"/>
          <w:szCs w:val="20"/>
        </w:rPr>
        <w:t xml:space="preserve"> – Mapa estratégico da Valec 2020-2024</w:t>
      </w:r>
      <w:bookmarkEnd w:id="124"/>
      <w:bookmarkEnd w:id="125"/>
    </w:p>
    <w:p w14:paraId="257CB2C0" w14:textId="77777777" w:rsidR="005E3702" w:rsidRPr="00252D7B" w:rsidRDefault="005E3702" w:rsidP="005E3702">
      <w:pPr>
        <w:spacing w:before="120" w:after="120"/>
        <w:jc w:val="center"/>
        <w:rPr>
          <w:rFonts w:asciiTheme="minorHAnsi" w:hAnsiTheme="minorHAnsi" w:cstheme="minorHAnsi"/>
        </w:rPr>
      </w:pPr>
      <w:r w:rsidRPr="00252D7B">
        <w:rPr>
          <w:rFonts w:asciiTheme="minorHAnsi" w:hAnsiTheme="minorHAnsi" w:cstheme="minorHAnsi"/>
          <w:noProof/>
        </w:rPr>
        <w:drawing>
          <wp:inline distT="0" distB="0" distL="0" distR="0" wp14:anchorId="635055D3" wp14:editId="420403AB">
            <wp:extent cx="6295991" cy="4748804"/>
            <wp:effectExtent l="0" t="0" r="0" b="0"/>
            <wp:docPr id="62" name="Imagem 62" descr="Diagrama, Esquemát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m 62" descr="Diagrama, Esquemático&#10;&#10;Descrição gerada automaticament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360319" cy="4797324"/>
                    </a:xfrm>
                    <a:prstGeom prst="rect">
                      <a:avLst/>
                    </a:prstGeom>
                    <a:noFill/>
                    <a:ln>
                      <a:noFill/>
                    </a:ln>
                  </pic:spPr>
                </pic:pic>
              </a:graphicData>
            </a:graphic>
          </wp:inline>
        </w:drawing>
      </w:r>
    </w:p>
    <w:p w14:paraId="3BE2417F" w14:textId="77777777" w:rsidR="005E3702" w:rsidRPr="00252D7B" w:rsidRDefault="005E3702" w:rsidP="005E3702">
      <w:pPr>
        <w:spacing w:before="120" w:after="120"/>
        <w:jc w:val="both"/>
        <w:rPr>
          <w:rFonts w:asciiTheme="minorHAnsi" w:hAnsiTheme="minorHAnsi" w:cstheme="minorHAnsi"/>
        </w:rPr>
      </w:pPr>
    </w:p>
    <w:p w14:paraId="71F7857E" w14:textId="7EDC2F4D" w:rsidR="005E3702" w:rsidRPr="00252D7B" w:rsidRDefault="005E3702" w:rsidP="005E3702">
      <w:pPr>
        <w:spacing w:before="120" w:after="120"/>
        <w:jc w:val="both"/>
        <w:rPr>
          <w:rFonts w:asciiTheme="minorHAnsi" w:hAnsiTheme="minorHAnsi" w:cstheme="minorHAnsi"/>
          <w:color w:val="000000"/>
          <w:sz w:val="24"/>
          <w:szCs w:val="24"/>
        </w:rPr>
      </w:pPr>
      <w:r w:rsidRPr="00252D7B">
        <w:rPr>
          <w:rFonts w:asciiTheme="minorHAnsi" w:hAnsiTheme="minorHAnsi" w:cstheme="minorHAnsi"/>
          <w:color w:val="000000"/>
          <w:sz w:val="24"/>
          <w:szCs w:val="24"/>
        </w:rPr>
        <w:t>Os objetivos expostos no mapa estratégico (</w:t>
      </w:r>
      <w:r w:rsidRPr="00252D7B">
        <w:rPr>
          <w:rFonts w:asciiTheme="minorHAnsi" w:hAnsiTheme="minorHAnsi" w:cstheme="minorHAnsi"/>
          <w:color w:val="000000"/>
          <w:sz w:val="24"/>
          <w:szCs w:val="24"/>
        </w:rPr>
        <w:fldChar w:fldCharType="begin"/>
      </w:r>
      <w:r w:rsidRPr="00252D7B">
        <w:rPr>
          <w:rFonts w:asciiTheme="minorHAnsi" w:hAnsiTheme="minorHAnsi" w:cstheme="minorHAnsi"/>
          <w:color w:val="000000"/>
          <w:sz w:val="24"/>
          <w:szCs w:val="24"/>
        </w:rPr>
        <w:instrText xml:space="preserve"> REF _Ref96356246  \* MERGEFORMAT </w:instrText>
      </w:r>
      <w:r w:rsidRPr="00252D7B">
        <w:rPr>
          <w:rFonts w:asciiTheme="minorHAnsi" w:hAnsiTheme="minorHAnsi" w:cstheme="minorHAnsi"/>
          <w:color w:val="000000"/>
          <w:sz w:val="24"/>
          <w:szCs w:val="24"/>
        </w:rPr>
        <w:fldChar w:fldCharType="separate"/>
      </w:r>
      <w:r w:rsidR="00C12888" w:rsidRPr="00C12888">
        <w:rPr>
          <w:rFonts w:asciiTheme="minorHAnsi" w:hAnsiTheme="minorHAnsi" w:cstheme="minorHAnsi"/>
          <w:color w:val="000000"/>
          <w:sz w:val="24"/>
          <w:szCs w:val="24"/>
        </w:rPr>
        <w:t>Figura 13</w:t>
      </w:r>
      <w:r w:rsidRPr="00252D7B">
        <w:rPr>
          <w:rFonts w:asciiTheme="minorHAnsi" w:hAnsiTheme="minorHAnsi" w:cstheme="minorHAnsi"/>
          <w:color w:val="000000"/>
          <w:sz w:val="24"/>
          <w:szCs w:val="24"/>
        </w:rPr>
        <w:fldChar w:fldCharType="end"/>
      </w:r>
      <w:r w:rsidRPr="00252D7B">
        <w:rPr>
          <w:rFonts w:asciiTheme="minorHAnsi" w:hAnsiTheme="minorHAnsi" w:cstheme="minorHAnsi"/>
          <w:color w:val="000000"/>
          <w:sz w:val="24"/>
          <w:szCs w:val="24"/>
        </w:rPr>
        <w:t xml:space="preserve">) são desdobrados em metas e em iniciativas que serão apresentados nas próximas seções. </w:t>
      </w:r>
    </w:p>
    <w:p w14:paraId="3FC9233E" w14:textId="77777777" w:rsidR="005E3702" w:rsidRPr="00252D7B" w:rsidRDefault="005E3702" w:rsidP="005E3702">
      <w:pPr>
        <w:spacing w:before="120" w:after="120"/>
        <w:jc w:val="both"/>
        <w:rPr>
          <w:rFonts w:asciiTheme="minorHAnsi" w:hAnsiTheme="minorHAnsi" w:cstheme="minorHAnsi"/>
          <w:color w:val="000000"/>
          <w:sz w:val="24"/>
          <w:szCs w:val="24"/>
        </w:rPr>
      </w:pPr>
      <w:r w:rsidRPr="00252D7B">
        <w:rPr>
          <w:rFonts w:asciiTheme="minorHAnsi" w:hAnsiTheme="minorHAnsi" w:cstheme="minorHAnsi"/>
          <w:color w:val="000000"/>
          <w:sz w:val="24"/>
          <w:szCs w:val="24"/>
        </w:rPr>
        <w:t xml:space="preserve">Insta frisar que na Valec os resultados são verificados trimestralmente na Reunião de Avaliação </w:t>
      </w:r>
      <w:r w:rsidRPr="00252D7B">
        <w:rPr>
          <w:rFonts w:asciiTheme="minorHAnsi" w:hAnsiTheme="minorHAnsi" w:cstheme="minorHAnsi"/>
          <w:color w:val="000000"/>
          <w:sz w:val="24"/>
          <w:szCs w:val="24"/>
        </w:rPr>
        <w:lastRenderedPageBreak/>
        <w:t xml:space="preserve">Estratégica (RAE). Além disso, a Empresa adotou uma dinâmica mais flexível para correção dos rumos da estratégia, similar ao método </w:t>
      </w:r>
      <w:r w:rsidRPr="00B426C1">
        <w:rPr>
          <w:rFonts w:asciiTheme="minorHAnsi" w:hAnsiTheme="minorHAnsi" w:cstheme="minorHAnsi"/>
          <w:i/>
          <w:iCs/>
          <w:color w:val="000000"/>
          <w:sz w:val="24"/>
          <w:szCs w:val="24"/>
        </w:rPr>
        <w:t>Objetives and Key Results</w:t>
      </w:r>
      <w:r w:rsidRPr="00252D7B">
        <w:rPr>
          <w:rFonts w:asciiTheme="minorHAnsi" w:hAnsiTheme="minorHAnsi" w:cstheme="minorHAnsi"/>
          <w:color w:val="000000"/>
          <w:sz w:val="24"/>
          <w:szCs w:val="24"/>
        </w:rPr>
        <w:t xml:space="preserve"> (OKR). Assim, nas RAEs é possível avaliar se meta/indicador ainda são úteis para o alcance do objetivo ou se são passíveis de paralisação, de alteração ou de inclusão. Por tanto, tem-se uma gestão estratégica que se adapta rapidamente aos cenários e às novas diretrizes de negócio.</w:t>
      </w:r>
    </w:p>
    <w:p w14:paraId="2259CDBA" w14:textId="6E070042" w:rsidR="005E3702" w:rsidRPr="00252D7B" w:rsidRDefault="005E3702" w:rsidP="00A514F0">
      <w:pPr>
        <w:spacing w:before="120" w:after="120"/>
        <w:jc w:val="both"/>
        <w:rPr>
          <w:rFonts w:asciiTheme="minorHAnsi" w:hAnsiTheme="minorHAnsi" w:cstheme="minorHAnsi"/>
          <w:color w:val="000000"/>
          <w:sz w:val="24"/>
          <w:szCs w:val="24"/>
        </w:rPr>
      </w:pPr>
      <w:r w:rsidRPr="00252D7B">
        <w:rPr>
          <w:rFonts w:asciiTheme="minorHAnsi" w:hAnsiTheme="minorHAnsi" w:cstheme="minorHAnsi"/>
          <w:color w:val="000000"/>
          <w:sz w:val="24"/>
          <w:szCs w:val="24"/>
        </w:rPr>
        <w:t>Para o desenvolvimento da estratégia, foi desenvolvida a SWOT que serve tanto para a gestão estratégica quando para a gestão de riscos da organização (</w:t>
      </w:r>
      <w:r w:rsidRPr="00252D7B">
        <w:rPr>
          <w:rFonts w:asciiTheme="minorHAnsi" w:hAnsiTheme="minorHAnsi" w:cstheme="minorHAnsi"/>
          <w:color w:val="000000"/>
          <w:sz w:val="24"/>
          <w:szCs w:val="24"/>
        </w:rPr>
        <w:fldChar w:fldCharType="begin"/>
      </w:r>
      <w:r w:rsidRPr="00252D7B">
        <w:rPr>
          <w:rFonts w:asciiTheme="minorHAnsi" w:hAnsiTheme="minorHAnsi" w:cstheme="minorHAnsi"/>
          <w:color w:val="000000"/>
          <w:sz w:val="24"/>
          <w:szCs w:val="24"/>
        </w:rPr>
        <w:instrText xml:space="preserve"> REF _Ref96705366 </w:instrText>
      </w:r>
      <w:r w:rsidR="00101738" w:rsidRPr="00252D7B">
        <w:rPr>
          <w:rFonts w:asciiTheme="minorHAnsi" w:hAnsiTheme="minorHAnsi" w:cstheme="minorHAnsi"/>
          <w:color w:val="000000"/>
          <w:sz w:val="24"/>
          <w:szCs w:val="24"/>
        </w:rPr>
        <w:instrText xml:space="preserve"> \* MERGEFORMAT </w:instrText>
      </w:r>
      <w:r w:rsidRPr="00252D7B">
        <w:rPr>
          <w:rFonts w:asciiTheme="minorHAnsi" w:hAnsiTheme="minorHAnsi" w:cstheme="minorHAnsi"/>
          <w:color w:val="000000"/>
          <w:sz w:val="24"/>
          <w:szCs w:val="24"/>
        </w:rPr>
        <w:fldChar w:fldCharType="separate"/>
      </w:r>
      <w:r w:rsidR="00C12888" w:rsidRPr="00C12888">
        <w:rPr>
          <w:rFonts w:asciiTheme="minorHAnsi" w:hAnsiTheme="minorHAnsi" w:cstheme="minorHAnsi"/>
          <w:color w:val="000000"/>
          <w:sz w:val="24"/>
          <w:szCs w:val="24"/>
        </w:rPr>
        <w:t>Figura 14</w:t>
      </w:r>
      <w:r w:rsidRPr="00252D7B">
        <w:rPr>
          <w:rFonts w:asciiTheme="minorHAnsi" w:hAnsiTheme="minorHAnsi" w:cstheme="minorHAnsi"/>
          <w:color w:val="000000"/>
          <w:sz w:val="24"/>
          <w:szCs w:val="24"/>
        </w:rPr>
        <w:fldChar w:fldCharType="end"/>
      </w:r>
      <w:r w:rsidRPr="00252D7B">
        <w:rPr>
          <w:rFonts w:asciiTheme="minorHAnsi" w:hAnsiTheme="minorHAnsi" w:cstheme="minorHAnsi"/>
          <w:color w:val="000000"/>
          <w:sz w:val="24"/>
          <w:szCs w:val="24"/>
        </w:rPr>
        <w:t>).</w:t>
      </w:r>
    </w:p>
    <w:p w14:paraId="6A3627FE" w14:textId="77777777" w:rsidR="005E3702" w:rsidRPr="00252D7B" w:rsidRDefault="005E3702" w:rsidP="00C57550">
      <w:pPr>
        <w:spacing w:before="120"/>
        <w:rPr>
          <w:rFonts w:asciiTheme="minorHAnsi" w:hAnsiTheme="minorHAnsi" w:cstheme="minorHAnsi"/>
        </w:rPr>
      </w:pPr>
    </w:p>
    <w:p w14:paraId="3AA929CB" w14:textId="29B416B7" w:rsidR="005E3702" w:rsidRPr="00252D7B" w:rsidRDefault="005E3702" w:rsidP="005E3702">
      <w:pPr>
        <w:pStyle w:val="Legenda"/>
        <w:jc w:val="center"/>
        <w:rPr>
          <w:rFonts w:asciiTheme="minorHAnsi" w:hAnsiTheme="minorHAnsi" w:cstheme="minorHAnsi"/>
          <w:sz w:val="20"/>
          <w:szCs w:val="20"/>
        </w:rPr>
      </w:pPr>
      <w:bookmarkStart w:id="126" w:name="_Ref96705366"/>
      <w:bookmarkStart w:id="127" w:name="_Toc96706073"/>
      <w:bookmarkStart w:id="128" w:name="_Toc103680750"/>
      <w:r w:rsidRPr="00252D7B">
        <w:rPr>
          <w:rFonts w:asciiTheme="minorHAnsi" w:hAnsiTheme="minorHAnsi" w:cstheme="minorHAnsi"/>
          <w:sz w:val="20"/>
          <w:szCs w:val="20"/>
        </w:rPr>
        <w:t xml:space="preserve">Figura </w:t>
      </w:r>
      <w:r w:rsidR="00F46BDB" w:rsidRPr="00252D7B">
        <w:rPr>
          <w:rFonts w:asciiTheme="minorHAnsi" w:hAnsiTheme="minorHAnsi" w:cstheme="minorHAnsi"/>
          <w:sz w:val="20"/>
          <w:szCs w:val="20"/>
        </w:rPr>
        <w:fldChar w:fldCharType="begin"/>
      </w:r>
      <w:r w:rsidR="00F46BDB" w:rsidRPr="00252D7B">
        <w:rPr>
          <w:rFonts w:asciiTheme="minorHAnsi" w:hAnsiTheme="minorHAnsi" w:cstheme="minorHAnsi"/>
          <w:sz w:val="20"/>
          <w:szCs w:val="20"/>
        </w:rPr>
        <w:instrText xml:space="preserve"> SEQ Figura \* ARABIC </w:instrText>
      </w:r>
      <w:r w:rsidR="00F46BDB"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14</w:t>
      </w:r>
      <w:r w:rsidR="00F46BDB" w:rsidRPr="00252D7B">
        <w:rPr>
          <w:rFonts w:asciiTheme="minorHAnsi" w:hAnsiTheme="minorHAnsi" w:cstheme="minorHAnsi"/>
          <w:sz w:val="20"/>
          <w:szCs w:val="20"/>
        </w:rPr>
        <w:fldChar w:fldCharType="end"/>
      </w:r>
      <w:bookmarkEnd w:id="126"/>
      <w:r w:rsidRPr="00252D7B">
        <w:rPr>
          <w:rFonts w:asciiTheme="minorHAnsi" w:hAnsiTheme="minorHAnsi" w:cstheme="minorHAnsi"/>
          <w:sz w:val="20"/>
          <w:szCs w:val="20"/>
        </w:rPr>
        <w:t xml:space="preserve"> – Análise de SWOT</w:t>
      </w:r>
      <w:bookmarkEnd w:id="127"/>
      <w:bookmarkEnd w:id="128"/>
    </w:p>
    <w:p w14:paraId="06B52784" w14:textId="77777777" w:rsidR="005E3702" w:rsidRPr="00252D7B" w:rsidRDefault="005E3702" w:rsidP="005E3702">
      <w:pPr>
        <w:spacing w:before="120" w:after="120"/>
        <w:rPr>
          <w:rFonts w:asciiTheme="minorHAnsi" w:hAnsiTheme="minorHAnsi" w:cstheme="minorHAnsi"/>
        </w:rPr>
      </w:pPr>
      <w:r w:rsidRPr="00252D7B">
        <w:rPr>
          <w:rFonts w:asciiTheme="minorHAnsi" w:hAnsiTheme="minorHAnsi" w:cstheme="minorHAnsi"/>
          <w:noProof/>
        </w:rPr>
        <w:drawing>
          <wp:inline distT="0" distB="0" distL="0" distR="0" wp14:anchorId="4B1B63B7" wp14:editId="74CD4FC0">
            <wp:extent cx="6188710" cy="4523740"/>
            <wp:effectExtent l="0" t="0" r="2540" b="0"/>
            <wp:docPr id="75" name="Imagem 75"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m 75" descr="Interface gráfica do usuário, Aplicativo&#10;&#10;Descrição gerada automaticamente"/>
                    <pic:cNvPicPr/>
                  </pic:nvPicPr>
                  <pic:blipFill>
                    <a:blip r:embed="rId56"/>
                    <a:stretch>
                      <a:fillRect/>
                    </a:stretch>
                  </pic:blipFill>
                  <pic:spPr>
                    <a:xfrm>
                      <a:off x="0" y="0"/>
                      <a:ext cx="6188710" cy="4523740"/>
                    </a:xfrm>
                    <a:prstGeom prst="rect">
                      <a:avLst/>
                    </a:prstGeom>
                  </pic:spPr>
                </pic:pic>
              </a:graphicData>
            </a:graphic>
          </wp:inline>
        </w:drawing>
      </w:r>
    </w:p>
    <w:p w14:paraId="6EB9B377" w14:textId="77777777" w:rsidR="005E3702" w:rsidRPr="00252D7B" w:rsidRDefault="005E3702" w:rsidP="005E3702">
      <w:pPr>
        <w:spacing w:before="120" w:after="120"/>
        <w:rPr>
          <w:rFonts w:asciiTheme="minorHAnsi" w:hAnsiTheme="minorHAnsi" w:cstheme="minorHAnsi"/>
        </w:rPr>
      </w:pPr>
    </w:p>
    <w:p w14:paraId="6526C521" w14:textId="225FC1F8" w:rsidR="005E3702" w:rsidRDefault="00B0675E" w:rsidP="00A514F0">
      <w:pPr>
        <w:spacing w:before="120" w:after="120"/>
        <w:jc w:val="both"/>
        <w:rPr>
          <w:rFonts w:asciiTheme="minorHAnsi" w:hAnsiTheme="minorHAnsi" w:cstheme="minorHAnsi"/>
          <w:color w:val="000000"/>
          <w:sz w:val="24"/>
          <w:szCs w:val="24"/>
        </w:rPr>
      </w:pPr>
      <w:r>
        <w:rPr>
          <w:rFonts w:asciiTheme="minorHAnsi" w:hAnsiTheme="minorHAnsi" w:cstheme="minorHAnsi"/>
          <w:color w:val="000000"/>
          <w:sz w:val="24"/>
          <w:szCs w:val="24"/>
        </w:rPr>
        <w:t>O Quadro</w:t>
      </w:r>
      <w:r w:rsidR="005E3702" w:rsidRPr="00252D7B">
        <w:rPr>
          <w:rFonts w:asciiTheme="minorHAnsi" w:hAnsiTheme="minorHAnsi" w:cstheme="minorHAnsi"/>
          <w:color w:val="000000"/>
          <w:sz w:val="24"/>
          <w:szCs w:val="24"/>
        </w:rPr>
        <w:t xml:space="preserve"> </w:t>
      </w:r>
      <w:r w:rsidR="00736A3E" w:rsidRPr="00736A3E">
        <w:rPr>
          <w:rFonts w:asciiTheme="minorHAnsi" w:hAnsiTheme="minorHAnsi" w:cstheme="minorHAnsi"/>
          <w:sz w:val="24"/>
          <w:szCs w:val="24"/>
        </w:rPr>
        <w:t xml:space="preserve">4 </w:t>
      </w:r>
      <w:r w:rsidR="005E3702" w:rsidRPr="00252D7B">
        <w:rPr>
          <w:rFonts w:asciiTheme="minorHAnsi" w:hAnsiTheme="minorHAnsi" w:cstheme="minorHAnsi"/>
          <w:color w:val="000000"/>
          <w:sz w:val="24"/>
          <w:szCs w:val="24"/>
        </w:rPr>
        <w:t>apresenta os objetivos estratégicos com o detalhamento de suas metas</w:t>
      </w:r>
      <w:r>
        <w:rPr>
          <w:rFonts w:asciiTheme="minorHAnsi" w:hAnsiTheme="minorHAnsi" w:cstheme="minorHAnsi"/>
          <w:color w:val="000000"/>
          <w:sz w:val="24"/>
          <w:szCs w:val="24"/>
        </w:rPr>
        <w:t xml:space="preserve"> e</w:t>
      </w:r>
      <w:r w:rsidR="005E3702" w:rsidRPr="00252D7B">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indicadores </w:t>
      </w:r>
      <w:r w:rsidR="005E3702" w:rsidRPr="00252D7B">
        <w:rPr>
          <w:rFonts w:asciiTheme="minorHAnsi" w:hAnsiTheme="minorHAnsi" w:cstheme="minorHAnsi"/>
          <w:color w:val="000000"/>
          <w:sz w:val="24"/>
          <w:szCs w:val="24"/>
        </w:rPr>
        <w:t>de longo prago, considerando o horizonte até 2024.</w:t>
      </w:r>
    </w:p>
    <w:p w14:paraId="7FB75B29" w14:textId="77777777" w:rsidR="00B0675E" w:rsidRPr="00252D7B" w:rsidRDefault="00B0675E" w:rsidP="00A514F0">
      <w:pPr>
        <w:spacing w:before="120" w:after="120"/>
        <w:jc w:val="both"/>
        <w:rPr>
          <w:rFonts w:asciiTheme="minorHAnsi" w:hAnsiTheme="minorHAnsi" w:cstheme="minorHAnsi"/>
          <w:color w:val="000000"/>
          <w:sz w:val="24"/>
          <w:szCs w:val="24"/>
        </w:rPr>
      </w:pPr>
    </w:p>
    <w:tbl>
      <w:tblPr>
        <w:tblStyle w:val="Tabelacomgrade"/>
        <w:tblW w:w="0" w:type="auto"/>
        <w:jc w:val="center"/>
        <w:tblLook w:val="04A0" w:firstRow="1" w:lastRow="0" w:firstColumn="1" w:lastColumn="0" w:noHBand="0" w:noVBand="1"/>
      </w:tblPr>
      <w:tblGrid>
        <w:gridCol w:w="337"/>
        <w:gridCol w:w="2215"/>
      </w:tblGrid>
      <w:tr w:rsidR="00B0675E" w:rsidRPr="00252D7B" w14:paraId="01F43D75" w14:textId="77777777" w:rsidTr="00B0675E">
        <w:trPr>
          <w:jc w:val="center"/>
        </w:trPr>
        <w:tc>
          <w:tcPr>
            <w:tcW w:w="337" w:type="dxa"/>
            <w:shd w:val="clear" w:color="auto" w:fill="92D050"/>
          </w:tcPr>
          <w:p w14:paraId="5011EC58" w14:textId="77777777" w:rsidR="00B0675E" w:rsidRPr="00252D7B" w:rsidRDefault="00B0675E" w:rsidP="00CF6464">
            <w:pPr>
              <w:pStyle w:val="Default"/>
              <w:rPr>
                <w:rFonts w:asciiTheme="minorHAnsi" w:hAnsiTheme="minorHAnsi" w:cstheme="minorHAnsi"/>
                <w:sz w:val="20"/>
                <w:szCs w:val="20"/>
              </w:rPr>
            </w:pPr>
          </w:p>
        </w:tc>
        <w:tc>
          <w:tcPr>
            <w:tcW w:w="2215" w:type="dxa"/>
          </w:tcPr>
          <w:p w14:paraId="5AA4DE62" w14:textId="77777777" w:rsidR="00B0675E" w:rsidRPr="00252D7B" w:rsidRDefault="00B0675E" w:rsidP="00CF6464">
            <w:pPr>
              <w:pStyle w:val="Default"/>
              <w:rPr>
                <w:rFonts w:asciiTheme="minorHAnsi" w:hAnsiTheme="minorHAnsi" w:cstheme="minorHAnsi"/>
                <w:sz w:val="20"/>
                <w:szCs w:val="20"/>
              </w:rPr>
            </w:pPr>
            <w:r w:rsidRPr="00252D7B">
              <w:rPr>
                <w:rFonts w:asciiTheme="minorHAnsi" w:hAnsiTheme="minorHAnsi" w:cstheme="minorHAnsi"/>
                <w:sz w:val="20"/>
                <w:szCs w:val="20"/>
              </w:rPr>
              <w:t>Inclusão de novas metas</w:t>
            </w:r>
          </w:p>
        </w:tc>
      </w:tr>
      <w:tr w:rsidR="00B0675E" w:rsidRPr="00252D7B" w14:paraId="73E41DBA" w14:textId="77777777" w:rsidTr="00B0675E">
        <w:trPr>
          <w:jc w:val="center"/>
        </w:trPr>
        <w:tc>
          <w:tcPr>
            <w:tcW w:w="337" w:type="dxa"/>
            <w:shd w:val="clear" w:color="auto" w:fill="FFFF00"/>
          </w:tcPr>
          <w:p w14:paraId="11E65B8B" w14:textId="77777777" w:rsidR="00B0675E" w:rsidRPr="00252D7B" w:rsidRDefault="00B0675E" w:rsidP="00CF6464">
            <w:pPr>
              <w:pStyle w:val="Default"/>
              <w:rPr>
                <w:rFonts w:asciiTheme="minorHAnsi" w:hAnsiTheme="minorHAnsi" w:cstheme="minorHAnsi"/>
                <w:sz w:val="20"/>
                <w:szCs w:val="20"/>
              </w:rPr>
            </w:pPr>
          </w:p>
        </w:tc>
        <w:tc>
          <w:tcPr>
            <w:tcW w:w="2215" w:type="dxa"/>
          </w:tcPr>
          <w:p w14:paraId="4D529327" w14:textId="77777777" w:rsidR="00B0675E" w:rsidRPr="00252D7B" w:rsidRDefault="00B0675E" w:rsidP="00CF6464">
            <w:pPr>
              <w:pStyle w:val="Default"/>
              <w:rPr>
                <w:rFonts w:asciiTheme="minorHAnsi" w:hAnsiTheme="minorHAnsi" w:cstheme="minorHAnsi"/>
                <w:sz w:val="20"/>
                <w:szCs w:val="20"/>
              </w:rPr>
            </w:pPr>
            <w:r w:rsidRPr="00252D7B">
              <w:rPr>
                <w:rFonts w:asciiTheme="minorHAnsi" w:hAnsiTheme="minorHAnsi" w:cstheme="minorHAnsi"/>
                <w:sz w:val="20"/>
                <w:szCs w:val="20"/>
              </w:rPr>
              <w:t>Alteração de metas</w:t>
            </w:r>
          </w:p>
        </w:tc>
      </w:tr>
      <w:tr w:rsidR="00B0675E" w:rsidRPr="00252D7B" w14:paraId="519BE549" w14:textId="77777777" w:rsidTr="00B0675E">
        <w:trPr>
          <w:jc w:val="center"/>
        </w:trPr>
        <w:tc>
          <w:tcPr>
            <w:tcW w:w="337" w:type="dxa"/>
            <w:shd w:val="clear" w:color="auto" w:fill="C5ADCB"/>
          </w:tcPr>
          <w:p w14:paraId="11554B41" w14:textId="77777777" w:rsidR="00B0675E" w:rsidRPr="00252D7B" w:rsidRDefault="00B0675E" w:rsidP="00CF6464">
            <w:pPr>
              <w:pStyle w:val="Default"/>
              <w:rPr>
                <w:rFonts w:asciiTheme="minorHAnsi" w:hAnsiTheme="minorHAnsi" w:cstheme="minorHAnsi"/>
                <w:sz w:val="20"/>
                <w:szCs w:val="20"/>
              </w:rPr>
            </w:pPr>
          </w:p>
        </w:tc>
        <w:tc>
          <w:tcPr>
            <w:tcW w:w="2215" w:type="dxa"/>
          </w:tcPr>
          <w:p w14:paraId="1034B8A2" w14:textId="77777777" w:rsidR="00B0675E" w:rsidRPr="00252D7B" w:rsidRDefault="00B0675E" w:rsidP="00CF6464">
            <w:pPr>
              <w:pStyle w:val="Default"/>
              <w:rPr>
                <w:rFonts w:asciiTheme="minorHAnsi" w:hAnsiTheme="minorHAnsi" w:cstheme="minorHAnsi"/>
                <w:sz w:val="20"/>
                <w:szCs w:val="20"/>
              </w:rPr>
            </w:pPr>
            <w:r w:rsidRPr="00252D7B">
              <w:rPr>
                <w:rFonts w:asciiTheme="minorHAnsi" w:hAnsiTheme="minorHAnsi" w:cstheme="minorHAnsi"/>
                <w:sz w:val="20"/>
                <w:szCs w:val="20"/>
              </w:rPr>
              <w:t>Paralisação de metas</w:t>
            </w:r>
          </w:p>
        </w:tc>
      </w:tr>
    </w:tbl>
    <w:p w14:paraId="31B0EDFA" w14:textId="64E8E1DE" w:rsidR="003A3253" w:rsidRDefault="005E3702">
      <w:pPr>
        <w:widowControl/>
        <w:autoSpaceDE/>
        <w:autoSpaceDN/>
        <w:spacing w:after="160" w:line="259" w:lineRule="auto"/>
        <w:rPr>
          <w:rFonts w:asciiTheme="minorHAnsi" w:hAnsiTheme="minorHAnsi" w:cstheme="minorHAnsi"/>
        </w:rPr>
      </w:pPr>
      <w:r w:rsidRPr="00252D7B">
        <w:rPr>
          <w:rFonts w:asciiTheme="minorHAnsi" w:hAnsiTheme="minorHAnsi" w:cstheme="minorHAnsi"/>
        </w:rPr>
        <w:br w:type="page"/>
      </w:r>
    </w:p>
    <w:p w14:paraId="6C35F7FD" w14:textId="2D045D16" w:rsidR="003A3253" w:rsidRPr="003A3253" w:rsidRDefault="003A3253" w:rsidP="003A3253">
      <w:pPr>
        <w:pStyle w:val="Legenda"/>
        <w:jc w:val="center"/>
        <w:rPr>
          <w:rFonts w:asciiTheme="minorHAnsi" w:hAnsiTheme="minorHAnsi" w:cstheme="minorHAnsi"/>
          <w:sz w:val="20"/>
          <w:szCs w:val="20"/>
        </w:rPr>
      </w:pPr>
      <w:bookmarkStart w:id="129" w:name="_Toc103680723"/>
      <w:r w:rsidRPr="00252D7B">
        <w:rPr>
          <w:rFonts w:asciiTheme="minorHAnsi" w:hAnsiTheme="minorHAnsi" w:cstheme="minorHAnsi"/>
          <w:sz w:val="20"/>
          <w:szCs w:val="20"/>
        </w:rPr>
        <w:lastRenderedPageBreak/>
        <w:t xml:space="preserve">Quadro </w:t>
      </w:r>
      <w:r w:rsidRPr="00252D7B">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Quadro \* ARABIC </w:instrText>
      </w:r>
      <w:r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4</w:t>
      </w:r>
      <w:r w:rsidRPr="00252D7B">
        <w:rPr>
          <w:rFonts w:asciiTheme="minorHAnsi" w:hAnsiTheme="minorHAnsi" w:cstheme="minorHAnsi"/>
          <w:sz w:val="20"/>
          <w:szCs w:val="20"/>
        </w:rPr>
        <w:fldChar w:fldCharType="end"/>
      </w:r>
      <w:r w:rsidRPr="00252D7B">
        <w:rPr>
          <w:rFonts w:asciiTheme="minorHAnsi" w:hAnsiTheme="minorHAnsi" w:cstheme="minorHAnsi"/>
          <w:sz w:val="20"/>
          <w:szCs w:val="20"/>
        </w:rPr>
        <w:t xml:space="preserve"> – </w:t>
      </w:r>
      <w:r>
        <w:rPr>
          <w:rFonts w:asciiTheme="minorHAnsi" w:hAnsiTheme="minorHAnsi" w:cstheme="minorHAnsi"/>
          <w:sz w:val="20"/>
          <w:szCs w:val="20"/>
        </w:rPr>
        <w:t>Quadro-resumo do PEI 2020-2024</w:t>
      </w:r>
      <w:bookmarkEnd w:id="129"/>
    </w:p>
    <w:tbl>
      <w:tblPr>
        <w:tblW w:w="10439" w:type="dxa"/>
        <w:tblLayout w:type="fixed"/>
        <w:tblCellMar>
          <w:left w:w="70" w:type="dxa"/>
          <w:right w:w="70" w:type="dxa"/>
        </w:tblCellMar>
        <w:tblLook w:val="04A0" w:firstRow="1" w:lastRow="0" w:firstColumn="1" w:lastColumn="0" w:noHBand="0" w:noVBand="1"/>
      </w:tblPr>
      <w:tblGrid>
        <w:gridCol w:w="1833"/>
        <w:gridCol w:w="2835"/>
        <w:gridCol w:w="2977"/>
        <w:gridCol w:w="2794"/>
      </w:tblGrid>
      <w:tr w:rsidR="00B0675E" w:rsidRPr="00B0675E" w14:paraId="69ECFBD3" w14:textId="77777777" w:rsidTr="00D43DEB">
        <w:trPr>
          <w:trHeight w:val="525"/>
          <w:tblHeader/>
        </w:trPr>
        <w:tc>
          <w:tcPr>
            <w:tcW w:w="1833" w:type="dxa"/>
            <w:tcBorders>
              <w:top w:val="single" w:sz="8" w:space="0" w:color="auto"/>
              <w:left w:val="single" w:sz="8" w:space="0" w:color="auto"/>
              <w:bottom w:val="single" w:sz="8" w:space="0" w:color="auto"/>
              <w:right w:val="single" w:sz="8" w:space="0" w:color="auto"/>
            </w:tcBorders>
            <w:shd w:val="clear" w:color="000000" w:fill="D9D9D9"/>
            <w:vAlign w:val="bottom"/>
            <w:hideMark/>
          </w:tcPr>
          <w:p w14:paraId="31A875E2" w14:textId="77777777" w:rsidR="00B0675E" w:rsidRPr="00B0675E" w:rsidRDefault="00B0675E" w:rsidP="00B0675E">
            <w:pPr>
              <w:widowControl/>
              <w:autoSpaceDE/>
              <w:autoSpaceDN/>
              <w:jc w:val="center"/>
              <w:rPr>
                <w:rFonts w:eastAsia="Times New Roman"/>
                <w:b/>
                <w:bCs/>
                <w:color w:val="000000"/>
                <w:sz w:val="20"/>
                <w:szCs w:val="20"/>
                <w:lang w:eastAsia="pt-BR" w:bidi="ar-SA"/>
              </w:rPr>
            </w:pPr>
            <w:r w:rsidRPr="00B0675E">
              <w:rPr>
                <w:rFonts w:eastAsia="Times New Roman"/>
                <w:b/>
                <w:bCs/>
                <w:color w:val="000000"/>
                <w:sz w:val="20"/>
                <w:szCs w:val="20"/>
                <w:lang w:eastAsia="pt-BR" w:bidi="ar-SA"/>
              </w:rPr>
              <w:t>Objetivos estratégicos</w:t>
            </w:r>
          </w:p>
        </w:tc>
        <w:tc>
          <w:tcPr>
            <w:tcW w:w="2835" w:type="dxa"/>
            <w:tcBorders>
              <w:top w:val="single" w:sz="8" w:space="0" w:color="auto"/>
              <w:left w:val="nil"/>
              <w:bottom w:val="single" w:sz="8" w:space="0" w:color="auto"/>
              <w:right w:val="single" w:sz="8" w:space="0" w:color="auto"/>
            </w:tcBorders>
            <w:shd w:val="clear" w:color="000000" w:fill="D9D9D9"/>
            <w:vAlign w:val="center"/>
            <w:hideMark/>
          </w:tcPr>
          <w:p w14:paraId="26BF3160" w14:textId="77777777" w:rsidR="00B0675E" w:rsidRPr="00B0675E" w:rsidRDefault="00B0675E" w:rsidP="00B0675E">
            <w:pPr>
              <w:widowControl/>
              <w:autoSpaceDE/>
              <w:autoSpaceDN/>
              <w:jc w:val="center"/>
              <w:rPr>
                <w:rFonts w:eastAsia="Times New Roman"/>
                <w:b/>
                <w:bCs/>
                <w:color w:val="000000"/>
                <w:sz w:val="20"/>
                <w:szCs w:val="20"/>
                <w:lang w:eastAsia="pt-BR" w:bidi="ar-SA"/>
              </w:rPr>
            </w:pPr>
            <w:r w:rsidRPr="00B0675E">
              <w:rPr>
                <w:rFonts w:eastAsia="Times New Roman"/>
                <w:b/>
                <w:bCs/>
                <w:color w:val="000000"/>
                <w:sz w:val="20"/>
                <w:szCs w:val="20"/>
                <w:lang w:eastAsia="pt-BR" w:bidi="ar-SA"/>
              </w:rPr>
              <w:t>Metas (2020-2024)</w:t>
            </w:r>
          </w:p>
        </w:tc>
        <w:tc>
          <w:tcPr>
            <w:tcW w:w="2977" w:type="dxa"/>
            <w:tcBorders>
              <w:top w:val="single" w:sz="8" w:space="0" w:color="auto"/>
              <w:left w:val="nil"/>
              <w:bottom w:val="single" w:sz="8" w:space="0" w:color="auto"/>
              <w:right w:val="single" w:sz="8" w:space="0" w:color="auto"/>
            </w:tcBorders>
            <w:shd w:val="clear" w:color="000000" w:fill="D9D9D9"/>
            <w:vAlign w:val="center"/>
            <w:hideMark/>
          </w:tcPr>
          <w:p w14:paraId="0FD5F44A" w14:textId="77777777" w:rsidR="00B0675E" w:rsidRPr="00B0675E" w:rsidRDefault="00B0675E" w:rsidP="00B0675E">
            <w:pPr>
              <w:widowControl/>
              <w:autoSpaceDE/>
              <w:autoSpaceDN/>
              <w:jc w:val="center"/>
              <w:rPr>
                <w:rFonts w:eastAsia="Times New Roman"/>
                <w:b/>
                <w:bCs/>
                <w:color w:val="000000"/>
                <w:sz w:val="20"/>
                <w:szCs w:val="20"/>
                <w:lang w:eastAsia="pt-BR" w:bidi="ar-SA"/>
              </w:rPr>
            </w:pPr>
            <w:r w:rsidRPr="00B0675E">
              <w:rPr>
                <w:rFonts w:eastAsia="Times New Roman"/>
                <w:b/>
                <w:bCs/>
                <w:color w:val="000000"/>
                <w:sz w:val="20"/>
                <w:szCs w:val="20"/>
                <w:lang w:eastAsia="pt-BR" w:bidi="ar-SA"/>
              </w:rPr>
              <w:t>Indicadores</w:t>
            </w:r>
          </w:p>
        </w:tc>
        <w:tc>
          <w:tcPr>
            <w:tcW w:w="2794" w:type="dxa"/>
            <w:tcBorders>
              <w:top w:val="single" w:sz="8" w:space="0" w:color="auto"/>
              <w:left w:val="nil"/>
              <w:bottom w:val="single" w:sz="8" w:space="0" w:color="auto"/>
              <w:right w:val="single" w:sz="8" w:space="0" w:color="auto"/>
            </w:tcBorders>
            <w:shd w:val="clear" w:color="000000" w:fill="D9D9D9"/>
            <w:vAlign w:val="center"/>
            <w:hideMark/>
          </w:tcPr>
          <w:p w14:paraId="1E096824" w14:textId="77777777" w:rsidR="00B0675E" w:rsidRPr="00B0675E" w:rsidRDefault="00B0675E" w:rsidP="00B0675E">
            <w:pPr>
              <w:widowControl/>
              <w:autoSpaceDE/>
              <w:autoSpaceDN/>
              <w:jc w:val="center"/>
              <w:rPr>
                <w:rFonts w:eastAsia="Times New Roman"/>
                <w:b/>
                <w:bCs/>
                <w:color w:val="000000"/>
                <w:sz w:val="20"/>
                <w:szCs w:val="20"/>
                <w:lang w:eastAsia="pt-BR" w:bidi="ar-SA"/>
              </w:rPr>
            </w:pPr>
            <w:r w:rsidRPr="00B0675E">
              <w:rPr>
                <w:rFonts w:eastAsia="Times New Roman"/>
                <w:b/>
                <w:bCs/>
                <w:color w:val="000000"/>
                <w:sz w:val="20"/>
                <w:szCs w:val="20"/>
                <w:lang w:eastAsia="pt-BR" w:bidi="ar-SA"/>
              </w:rPr>
              <w:t>Observações</w:t>
            </w:r>
          </w:p>
        </w:tc>
      </w:tr>
      <w:tr w:rsidR="00B0675E" w:rsidRPr="00B0675E" w14:paraId="027B426A" w14:textId="77777777" w:rsidTr="00D43DEB">
        <w:trPr>
          <w:trHeight w:val="510"/>
        </w:trPr>
        <w:tc>
          <w:tcPr>
            <w:tcW w:w="1833" w:type="dxa"/>
            <w:vMerge w:val="restart"/>
            <w:tcBorders>
              <w:top w:val="nil"/>
              <w:left w:val="single" w:sz="8" w:space="0" w:color="auto"/>
              <w:bottom w:val="single" w:sz="8" w:space="0" w:color="000000"/>
              <w:right w:val="single" w:sz="4" w:space="0" w:color="auto"/>
            </w:tcBorders>
            <w:shd w:val="clear" w:color="auto" w:fill="auto"/>
            <w:vAlign w:val="center"/>
            <w:hideMark/>
          </w:tcPr>
          <w:p w14:paraId="4385CA2F" w14:textId="77777777" w:rsidR="00B0675E" w:rsidRPr="00B0675E" w:rsidRDefault="00B0675E" w:rsidP="00B0675E">
            <w:pPr>
              <w:widowControl/>
              <w:autoSpaceDE/>
              <w:autoSpaceDN/>
              <w:jc w:val="center"/>
              <w:rPr>
                <w:rFonts w:eastAsia="Times New Roman"/>
                <w:color w:val="000000"/>
                <w:sz w:val="20"/>
                <w:szCs w:val="20"/>
                <w:lang w:eastAsia="pt-BR" w:bidi="ar-SA"/>
              </w:rPr>
            </w:pPr>
            <w:r w:rsidRPr="00B0675E">
              <w:rPr>
                <w:rFonts w:eastAsia="Times New Roman"/>
                <w:color w:val="000000"/>
                <w:sz w:val="20"/>
                <w:szCs w:val="20"/>
                <w:lang w:eastAsia="pt-BR" w:bidi="ar-SA"/>
              </w:rPr>
              <w:t>Objetivo 1.1 - Contribuir para a ampliação da oferta de transporte ferroviário de carga e de passageiros, assim como a redução do custo logístico no Brasil</w:t>
            </w:r>
          </w:p>
        </w:tc>
        <w:tc>
          <w:tcPr>
            <w:tcW w:w="2835" w:type="dxa"/>
            <w:tcBorders>
              <w:top w:val="nil"/>
              <w:left w:val="nil"/>
              <w:bottom w:val="single" w:sz="4" w:space="0" w:color="auto"/>
              <w:right w:val="single" w:sz="4" w:space="0" w:color="auto"/>
            </w:tcBorders>
            <w:shd w:val="clear" w:color="auto" w:fill="auto"/>
            <w:vAlign w:val="center"/>
            <w:hideMark/>
          </w:tcPr>
          <w:p w14:paraId="7EAA4290"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1. Concluir 85% da FIOL II até dezembro de 2022</w:t>
            </w:r>
          </w:p>
        </w:tc>
        <w:tc>
          <w:tcPr>
            <w:tcW w:w="2977" w:type="dxa"/>
            <w:tcBorders>
              <w:top w:val="nil"/>
              <w:left w:val="nil"/>
              <w:bottom w:val="single" w:sz="4" w:space="0" w:color="auto"/>
              <w:right w:val="single" w:sz="4" w:space="0" w:color="auto"/>
            </w:tcBorders>
            <w:shd w:val="clear" w:color="auto" w:fill="auto"/>
            <w:vAlign w:val="center"/>
            <w:hideMark/>
          </w:tcPr>
          <w:p w14:paraId="64C8982E"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Avanço Físico realizado / Avanço físico programado</w:t>
            </w:r>
          </w:p>
        </w:tc>
        <w:tc>
          <w:tcPr>
            <w:tcW w:w="2794" w:type="dxa"/>
            <w:tcBorders>
              <w:top w:val="nil"/>
              <w:left w:val="nil"/>
              <w:bottom w:val="single" w:sz="4" w:space="0" w:color="auto"/>
              <w:right w:val="single" w:sz="8" w:space="0" w:color="auto"/>
            </w:tcBorders>
            <w:shd w:val="clear" w:color="auto" w:fill="auto"/>
            <w:vAlign w:val="center"/>
            <w:hideMark/>
          </w:tcPr>
          <w:p w14:paraId="7E82FEF0" w14:textId="77777777" w:rsidR="00B0675E" w:rsidRPr="00B0675E" w:rsidRDefault="00B0675E" w:rsidP="00B0675E">
            <w:pPr>
              <w:widowControl/>
              <w:autoSpaceDE/>
              <w:autoSpaceDN/>
              <w:rPr>
                <w:rFonts w:eastAsia="Times New Roman"/>
                <w:color w:val="000000"/>
                <w:sz w:val="18"/>
                <w:szCs w:val="18"/>
                <w:lang w:eastAsia="pt-BR" w:bidi="ar-SA"/>
              </w:rPr>
            </w:pPr>
            <w:r w:rsidRPr="00B0675E">
              <w:rPr>
                <w:rFonts w:eastAsia="Times New Roman"/>
                <w:color w:val="000000"/>
                <w:sz w:val="18"/>
                <w:szCs w:val="18"/>
                <w:lang w:eastAsia="pt-BR" w:bidi="ar-SA"/>
              </w:rPr>
              <w:t> </w:t>
            </w:r>
          </w:p>
        </w:tc>
      </w:tr>
      <w:tr w:rsidR="00B0675E" w:rsidRPr="00B0675E" w14:paraId="06F7687D" w14:textId="77777777" w:rsidTr="00D43DEB">
        <w:trPr>
          <w:trHeight w:val="1200"/>
        </w:trPr>
        <w:tc>
          <w:tcPr>
            <w:tcW w:w="1833" w:type="dxa"/>
            <w:vMerge/>
            <w:tcBorders>
              <w:top w:val="nil"/>
              <w:left w:val="single" w:sz="8" w:space="0" w:color="auto"/>
              <w:bottom w:val="single" w:sz="8" w:space="0" w:color="000000"/>
              <w:right w:val="single" w:sz="4" w:space="0" w:color="auto"/>
            </w:tcBorders>
            <w:vAlign w:val="center"/>
            <w:hideMark/>
          </w:tcPr>
          <w:p w14:paraId="4DAF8E7C" w14:textId="77777777" w:rsidR="00B0675E" w:rsidRPr="00B0675E" w:rsidRDefault="00B0675E" w:rsidP="00B0675E">
            <w:pPr>
              <w:widowControl/>
              <w:autoSpaceDE/>
              <w:autoSpaceDN/>
              <w:rPr>
                <w:rFonts w:eastAsia="Times New Roman"/>
                <w:color w:val="000000"/>
                <w:sz w:val="20"/>
                <w:szCs w:val="20"/>
                <w:lang w:eastAsia="pt-BR" w:bidi="ar-SA"/>
              </w:rPr>
            </w:pPr>
          </w:p>
        </w:tc>
        <w:tc>
          <w:tcPr>
            <w:tcW w:w="2835" w:type="dxa"/>
            <w:tcBorders>
              <w:top w:val="nil"/>
              <w:left w:val="nil"/>
              <w:bottom w:val="single" w:sz="4" w:space="0" w:color="auto"/>
              <w:right w:val="single" w:sz="4" w:space="0" w:color="auto"/>
            </w:tcBorders>
            <w:shd w:val="clear" w:color="auto" w:fill="auto"/>
            <w:vAlign w:val="center"/>
            <w:hideMark/>
          </w:tcPr>
          <w:p w14:paraId="62FA0ACE"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2. Participar na execução de 02 novos empreendimentos ferroviários até dezembro de 2022</w:t>
            </w:r>
          </w:p>
        </w:tc>
        <w:tc>
          <w:tcPr>
            <w:tcW w:w="2977" w:type="dxa"/>
            <w:tcBorders>
              <w:top w:val="nil"/>
              <w:left w:val="nil"/>
              <w:bottom w:val="single" w:sz="4" w:space="0" w:color="auto"/>
              <w:right w:val="single" w:sz="4" w:space="0" w:color="auto"/>
            </w:tcBorders>
            <w:shd w:val="clear" w:color="000000" w:fill="FFFF00"/>
            <w:vAlign w:val="center"/>
            <w:hideMark/>
          </w:tcPr>
          <w:p w14:paraId="2D7D76ED"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[(Nº de laudos aprovados / Nº total de laudos dos 30km) x 40] + (Somatório do percentual das ações de governança e de desapropriação para o início da execução da FICO)</w:t>
            </w:r>
          </w:p>
        </w:tc>
        <w:tc>
          <w:tcPr>
            <w:tcW w:w="2794" w:type="dxa"/>
            <w:tcBorders>
              <w:top w:val="nil"/>
              <w:left w:val="nil"/>
              <w:bottom w:val="single" w:sz="4" w:space="0" w:color="auto"/>
              <w:right w:val="single" w:sz="8" w:space="0" w:color="auto"/>
            </w:tcBorders>
            <w:shd w:val="clear" w:color="auto" w:fill="auto"/>
            <w:vAlign w:val="center"/>
            <w:hideMark/>
          </w:tcPr>
          <w:p w14:paraId="41481FC4" w14:textId="77777777" w:rsidR="00B0675E" w:rsidRPr="00B0675E" w:rsidRDefault="00B0675E" w:rsidP="00B0675E">
            <w:pPr>
              <w:widowControl/>
              <w:autoSpaceDE/>
              <w:autoSpaceDN/>
              <w:rPr>
                <w:rFonts w:eastAsia="Times New Roman"/>
                <w:color w:val="000000"/>
                <w:sz w:val="18"/>
                <w:szCs w:val="18"/>
                <w:lang w:eastAsia="pt-BR" w:bidi="ar-SA"/>
              </w:rPr>
            </w:pPr>
            <w:r w:rsidRPr="00B0675E">
              <w:rPr>
                <w:rFonts w:eastAsia="Times New Roman"/>
                <w:color w:val="000000"/>
                <w:sz w:val="18"/>
                <w:szCs w:val="18"/>
                <w:lang w:eastAsia="pt-BR" w:bidi="ar-SA"/>
              </w:rPr>
              <w:t>A comparação “De” “Para” do indicador da meta 1.2 está no Anexo do Planejamento Estratégico Institucional (PEI 2020 – 2024), disponível em:  https://www.valec.gov.br/documentos/governanca/Planejamento-Estrategico-2020-2024-v11.5.pdf</w:t>
            </w:r>
          </w:p>
        </w:tc>
      </w:tr>
      <w:tr w:rsidR="00B0675E" w:rsidRPr="00B0675E" w14:paraId="59C9A89B" w14:textId="77777777" w:rsidTr="00D43DEB">
        <w:trPr>
          <w:trHeight w:val="765"/>
        </w:trPr>
        <w:tc>
          <w:tcPr>
            <w:tcW w:w="1833" w:type="dxa"/>
            <w:vMerge/>
            <w:tcBorders>
              <w:top w:val="nil"/>
              <w:left w:val="single" w:sz="8" w:space="0" w:color="auto"/>
              <w:bottom w:val="single" w:sz="8" w:space="0" w:color="000000"/>
              <w:right w:val="single" w:sz="4" w:space="0" w:color="auto"/>
            </w:tcBorders>
            <w:vAlign w:val="center"/>
            <w:hideMark/>
          </w:tcPr>
          <w:p w14:paraId="5C70456C" w14:textId="77777777" w:rsidR="00B0675E" w:rsidRPr="00B0675E" w:rsidRDefault="00B0675E" w:rsidP="00B0675E">
            <w:pPr>
              <w:widowControl/>
              <w:autoSpaceDE/>
              <w:autoSpaceDN/>
              <w:rPr>
                <w:rFonts w:eastAsia="Times New Roman"/>
                <w:color w:val="000000"/>
                <w:sz w:val="20"/>
                <w:szCs w:val="20"/>
                <w:lang w:eastAsia="pt-BR" w:bidi="ar-SA"/>
              </w:rPr>
            </w:pPr>
          </w:p>
        </w:tc>
        <w:tc>
          <w:tcPr>
            <w:tcW w:w="2835" w:type="dxa"/>
            <w:tcBorders>
              <w:top w:val="nil"/>
              <w:left w:val="nil"/>
              <w:bottom w:val="single" w:sz="4" w:space="0" w:color="auto"/>
              <w:right w:val="single" w:sz="4" w:space="0" w:color="auto"/>
            </w:tcBorders>
            <w:shd w:val="clear" w:color="auto" w:fill="auto"/>
            <w:vAlign w:val="center"/>
            <w:hideMark/>
          </w:tcPr>
          <w:p w14:paraId="5A241B0C"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 xml:space="preserve">3. Ter 01 cenário viável para continuidade do empreendimento Nova Transnordestina até dezembro de 2021 </w:t>
            </w:r>
          </w:p>
        </w:tc>
        <w:tc>
          <w:tcPr>
            <w:tcW w:w="2977" w:type="dxa"/>
            <w:tcBorders>
              <w:top w:val="nil"/>
              <w:left w:val="nil"/>
              <w:bottom w:val="single" w:sz="4" w:space="0" w:color="auto"/>
              <w:right w:val="single" w:sz="4" w:space="0" w:color="auto"/>
            </w:tcBorders>
            <w:shd w:val="clear" w:color="auto" w:fill="auto"/>
            <w:vAlign w:val="center"/>
            <w:hideMark/>
          </w:tcPr>
          <w:p w14:paraId="362E7AE5"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Nº de cenários viáveis apresentados</w:t>
            </w:r>
          </w:p>
        </w:tc>
        <w:tc>
          <w:tcPr>
            <w:tcW w:w="2794" w:type="dxa"/>
            <w:tcBorders>
              <w:top w:val="nil"/>
              <w:left w:val="nil"/>
              <w:bottom w:val="single" w:sz="4" w:space="0" w:color="auto"/>
              <w:right w:val="single" w:sz="8" w:space="0" w:color="auto"/>
            </w:tcBorders>
            <w:shd w:val="clear" w:color="auto" w:fill="auto"/>
            <w:vAlign w:val="center"/>
            <w:hideMark/>
          </w:tcPr>
          <w:p w14:paraId="302D6D5F" w14:textId="77777777" w:rsidR="00B0675E" w:rsidRPr="00B0675E" w:rsidRDefault="00B0675E" w:rsidP="00B0675E">
            <w:pPr>
              <w:widowControl/>
              <w:autoSpaceDE/>
              <w:autoSpaceDN/>
              <w:rPr>
                <w:rFonts w:eastAsia="Times New Roman"/>
                <w:color w:val="000000"/>
                <w:sz w:val="18"/>
                <w:szCs w:val="18"/>
                <w:lang w:eastAsia="pt-BR" w:bidi="ar-SA"/>
              </w:rPr>
            </w:pPr>
            <w:r w:rsidRPr="00B0675E">
              <w:rPr>
                <w:rFonts w:eastAsia="Times New Roman"/>
                <w:color w:val="000000"/>
                <w:sz w:val="18"/>
                <w:szCs w:val="18"/>
                <w:lang w:eastAsia="pt-BR" w:bidi="ar-SA"/>
              </w:rPr>
              <w:t> </w:t>
            </w:r>
          </w:p>
        </w:tc>
      </w:tr>
      <w:tr w:rsidR="00B0675E" w:rsidRPr="00B0675E" w14:paraId="2F11DDBF" w14:textId="77777777" w:rsidTr="00D43DEB">
        <w:trPr>
          <w:trHeight w:val="1200"/>
        </w:trPr>
        <w:tc>
          <w:tcPr>
            <w:tcW w:w="1833" w:type="dxa"/>
            <w:vMerge/>
            <w:tcBorders>
              <w:top w:val="nil"/>
              <w:left w:val="single" w:sz="8" w:space="0" w:color="auto"/>
              <w:bottom w:val="single" w:sz="8" w:space="0" w:color="000000"/>
              <w:right w:val="single" w:sz="4" w:space="0" w:color="auto"/>
            </w:tcBorders>
            <w:vAlign w:val="center"/>
            <w:hideMark/>
          </w:tcPr>
          <w:p w14:paraId="28562D02" w14:textId="77777777" w:rsidR="00B0675E" w:rsidRPr="00B0675E" w:rsidRDefault="00B0675E" w:rsidP="00B0675E">
            <w:pPr>
              <w:widowControl/>
              <w:autoSpaceDE/>
              <w:autoSpaceDN/>
              <w:rPr>
                <w:rFonts w:eastAsia="Times New Roman"/>
                <w:color w:val="000000"/>
                <w:sz w:val="20"/>
                <w:szCs w:val="20"/>
                <w:lang w:eastAsia="pt-BR" w:bidi="ar-SA"/>
              </w:rPr>
            </w:pPr>
          </w:p>
        </w:tc>
        <w:tc>
          <w:tcPr>
            <w:tcW w:w="2835" w:type="dxa"/>
            <w:tcBorders>
              <w:top w:val="nil"/>
              <w:left w:val="nil"/>
              <w:bottom w:val="single" w:sz="4" w:space="0" w:color="auto"/>
              <w:right w:val="single" w:sz="4" w:space="0" w:color="auto"/>
            </w:tcBorders>
            <w:shd w:val="clear" w:color="auto" w:fill="auto"/>
            <w:vAlign w:val="center"/>
            <w:hideMark/>
          </w:tcPr>
          <w:p w14:paraId="0D097262"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4. Ter 100% dos procedimentos de governança implementados nas participações societárias da Valec até dezembro de 2021</w:t>
            </w:r>
          </w:p>
        </w:tc>
        <w:tc>
          <w:tcPr>
            <w:tcW w:w="2977" w:type="dxa"/>
            <w:tcBorders>
              <w:top w:val="nil"/>
              <w:left w:val="nil"/>
              <w:bottom w:val="single" w:sz="4" w:space="0" w:color="auto"/>
              <w:right w:val="single" w:sz="4" w:space="0" w:color="auto"/>
            </w:tcBorders>
            <w:shd w:val="clear" w:color="000000" w:fill="FFFF00"/>
            <w:vAlign w:val="center"/>
            <w:hideMark/>
          </w:tcPr>
          <w:p w14:paraId="3E75C61C"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 de execução da iniciativa 1.1.4 Implantar um modelo de governança para participações societárias</w:t>
            </w:r>
          </w:p>
        </w:tc>
        <w:tc>
          <w:tcPr>
            <w:tcW w:w="2794" w:type="dxa"/>
            <w:tcBorders>
              <w:top w:val="nil"/>
              <w:left w:val="nil"/>
              <w:bottom w:val="single" w:sz="4" w:space="0" w:color="auto"/>
              <w:right w:val="single" w:sz="8" w:space="0" w:color="auto"/>
            </w:tcBorders>
            <w:shd w:val="clear" w:color="auto" w:fill="auto"/>
            <w:vAlign w:val="center"/>
            <w:hideMark/>
          </w:tcPr>
          <w:p w14:paraId="473DF5F7" w14:textId="77777777" w:rsidR="00B0675E" w:rsidRPr="00B0675E" w:rsidRDefault="00B0675E" w:rsidP="00B0675E">
            <w:pPr>
              <w:widowControl/>
              <w:autoSpaceDE/>
              <w:autoSpaceDN/>
              <w:rPr>
                <w:rFonts w:eastAsia="Times New Roman"/>
                <w:color w:val="000000"/>
                <w:sz w:val="18"/>
                <w:szCs w:val="18"/>
                <w:lang w:eastAsia="pt-BR" w:bidi="ar-SA"/>
              </w:rPr>
            </w:pPr>
            <w:r w:rsidRPr="00B0675E">
              <w:rPr>
                <w:rFonts w:eastAsia="Times New Roman"/>
                <w:color w:val="000000"/>
                <w:sz w:val="18"/>
                <w:szCs w:val="18"/>
                <w:lang w:eastAsia="pt-BR" w:bidi="ar-SA"/>
              </w:rPr>
              <w:t>A comparação “De” “Para” do indicador da meta 1.4 está no Anexo do Planejamento Estratégico Institucional (PEI 2020 – 2024), disponível em:  https://www.valec.gov.br/documentos/governanca/Planejamento-Estrategico-2020-2024-v11.5.pdf</w:t>
            </w:r>
          </w:p>
        </w:tc>
      </w:tr>
      <w:tr w:rsidR="00B0675E" w:rsidRPr="00B0675E" w14:paraId="4D315A33" w14:textId="77777777" w:rsidTr="00D43DEB">
        <w:trPr>
          <w:trHeight w:val="765"/>
        </w:trPr>
        <w:tc>
          <w:tcPr>
            <w:tcW w:w="1833" w:type="dxa"/>
            <w:vMerge/>
            <w:tcBorders>
              <w:top w:val="nil"/>
              <w:left w:val="single" w:sz="8" w:space="0" w:color="auto"/>
              <w:bottom w:val="single" w:sz="8" w:space="0" w:color="000000"/>
              <w:right w:val="single" w:sz="4" w:space="0" w:color="auto"/>
            </w:tcBorders>
            <w:vAlign w:val="center"/>
            <w:hideMark/>
          </w:tcPr>
          <w:p w14:paraId="5B74BA22" w14:textId="77777777" w:rsidR="00B0675E" w:rsidRPr="00B0675E" w:rsidRDefault="00B0675E" w:rsidP="00B0675E">
            <w:pPr>
              <w:widowControl/>
              <w:autoSpaceDE/>
              <w:autoSpaceDN/>
              <w:rPr>
                <w:rFonts w:eastAsia="Times New Roman"/>
                <w:color w:val="000000"/>
                <w:sz w:val="20"/>
                <w:szCs w:val="20"/>
                <w:lang w:eastAsia="pt-BR" w:bidi="ar-SA"/>
              </w:rPr>
            </w:pPr>
          </w:p>
        </w:tc>
        <w:tc>
          <w:tcPr>
            <w:tcW w:w="2835" w:type="dxa"/>
            <w:tcBorders>
              <w:top w:val="nil"/>
              <w:left w:val="nil"/>
              <w:bottom w:val="single" w:sz="4" w:space="0" w:color="auto"/>
              <w:right w:val="single" w:sz="4" w:space="0" w:color="auto"/>
            </w:tcBorders>
            <w:shd w:val="clear" w:color="000000" w:fill="C5ADCB"/>
            <w:vAlign w:val="center"/>
            <w:hideMark/>
          </w:tcPr>
          <w:p w14:paraId="28158AB6"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5. Apresentar 01 proposta de fomento para transporte de passageiros até dezembro de 2021</w:t>
            </w:r>
          </w:p>
        </w:tc>
        <w:tc>
          <w:tcPr>
            <w:tcW w:w="2977" w:type="dxa"/>
            <w:tcBorders>
              <w:top w:val="nil"/>
              <w:left w:val="nil"/>
              <w:bottom w:val="single" w:sz="4" w:space="0" w:color="auto"/>
              <w:right w:val="single" w:sz="4" w:space="0" w:color="auto"/>
            </w:tcBorders>
            <w:shd w:val="clear" w:color="000000" w:fill="C5ADCB"/>
            <w:vAlign w:val="center"/>
            <w:hideMark/>
          </w:tcPr>
          <w:p w14:paraId="5D773238"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Nº de propostas de fomento de transporte de passageiros apresentadas</w:t>
            </w:r>
          </w:p>
        </w:tc>
        <w:tc>
          <w:tcPr>
            <w:tcW w:w="2794" w:type="dxa"/>
            <w:tcBorders>
              <w:top w:val="nil"/>
              <w:left w:val="nil"/>
              <w:bottom w:val="single" w:sz="4" w:space="0" w:color="auto"/>
              <w:right w:val="single" w:sz="8" w:space="0" w:color="auto"/>
            </w:tcBorders>
            <w:shd w:val="clear" w:color="auto" w:fill="auto"/>
            <w:vAlign w:val="center"/>
            <w:hideMark/>
          </w:tcPr>
          <w:p w14:paraId="40CE80D6" w14:textId="77777777" w:rsidR="00B0675E" w:rsidRPr="00B0675E" w:rsidRDefault="00B0675E" w:rsidP="00B0675E">
            <w:pPr>
              <w:widowControl/>
              <w:autoSpaceDE/>
              <w:autoSpaceDN/>
              <w:rPr>
                <w:rFonts w:eastAsia="Times New Roman"/>
                <w:color w:val="000000"/>
                <w:sz w:val="18"/>
                <w:szCs w:val="18"/>
                <w:lang w:eastAsia="pt-BR" w:bidi="ar-SA"/>
              </w:rPr>
            </w:pPr>
            <w:r w:rsidRPr="00B0675E">
              <w:rPr>
                <w:rFonts w:eastAsia="Times New Roman"/>
                <w:color w:val="000000"/>
                <w:sz w:val="18"/>
                <w:szCs w:val="18"/>
                <w:lang w:eastAsia="pt-BR" w:bidi="ar-SA"/>
              </w:rPr>
              <w:t>A meta 1.1.5 foi paralisada por redefinição de mérito, sendo substituída pela meta 1.1.7.</w:t>
            </w:r>
          </w:p>
        </w:tc>
      </w:tr>
      <w:tr w:rsidR="00B0675E" w:rsidRPr="00B0675E" w14:paraId="64FDC18A" w14:textId="77777777" w:rsidTr="00D43DEB">
        <w:trPr>
          <w:trHeight w:val="720"/>
        </w:trPr>
        <w:tc>
          <w:tcPr>
            <w:tcW w:w="1833" w:type="dxa"/>
            <w:vMerge/>
            <w:tcBorders>
              <w:top w:val="nil"/>
              <w:left w:val="single" w:sz="8" w:space="0" w:color="auto"/>
              <w:bottom w:val="single" w:sz="8" w:space="0" w:color="000000"/>
              <w:right w:val="single" w:sz="4" w:space="0" w:color="auto"/>
            </w:tcBorders>
            <w:vAlign w:val="center"/>
            <w:hideMark/>
          </w:tcPr>
          <w:p w14:paraId="795E22CD" w14:textId="77777777" w:rsidR="00B0675E" w:rsidRPr="00B0675E" w:rsidRDefault="00B0675E" w:rsidP="00B0675E">
            <w:pPr>
              <w:widowControl/>
              <w:autoSpaceDE/>
              <w:autoSpaceDN/>
              <w:rPr>
                <w:rFonts w:eastAsia="Times New Roman"/>
                <w:color w:val="000000"/>
                <w:sz w:val="20"/>
                <w:szCs w:val="20"/>
                <w:lang w:eastAsia="pt-BR" w:bidi="ar-SA"/>
              </w:rPr>
            </w:pPr>
          </w:p>
        </w:tc>
        <w:tc>
          <w:tcPr>
            <w:tcW w:w="2835" w:type="dxa"/>
            <w:tcBorders>
              <w:top w:val="nil"/>
              <w:left w:val="nil"/>
              <w:bottom w:val="single" w:sz="4" w:space="0" w:color="auto"/>
              <w:right w:val="single" w:sz="4" w:space="0" w:color="auto"/>
            </w:tcBorders>
            <w:shd w:val="clear" w:color="000000" w:fill="C5ADCB"/>
            <w:vAlign w:val="center"/>
            <w:hideMark/>
          </w:tcPr>
          <w:p w14:paraId="2B6A0F3B"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6. Garantir 100% da manutenção do trecho FIOL I até assinatura do contrato</w:t>
            </w:r>
          </w:p>
        </w:tc>
        <w:tc>
          <w:tcPr>
            <w:tcW w:w="2977" w:type="dxa"/>
            <w:tcBorders>
              <w:top w:val="nil"/>
              <w:left w:val="nil"/>
              <w:bottom w:val="single" w:sz="4" w:space="0" w:color="auto"/>
              <w:right w:val="single" w:sz="4" w:space="0" w:color="auto"/>
            </w:tcBorders>
            <w:shd w:val="clear" w:color="000000" w:fill="C5ADCB"/>
            <w:vAlign w:val="center"/>
            <w:hideMark/>
          </w:tcPr>
          <w:p w14:paraId="1ED70E8C"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Nº de km mantidos / Total km FIOL I</w:t>
            </w:r>
          </w:p>
        </w:tc>
        <w:tc>
          <w:tcPr>
            <w:tcW w:w="2794" w:type="dxa"/>
            <w:tcBorders>
              <w:top w:val="nil"/>
              <w:left w:val="nil"/>
              <w:bottom w:val="single" w:sz="4" w:space="0" w:color="auto"/>
              <w:right w:val="single" w:sz="8" w:space="0" w:color="auto"/>
            </w:tcBorders>
            <w:shd w:val="clear" w:color="auto" w:fill="auto"/>
            <w:vAlign w:val="center"/>
            <w:hideMark/>
          </w:tcPr>
          <w:p w14:paraId="3B55C89B" w14:textId="77777777" w:rsidR="00B0675E" w:rsidRPr="00B0675E" w:rsidRDefault="00B0675E" w:rsidP="00B0675E">
            <w:pPr>
              <w:widowControl/>
              <w:autoSpaceDE/>
              <w:autoSpaceDN/>
              <w:rPr>
                <w:rFonts w:eastAsia="Times New Roman"/>
                <w:color w:val="000000"/>
                <w:sz w:val="18"/>
                <w:szCs w:val="18"/>
                <w:lang w:eastAsia="pt-BR" w:bidi="ar-SA"/>
              </w:rPr>
            </w:pPr>
            <w:r w:rsidRPr="00B0675E">
              <w:rPr>
                <w:rFonts w:eastAsia="Times New Roman"/>
                <w:color w:val="000000"/>
                <w:sz w:val="18"/>
                <w:szCs w:val="18"/>
                <w:lang w:eastAsia="pt-BR" w:bidi="ar-SA"/>
              </w:rPr>
              <w:t>A meta 1.1.6 fica suspensa em virtude do leilão da FIOL que dispensa a Valec de responsabilidades estratégicas.</w:t>
            </w:r>
          </w:p>
        </w:tc>
      </w:tr>
      <w:tr w:rsidR="00B0675E" w:rsidRPr="00B0675E" w14:paraId="054C4758" w14:textId="77777777" w:rsidTr="00D43DEB">
        <w:trPr>
          <w:trHeight w:val="1215"/>
        </w:trPr>
        <w:tc>
          <w:tcPr>
            <w:tcW w:w="1833" w:type="dxa"/>
            <w:vMerge/>
            <w:tcBorders>
              <w:top w:val="nil"/>
              <w:left w:val="single" w:sz="8" w:space="0" w:color="auto"/>
              <w:bottom w:val="single" w:sz="8" w:space="0" w:color="000000"/>
              <w:right w:val="single" w:sz="4" w:space="0" w:color="auto"/>
            </w:tcBorders>
            <w:vAlign w:val="center"/>
            <w:hideMark/>
          </w:tcPr>
          <w:p w14:paraId="75F6C629" w14:textId="77777777" w:rsidR="00B0675E" w:rsidRPr="00B0675E" w:rsidRDefault="00B0675E" w:rsidP="00B0675E">
            <w:pPr>
              <w:widowControl/>
              <w:autoSpaceDE/>
              <w:autoSpaceDN/>
              <w:rPr>
                <w:rFonts w:eastAsia="Times New Roman"/>
                <w:color w:val="000000"/>
                <w:sz w:val="20"/>
                <w:szCs w:val="20"/>
                <w:lang w:eastAsia="pt-BR" w:bidi="ar-SA"/>
              </w:rPr>
            </w:pPr>
          </w:p>
        </w:tc>
        <w:tc>
          <w:tcPr>
            <w:tcW w:w="2835" w:type="dxa"/>
            <w:tcBorders>
              <w:top w:val="nil"/>
              <w:left w:val="nil"/>
              <w:bottom w:val="single" w:sz="8" w:space="0" w:color="auto"/>
              <w:right w:val="single" w:sz="4" w:space="0" w:color="auto"/>
            </w:tcBorders>
            <w:shd w:val="clear" w:color="000000" w:fill="92D050"/>
            <w:vAlign w:val="center"/>
            <w:hideMark/>
          </w:tcPr>
          <w:p w14:paraId="171D1CD7"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7. Identificar 6 oportunidades de prestação de serviço de transporte ferroviário de passageiros até dezembro 2022</w:t>
            </w:r>
          </w:p>
        </w:tc>
        <w:tc>
          <w:tcPr>
            <w:tcW w:w="2977" w:type="dxa"/>
            <w:tcBorders>
              <w:top w:val="nil"/>
              <w:left w:val="nil"/>
              <w:bottom w:val="single" w:sz="8" w:space="0" w:color="auto"/>
              <w:right w:val="single" w:sz="4" w:space="0" w:color="auto"/>
            </w:tcBorders>
            <w:shd w:val="clear" w:color="000000" w:fill="FFFF00"/>
            <w:vAlign w:val="center"/>
            <w:hideMark/>
          </w:tcPr>
          <w:p w14:paraId="52E82704"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 de execução da iniciativa 1.1.6 Identificar oportunidades de transporte ferroviário de passageiros</w:t>
            </w:r>
          </w:p>
        </w:tc>
        <w:tc>
          <w:tcPr>
            <w:tcW w:w="2794" w:type="dxa"/>
            <w:tcBorders>
              <w:top w:val="nil"/>
              <w:left w:val="nil"/>
              <w:bottom w:val="single" w:sz="4" w:space="0" w:color="auto"/>
              <w:right w:val="single" w:sz="8" w:space="0" w:color="auto"/>
            </w:tcBorders>
            <w:shd w:val="clear" w:color="auto" w:fill="auto"/>
            <w:vAlign w:val="center"/>
            <w:hideMark/>
          </w:tcPr>
          <w:p w14:paraId="2F2DA629" w14:textId="77777777" w:rsidR="00B0675E" w:rsidRPr="00B0675E" w:rsidRDefault="00B0675E" w:rsidP="00B0675E">
            <w:pPr>
              <w:widowControl/>
              <w:autoSpaceDE/>
              <w:autoSpaceDN/>
              <w:rPr>
                <w:rFonts w:eastAsia="Times New Roman"/>
                <w:color w:val="000000"/>
                <w:sz w:val="18"/>
                <w:szCs w:val="18"/>
                <w:lang w:eastAsia="pt-BR" w:bidi="ar-SA"/>
              </w:rPr>
            </w:pPr>
            <w:r w:rsidRPr="00B0675E">
              <w:rPr>
                <w:rFonts w:eastAsia="Times New Roman"/>
                <w:color w:val="000000"/>
                <w:sz w:val="18"/>
                <w:szCs w:val="18"/>
                <w:lang w:eastAsia="pt-BR" w:bidi="ar-SA"/>
              </w:rPr>
              <w:t>A comparação “De” “Para” do indicador da meta 1.1.7 está no Anexo do Planejamento Estratégico Institucional (PEI 2020 – 2024), disponível em:  https://www.valec.gov.br/documentos/governanca/Planejamento-Estrategico-2020-2024-v11.5.pdf</w:t>
            </w:r>
          </w:p>
        </w:tc>
      </w:tr>
      <w:tr w:rsidR="00B0675E" w:rsidRPr="00B0675E" w14:paraId="545E3DC9" w14:textId="77777777" w:rsidTr="00D43DEB">
        <w:trPr>
          <w:trHeight w:val="1275"/>
        </w:trPr>
        <w:tc>
          <w:tcPr>
            <w:tcW w:w="1833" w:type="dxa"/>
            <w:vMerge w:val="restart"/>
            <w:tcBorders>
              <w:top w:val="nil"/>
              <w:left w:val="single" w:sz="8" w:space="0" w:color="auto"/>
              <w:bottom w:val="single" w:sz="8" w:space="0" w:color="000000"/>
              <w:right w:val="single" w:sz="4" w:space="0" w:color="auto"/>
            </w:tcBorders>
            <w:shd w:val="clear" w:color="auto" w:fill="auto"/>
            <w:vAlign w:val="center"/>
            <w:hideMark/>
          </w:tcPr>
          <w:p w14:paraId="5A59A347" w14:textId="77777777" w:rsidR="00B0675E" w:rsidRPr="00B0675E" w:rsidRDefault="00B0675E" w:rsidP="00B0675E">
            <w:pPr>
              <w:widowControl/>
              <w:autoSpaceDE/>
              <w:autoSpaceDN/>
              <w:jc w:val="center"/>
              <w:rPr>
                <w:rFonts w:eastAsia="Times New Roman"/>
                <w:color w:val="000000"/>
                <w:sz w:val="20"/>
                <w:szCs w:val="20"/>
                <w:lang w:eastAsia="pt-BR" w:bidi="ar-SA"/>
              </w:rPr>
            </w:pPr>
            <w:r w:rsidRPr="00B0675E">
              <w:rPr>
                <w:rFonts w:eastAsia="Times New Roman"/>
                <w:color w:val="000000"/>
                <w:sz w:val="20"/>
                <w:szCs w:val="20"/>
                <w:lang w:eastAsia="pt-BR" w:bidi="ar-SA"/>
              </w:rPr>
              <w:t>Objetivo 1.2 - Buscar reconhecimento como empresa pública</w:t>
            </w:r>
          </w:p>
        </w:tc>
        <w:tc>
          <w:tcPr>
            <w:tcW w:w="2835" w:type="dxa"/>
            <w:tcBorders>
              <w:top w:val="nil"/>
              <w:left w:val="nil"/>
              <w:bottom w:val="single" w:sz="4" w:space="0" w:color="auto"/>
              <w:right w:val="single" w:sz="4" w:space="0" w:color="auto"/>
            </w:tcBorders>
            <w:shd w:val="clear" w:color="auto" w:fill="auto"/>
            <w:vAlign w:val="center"/>
            <w:hideMark/>
          </w:tcPr>
          <w:p w14:paraId="3BD9D05B"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1. Ampliar o alcance nas redes sociais até dezembro de 2024: Ingressar no Facebook – Instagram – 40.000 seguidores; Twitter: 40.000 seguidores; e LinkedIn - 30.000 seguidores</w:t>
            </w:r>
          </w:p>
        </w:tc>
        <w:tc>
          <w:tcPr>
            <w:tcW w:w="2977" w:type="dxa"/>
            <w:tcBorders>
              <w:top w:val="nil"/>
              <w:left w:val="nil"/>
              <w:bottom w:val="single" w:sz="4" w:space="0" w:color="auto"/>
              <w:right w:val="single" w:sz="4" w:space="0" w:color="auto"/>
            </w:tcBorders>
            <w:shd w:val="clear" w:color="auto" w:fill="auto"/>
            <w:vAlign w:val="center"/>
            <w:hideMark/>
          </w:tcPr>
          <w:p w14:paraId="2E1B0CAD"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Total de seguidores por mídia social</w:t>
            </w:r>
          </w:p>
        </w:tc>
        <w:tc>
          <w:tcPr>
            <w:tcW w:w="2794" w:type="dxa"/>
            <w:tcBorders>
              <w:top w:val="single" w:sz="8" w:space="0" w:color="auto"/>
              <w:left w:val="nil"/>
              <w:bottom w:val="single" w:sz="4" w:space="0" w:color="auto"/>
              <w:right w:val="single" w:sz="8" w:space="0" w:color="auto"/>
            </w:tcBorders>
            <w:shd w:val="clear" w:color="auto" w:fill="auto"/>
            <w:vAlign w:val="center"/>
            <w:hideMark/>
          </w:tcPr>
          <w:p w14:paraId="5EC2059D" w14:textId="77777777" w:rsidR="00B0675E" w:rsidRPr="00B0675E" w:rsidRDefault="00B0675E" w:rsidP="00B0675E">
            <w:pPr>
              <w:widowControl/>
              <w:autoSpaceDE/>
              <w:autoSpaceDN/>
              <w:rPr>
                <w:rFonts w:eastAsia="Times New Roman"/>
                <w:color w:val="000000"/>
                <w:sz w:val="18"/>
                <w:szCs w:val="18"/>
                <w:lang w:eastAsia="pt-BR" w:bidi="ar-SA"/>
              </w:rPr>
            </w:pPr>
            <w:r w:rsidRPr="00B0675E">
              <w:rPr>
                <w:rFonts w:eastAsia="Times New Roman"/>
                <w:color w:val="000000"/>
                <w:sz w:val="18"/>
                <w:szCs w:val="18"/>
                <w:lang w:eastAsia="pt-BR" w:bidi="ar-SA"/>
              </w:rPr>
              <w:t> </w:t>
            </w:r>
          </w:p>
        </w:tc>
      </w:tr>
      <w:tr w:rsidR="00B0675E" w:rsidRPr="00B0675E" w14:paraId="62F42F80" w14:textId="77777777" w:rsidTr="00D43DEB">
        <w:trPr>
          <w:trHeight w:val="600"/>
        </w:trPr>
        <w:tc>
          <w:tcPr>
            <w:tcW w:w="1833" w:type="dxa"/>
            <w:vMerge/>
            <w:tcBorders>
              <w:top w:val="nil"/>
              <w:left w:val="single" w:sz="8" w:space="0" w:color="auto"/>
              <w:bottom w:val="single" w:sz="8" w:space="0" w:color="000000"/>
              <w:right w:val="single" w:sz="4" w:space="0" w:color="auto"/>
            </w:tcBorders>
            <w:vAlign w:val="center"/>
            <w:hideMark/>
          </w:tcPr>
          <w:p w14:paraId="3E753B7C" w14:textId="77777777" w:rsidR="00B0675E" w:rsidRPr="00B0675E" w:rsidRDefault="00B0675E" w:rsidP="00B0675E">
            <w:pPr>
              <w:widowControl/>
              <w:autoSpaceDE/>
              <w:autoSpaceDN/>
              <w:rPr>
                <w:rFonts w:eastAsia="Times New Roman"/>
                <w:color w:val="000000"/>
                <w:sz w:val="20"/>
                <w:szCs w:val="20"/>
                <w:lang w:eastAsia="pt-BR" w:bidi="ar-SA"/>
              </w:rPr>
            </w:pPr>
          </w:p>
        </w:tc>
        <w:tc>
          <w:tcPr>
            <w:tcW w:w="2835" w:type="dxa"/>
            <w:tcBorders>
              <w:top w:val="nil"/>
              <w:left w:val="nil"/>
              <w:bottom w:val="single" w:sz="4" w:space="0" w:color="auto"/>
              <w:right w:val="single" w:sz="4" w:space="0" w:color="auto"/>
            </w:tcBorders>
            <w:shd w:val="clear" w:color="auto" w:fill="auto"/>
            <w:vAlign w:val="center"/>
            <w:hideMark/>
          </w:tcPr>
          <w:p w14:paraId="3277DA5E"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2. Participar como convidado protagonista em 12 eventos e/ou seminários por ano</w:t>
            </w:r>
          </w:p>
        </w:tc>
        <w:tc>
          <w:tcPr>
            <w:tcW w:w="2977" w:type="dxa"/>
            <w:tcBorders>
              <w:top w:val="nil"/>
              <w:left w:val="nil"/>
              <w:bottom w:val="single" w:sz="4" w:space="0" w:color="auto"/>
              <w:right w:val="single" w:sz="4" w:space="0" w:color="auto"/>
            </w:tcBorders>
            <w:shd w:val="clear" w:color="auto" w:fill="auto"/>
            <w:vAlign w:val="center"/>
            <w:hideMark/>
          </w:tcPr>
          <w:p w14:paraId="3B010537"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Total acumulado de eventos promovidos pela Valec, com convidados externos, por ano</w:t>
            </w:r>
          </w:p>
        </w:tc>
        <w:tc>
          <w:tcPr>
            <w:tcW w:w="2794" w:type="dxa"/>
            <w:tcBorders>
              <w:top w:val="nil"/>
              <w:left w:val="nil"/>
              <w:bottom w:val="single" w:sz="4" w:space="0" w:color="auto"/>
              <w:right w:val="single" w:sz="8" w:space="0" w:color="auto"/>
            </w:tcBorders>
            <w:shd w:val="clear" w:color="auto" w:fill="auto"/>
            <w:vAlign w:val="center"/>
            <w:hideMark/>
          </w:tcPr>
          <w:p w14:paraId="3131EA3F" w14:textId="77777777" w:rsidR="00B0675E" w:rsidRPr="00B0675E" w:rsidRDefault="00B0675E" w:rsidP="00B0675E">
            <w:pPr>
              <w:widowControl/>
              <w:autoSpaceDE/>
              <w:autoSpaceDN/>
              <w:rPr>
                <w:rFonts w:eastAsia="Times New Roman"/>
                <w:color w:val="000000"/>
                <w:sz w:val="18"/>
                <w:szCs w:val="18"/>
                <w:lang w:eastAsia="pt-BR" w:bidi="ar-SA"/>
              </w:rPr>
            </w:pPr>
            <w:r w:rsidRPr="00B0675E">
              <w:rPr>
                <w:rFonts w:eastAsia="Times New Roman"/>
                <w:color w:val="000000"/>
                <w:sz w:val="18"/>
                <w:szCs w:val="18"/>
                <w:lang w:eastAsia="pt-BR" w:bidi="ar-SA"/>
              </w:rPr>
              <w:t> </w:t>
            </w:r>
          </w:p>
        </w:tc>
      </w:tr>
      <w:tr w:rsidR="00B0675E" w:rsidRPr="00B0675E" w14:paraId="7681A7AF" w14:textId="77777777" w:rsidTr="00D43DEB">
        <w:trPr>
          <w:trHeight w:val="510"/>
        </w:trPr>
        <w:tc>
          <w:tcPr>
            <w:tcW w:w="1833" w:type="dxa"/>
            <w:vMerge/>
            <w:tcBorders>
              <w:top w:val="nil"/>
              <w:left w:val="single" w:sz="8" w:space="0" w:color="auto"/>
              <w:bottom w:val="single" w:sz="8" w:space="0" w:color="000000"/>
              <w:right w:val="single" w:sz="4" w:space="0" w:color="auto"/>
            </w:tcBorders>
            <w:vAlign w:val="center"/>
            <w:hideMark/>
          </w:tcPr>
          <w:p w14:paraId="4CCF3FAE" w14:textId="77777777" w:rsidR="00B0675E" w:rsidRPr="00B0675E" w:rsidRDefault="00B0675E" w:rsidP="00B0675E">
            <w:pPr>
              <w:widowControl/>
              <w:autoSpaceDE/>
              <w:autoSpaceDN/>
              <w:rPr>
                <w:rFonts w:eastAsia="Times New Roman"/>
                <w:color w:val="000000"/>
                <w:sz w:val="20"/>
                <w:szCs w:val="20"/>
                <w:lang w:eastAsia="pt-BR" w:bidi="ar-SA"/>
              </w:rPr>
            </w:pPr>
          </w:p>
        </w:tc>
        <w:tc>
          <w:tcPr>
            <w:tcW w:w="2835" w:type="dxa"/>
            <w:tcBorders>
              <w:top w:val="nil"/>
              <w:left w:val="nil"/>
              <w:bottom w:val="single" w:sz="4" w:space="0" w:color="auto"/>
              <w:right w:val="single" w:sz="4" w:space="0" w:color="auto"/>
            </w:tcBorders>
            <w:shd w:val="clear" w:color="auto" w:fill="auto"/>
            <w:vAlign w:val="center"/>
            <w:hideMark/>
          </w:tcPr>
          <w:p w14:paraId="45CACB8E"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3. Promover 4 eventos presenciais ou online por ano</w:t>
            </w:r>
          </w:p>
        </w:tc>
        <w:tc>
          <w:tcPr>
            <w:tcW w:w="2977" w:type="dxa"/>
            <w:tcBorders>
              <w:top w:val="nil"/>
              <w:left w:val="nil"/>
              <w:bottom w:val="single" w:sz="4" w:space="0" w:color="auto"/>
              <w:right w:val="single" w:sz="4" w:space="0" w:color="auto"/>
            </w:tcBorders>
            <w:shd w:val="clear" w:color="auto" w:fill="auto"/>
            <w:vAlign w:val="center"/>
            <w:hideMark/>
          </w:tcPr>
          <w:p w14:paraId="0FEFDC28"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Total acumulado de participação da Valec em eventos como convidado protagonista durante o ano</w:t>
            </w:r>
          </w:p>
        </w:tc>
        <w:tc>
          <w:tcPr>
            <w:tcW w:w="2794" w:type="dxa"/>
            <w:tcBorders>
              <w:top w:val="nil"/>
              <w:left w:val="nil"/>
              <w:bottom w:val="single" w:sz="4" w:space="0" w:color="auto"/>
              <w:right w:val="single" w:sz="8" w:space="0" w:color="auto"/>
            </w:tcBorders>
            <w:shd w:val="clear" w:color="auto" w:fill="auto"/>
            <w:vAlign w:val="center"/>
            <w:hideMark/>
          </w:tcPr>
          <w:p w14:paraId="7FDDAEA3" w14:textId="77777777" w:rsidR="00B0675E" w:rsidRPr="00B0675E" w:rsidRDefault="00B0675E" w:rsidP="00B0675E">
            <w:pPr>
              <w:widowControl/>
              <w:autoSpaceDE/>
              <w:autoSpaceDN/>
              <w:rPr>
                <w:rFonts w:eastAsia="Times New Roman"/>
                <w:color w:val="000000"/>
                <w:sz w:val="18"/>
                <w:szCs w:val="18"/>
                <w:lang w:eastAsia="pt-BR" w:bidi="ar-SA"/>
              </w:rPr>
            </w:pPr>
            <w:r w:rsidRPr="00B0675E">
              <w:rPr>
                <w:rFonts w:eastAsia="Times New Roman"/>
                <w:color w:val="000000"/>
                <w:sz w:val="18"/>
                <w:szCs w:val="18"/>
                <w:lang w:eastAsia="pt-BR" w:bidi="ar-SA"/>
              </w:rPr>
              <w:t> </w:t>
            </w:r>
          </w:p>
        </w:tc>
      </w:tr>
      <w:tr w:rsidR="00B0675E" w:rsidRPr="00B0675E" w14:paraId="272E08EF" w14:textId="77777777" w:rsidTr="00D43DEB">
        <w:trPr>
          <w:trHeight w:val="525"/>
        </w:trPr>
        <w:tc>
          <w:tcPr>
            <w:tcW w:w="1833" w:type="dxa"/>
            <w:vMerge/>
            <w:tcBorders>
              <w:top w:val="nil"/>
              <w:left w:val="single" w:sz="8" w:space="0" w:color="auto"/>
              <w:bottom w:val="single" w:sz="8" w:space="0" w:color="000000"/>
              <w:right w:val="single" w:sz="4" w:space="0" w:color="auto"/>
            </w:tcBorders>
            <w:vAlign w:val="center"/>
            <w:hideMark/>
          </w:tcPr>
          <w:p w14:paraId="670AEA2B" w14:textId="77777777" w:rsidR="00B0675E" w:rsidRPr="00B0675E" w:rsidRDefault="00B0675E" w:rsidP="00B0675E">
            <w:pPr>
              <w:widowControl/>
              <w:autoSpaceDE/>
              <w:autoSpaceDN/>
              <w:rPr>
                <w:rFonts w:eastAsia="Times New Roman"/>
                <w:color w:val="000000"/>
                <w:sz w:val="20"/>
                <w:szCs w:val="20"/>
                <w:lang w:eastAsia="pt-BR" w:bidi="ar-SA"/>
              </w:rPr>
            </w:pPr>
          </w:p>
        </w:tc>
        <w:tc>
          <w:tcPr>
            <w:tcW w:w="2835" w:type="dxa"/>
            <w:tcBorders>
              <w:top w:val="nil"/>
              <w:left w:val="nil"/>
              <w:bottom w:val="single" w:sz="8" w:space="0" w:color="auto"/>
              <w:right w:val="single" w:sz="4" w:space="0" w:color="auto"/>
            </w:tcBorders>
            <w:shd w:val="clear" w:color="auto" w:fill="auto"/>
            <w:vAlign w:val="center"/>
            <w:hideMark/>
          </w:tcPr>
          <w:p w14:paraId="28C66EBB"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4. Promover a inserção anual em 05 pautas nas principais mídias especializadas</w:t>
            </w:r>
          </w:p>
        </w:tc>
        <w:tc>
          <w:tcPr>
            <w:tcW w:w="2977" w:type="dxa"/>
            <w:tcBorders>
              <w:top w:val="nil"/>
              <w:left w:val="nil"/>
              <w:bottom w:val="single" w:sz="8" w:space="0" w:color="auto"/>
              <w:right w:val="single" w:sz="4" w:space="0" w:color="auto"/>
            </w:tcBorders>
            <w:shd w:val="clear" w:color="auto" w:fill="auto"/>
            <w:vAlign w:val="center"/>
            <w:hideMark/>
          </w:tcPr>
          <w:p w14:paraId="5F92C01E"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Quantidade de pautas nas principais mídias</w:t>
            </w:r>
          </w:p>
        </w:tc>
        <w:tc>
          <w:tcPr>
            <w:tcW w:w="2794" w:type="dxa"/>
            <w:tcBorders>
              <w:top w:val="nil"/>
              <w:left w:val="nil"/>
              <w:bottom w:val="single" w:sz="4" w:space="0" w:color="auto"/>
              <w:right w:val="single" w:sz="8" w:space="0" w:color="auto"/>
            </w:tcBorders>
            <w:shd w:val="clear" w:color="auto" w:fill="auto"/>
            <w:vAlign w:val="center"/>
            <w:hideMark/>
          </w:tcPr>
          <w:p w14:paraId="1BE123FB" w14:textId="77777777" w:rsidR="00B0675E" w:rsidRPr="00B0675E" w:rsidRDefault="00B0675E" w:rsidP="00B0675E">
            <w:pPr>
              <w:widowControl/>
              <w:autoSpaceDE/>
              <w:autoSpaceDN/>
              <w:rPr>
                <w:rFonts w:eastAsia="Times New Roman"/>
                <w:color w:val="000000"/>
                <w:sz w:val="18"/>
                <w:szCs w:val="18"/>
                <w:lang w:eastAsia="pt-BR" w:bidi="ar-SA"/>
              </w:rPr>
            </w:pPr>
            <w:r w:rsidRPr="00B0675E">
              <w:rPr>
                <w:rFonts w:eastAsia="Times New Roman"/>
                <w:color w:val="000000"/>
                <w:sz w:val="18"/>
                <w:szCs w:val="18"/>
                <w:lang w:eastAsia="pt-BR" w:bidi="ar-SA"/>
              </w:rPr>
              <w:t> </w:t>
            </w:r>
          </w:p>
        </w:tc>
      </w:tr>
      <w:tr w:rsidR="00B0675E" w:rsidRPr="00B0675E" w14:paraId="5D4479BE" w14:textId="77777777" w:rsidTr="00D43DEB">
        <w:trPr>
          <w:trHeight w:val="1200"/>
        </w:trPr>
        <w:tc>
          <w:tcPr>
            <w:tcW w:w="1833" w:type="dxa"/>
            <w:vMerge w:val="restart"/>
            <w:tcBorders>
              <w:top w:val="nil"/>
              <w:left w:val="single" w:sz="8" w:space="0" w:color="auto"/>
              <w:bottom w:val="single" w:sz="4" w:space="0" w:color="auto"/>
              <w:right w:val="single" w:sz="4" w:space="0" w:color="auto"/>
            </w:tcBorders>
            <w:shd w:val="clear" w:color="auto" w:fill="auto"/>
            <w:vAlign w:val="center"/>
            <w:hideMark/>
          </w:tcPr>
          <w:p w14:paraId="2C198DDF" w14:textId="77777777" w:rsidR="00B0675E" w:rsidRPr="00B0675E" w:rsidRDefault="00B0675E" w:rsidP="00B0675E">
            <w:pPr>
              <w:widowControl/>
              <w:autoSpaceDE/>
              <w:autoSpaceDN/>
              <w:jc w:val="center"/>
              <w:rPr>
                <w:rFonts w:eastAsia="Times New Roman"/>
                <w:color w:val="000000"/>
                <w:sz w:val="20"/>
                <w:szCs w:val="20"/>
                <w:lang w:eastAsia="pt-BR" w:bidi="ar-SA"/>
              </w:rPr>
            </w:pPr>
            <w:r w:rsidRPr="00B0675E">
              <w:rPr>
                <w:rFonts w:eastAsia="Times New Roman"/>
                <w:color w:val="000000"/>
                <w:sz w:val="20"/>
                <w:szCs w:val="20"/>
                <w:lang w:eastAsia="pt-BR" w:bidi="ar-SA"/>
              </w:rPr>
              <w:t>Objetivo 2.1 - Desenvolver produtos/serviços visando geração de receitas e fomentar pesquisa de mercado na área logística</w:t>
            </w:r>
          </w:p>
        </w:tc>
        <w:tc>
          <w:tcPr>
            <w:tcW w:w="2835" w:type="dxa"/>
            <w:tcBorders>
              <w:top w:val="nil"/>
              <w:left w:val="nil"/>
              <w:bottom w:val="single" w:sz="4" w:space="0" w:color="auto"/>
              <w:right w:val="single" w:sz="4" w:space="0" w:color="auto"/>
            </w:tcBorders>
            <w:shd w:val="clear" w:color="auto" w:fill="auto"/>
            <w:vAlign w:val="center"/>
            <w:hideMark/>
          </w:tcPr>
          <w:p w14:paraId="6B645DB4"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1. Atingir o faturamento de R$17 milhões de receita operacional a partir de junho de 2020 até dezembro de 2022</w:t>
            </w:r>
          </w:p>
        </w:tc>
        <w:tc>
          <w:tcPr>
            <w:tcW w:w="2977" w:type="dxa"/>
            <w:tcBorders>
              <w:top w:val="nil"/>
              <w:left w:val="nil"/>
              <w:bottom w:val="single" w:sz="4" w:space="0" w:color="auto"/>
              <w:right w:val="single" w:sz="4" w:space="0" w:color="auto"/>
            </w:tcBorders>
            <w:shd w:val="clear" w:color="auto" w:fill="auto"/>
            <w:vAlign w:val="center"/>
            <w:hideMark/>
          </w:tcPr>
          <w:p w14:paraId="046BBD5A"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Receita operacional anual bruta em regime de competência</w:t>
            </w:r>
          </w:p>
        </w:tc>
        <w:tc>
          <w:tcPr>
            <w:tcW w:w="2794" w:type="dxa"/>
            <w:tcBorders>
              <w:top w:val="single" w:sz="8" w:space="0" w:color="auto"/>
              <w:left w:val="nil"/>
              <w:bottom w:val="single" w:sz="4" w:space="0" w:color="auto"/>
              <w:right w:val="single" w:sz="8" w:space="0" w:color="auto"/>
            </w:tcBorders>
            <w:shd w:val="clear" w:color="auto" w:fill="auto"/>
            <w:vAlign w:val="center"/>
            <w:hideMark/>
          </w:tcPr>
          <w:p w14:paraId="344BDC05" w14:textId="77777777" w:rsidR="00B0675E" w:rsidRPr="00B0675E" w:rsidRDefault="00B0675E" w:rsidP="00B0675E">
            <w:pPr>
              <w:widowControl/>
              <w:autoSpaceDE/>
              <w:autoSpaceDN/>
              <w:rPr>
                <w:rFonts w:eastAsia="Times New Roman"/>
                <w:color w:val="000000"/>
                <w:sz w:val="18"/>
                <w:szCs w:val="18"/>
                <w:lang w:eastAsia="pt-BR" w:bidi="ar-SA"/>
              </w:rPr>
            </w:pPr>
            <w:r w:rsidRPr="00B0675E">
              <w:rPr>
                <w:rFonts w:eastAsia="Times New Roman"/>
                <w:color w:val="000000"/>
                <w:sz w:val="18"/>
                <w:szCs w:val="18"/>
                <w:lang w:eastAsia="pt-BR" w:bidi="ar-SA"/>
              </w:rPr>
              <w:t> </w:t>
            </w:r>
          </w:p>
        </w:tc>
      </w:tr>
      <w:tr w:rsidR="00B0675E" w:rsidRPr="00B0675E" w14:paraId="109F836A" w14:textId="77777777" w:rsidTr="00D43DEB">
        <w:trPr>
          <w:trHeight w:val="1200"/>
        </w:trPr>
        <w:tc>
          <w:tcPr>
            <w:tcW w:w="1833" w:type="dxa"/>
            <w:vMerge/>
            <w:tcBorders>
              <w:top w:val="nil"/>
              <w:left w:val="single" w:sz="8" w:space="0" w:color="auto"/>
              <w:bottom w:val="single" w:sz="4" w:space="0" w:color="auto"/>
              <w:right w:val="single" w:sz="4" w:space="0" w:color="auto"/>
            </w:tcBorders>
            <w:vAlign w:val="center"/>
            <w:hideMark/>
          </w:tcPr>
          <w:p w14:paraId="26FF4445" w14:textId="77777777" w:rsidR="00B0675E" w:rsidRPr="00B0675E" w:rsidRDefault="00B0675E" w:rsidP="00B0675E">
            <w:pPr>
              <w:widowControl/>
              <w:autoSpaceDE/>
              <w:autoSpaceDN/>
              <w:rPr>
                <w:rFonts w:eastAsia="Times New Roman"/>
                <w:color w:val="000000"/>
                <w:sz w:val="20"/>
                <w:szCs w:val="20"/>
                <w:lang w:eastAsia="pt-BR" w:bidi="ar-SA"/>
              </w:rPr>
            </w:pPr>
          </w:p>
        </w:tc>
        <w:tc>
          <w:tcPr>
            <w:tcW w:w="2835" w:type="dxa"/>
            <w:tcBorders>
              <w:top w:val="nil"/>
              <w:left w:val="nil"/>
              <w:bottom w:val="single" w:sz="4" w:space="0" w:color="auto"/>
              <w:right w:val="single" w:sz="4" w:space="0" w:color="auto"/>
            </w:tcBorders>
            <w:shd w:val="clear" w:color="auto" w:fill="auto"/>
            <w:vAlign w:val="center"/>
            <w:hideMark/>
          </w:tcPr>
          <w:p w14:paraId="29EAC12B"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2. Lançar 9 novos produtos para o mercado até dezembro de 2022</w:t>
            </w:r>
          </w:p>
        </w:tc>
        <w:tc>
          <w:tcPr>
            <w:tcW w:w="2977" w:type="dxa"/>
            <w:tcBorders>
              <w:top w:val="nil"/>
              <w:left w:val="nil"/>
              <w:bottom w:val="single" w:sz="4" w:space="0" w:color="auto"/>
              <w:right w:val="single" w:sz="4" w:space="0" w:color="auto"/>
            </w:tcBorders>
            <w:shd w:val="clear" w:color="000000" w:fill="FFFF00"/>
            <w:vAlign w:val="center"/>
            <w:hideMark/>
          </w:tcPr>
          <w:p w14:paraId="2E0147A5"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 de execução da iniciativa 2.1.1 Implementar o Funil de Inovação até outubro de 2020) + (% de execução da iniciativa 2.1.2 Estruturar e lançar produtos comerciais x 4) / 5)</w:t>
            </w:r>
          </w:p>
        </w:tc>
        <w:tc>
          <w:tcPr>
            <w:tcW w:w="2794" w:type="dxa"/>
            <w:tcBorders>
              <w:top w:val="nil"/>
              <w:left w:val="nil"/>
              <w:bottom w:val="single" w:sz="4" w:space="0" w:color="auto"/>
              <w:right w:val="single" w:sz="8" w:space="0" w:color="auto"/>
            </w:tcBorders>
            <w:shd w:val="clear" w:color="auto" w:fill="auto"/>
            <w:vAlign w:val="center"/>
            <w:hideMark/>
          </w:tcPr>
          <w:p w14:paraId="02264130" w14:textId="77777777" w:rsidR="00B0675E" w:rsidRPr="00B0675E" w:rsidRDefault="00B0675E" w:rsidP="00B0675E">
            <w:pPr>
              <w:widowControl/>
              <w:autoSpaceDE/>
              <w:autoSpaceDN/>
              <w:rPr>
                <w:rFonts w:eastAsia="Times New Roman"/>
                <w:color w:val="000000"/>
                <w:sz w:val="18"/>
                <w:szCs w:val="18"/>
                <w:lang w:eastAsia="pt-BR" w:bidi="ar-SA"/>
              </w:rPr>
            </w:pPr>
            <w:r w:rsidRPr="00B0675E">
              <w:rPr>
                <w:rFonts w:eastAsia="Times New Roman"/>
                <w:color w:val="000000"/>
                <w:sz w:val="18"/>
                <w:szCs w:val="18"/>
                <w:lang w:eastAsia="pt-BR" w:bidi="ar-SA"/>
              </w:rPr>
              <w:t>A comparação “De” “Para” do indicador da meta 2.1.2 está no Anexo do Planejamento Estratégico Institucional (PEI 2020 – 2024), disponível em:  https://www.valec.gov.br/documentos/governanca/Planejamento-Estrategico-2020-2024-v11.5.pdf</w:t>
            </w:r>
          </w:p>
        </w:tc>
      </w:tr>
      <w:tr w:rsidR="00B0675E" w:rsidRPr="00B0675E" w14:paraId="37FC7B04" w14:textId="77777777" w:rsidTr="00D43DEB">
        <w:trPr>
          <w:trHeight w:val="1200"/>
        </w:trPr>
        <w:tc>
          <w:tcPr>
            <w:tcW w:w="1833" w:type="dxa"/>
            <w:vMerge/>
            <w:tcBorders>
              <w:top w:val="nil"/>
              <w:left w:val="single" w:sz="8" w:space="0" w:color="auto"/>
              <w:bottom w:val="single" w:sz="4" w:space="0" w:color="auto"/>
              <w:right w:val="single" w:sz="4" w:space="0" w:color="auto"/>
            </w:tcBorders>
            <w:vAlign w:val="center"/>
            <w:hideMark/>
          </w:tcPr>
          <w:p w14:paraId="52813D18" w14:textId="77777777" w:rsidR="00B0675E" w:rsidRPr="00B0675E" w:rsidRDefault="00B0675E" w:rsidP="00B0675E">
            <w:pPr>
              <w:widowControl/>
              <w:autoSpaceDE/>
              <w:autoSpaceDN/>
              <w:rPr>
                <w:rFonts w:eastAsia="Times New Roman"/>
                <w:color w:val="000000"/>
                <w:sz w:val="20"/>
                <w:szCs w:val="20"/>
                <w:lang w:eastAsia="pt-BR" w:bidi="ar-SA"/>
              </w:rPr>
            </w:pPr>
          </w:p>
        </w:tc>
        <w:tc>
          <w:tcPr>
            <w:tcW w:w="2835" w:type="dxa"/>
            <w:tcBorders>
              <w:top w:val="nil"/>
              <w:left w:val="nil"/>
              <w:bottom w:val="single" w:sz="4" w:space="0" w:color="auto"/>
              <w:right w:val="single" w:sz="4" w:space="0" w:color="auto"/>
            </w:tcBorders>
            <w:shd w:val="clear" w:color="auto" w:fill="auto"/>
            <w:vAlign w:val="center"/>
            <w:hideMark/>
          </w:tcPr>
          <w:p w14:paraId="4311AC6B"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3. Delegar 9 terminais ou áreas até dezembro de 2022</w:t>
            </w:r>
          </w:p>
        </w:tc>
        <w:tc>
          <w:tcPr>
            <w:tcW w:w="2977" w:type="dxa"/>
            <w:tcBorders>
              <w:top w:val="nil"/>
              <w:left w:val="nil"/>
              <w:bottom w:val="single" w:sz="4" w:space="0" w:color="auto"/>
              <w:right w:val="single" w:sz="4" w:space="0" w:color="auto"/>
            </w:tcBorders>
            <w:shd w:val="clear" w:color="000000" w:fill="FFFF00"/>
            <w:vAlign w:val="center"/>
            <w:hideMark/>
          </w:tcPr>
          <w:p w14:paraId="18105187"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 de execução da iniciativa 2.1.6 Promover a delegação de terminais ou área</w:t>
            </w:r>
          </w:p>
        </w:tc>
        <w:tc>
          <w:tcPr>
            <w:tcW w:w="2794" w:type="dxa"/>
            <w:tcBorders>
              <w:top w:val="nil"/>
              <w:left w:val="nil"/>
              <w:bottom w:val="single" w:sz="4" w:space="0" w:color="auto"/>
              <w:right w:val="single" w:sz="8" w:space="0" w:color="auto"/>
            </w:tcBorders>
            <w:shd w:val="clear" w:color="auto" w:fill="auto"/>
            <w:vAlign w:val="center"/>
            <w:hideMark/>
          </w:tcPr>
          <w:p w14:paraId="4514548D" w14:textId="77777777" w:rsidR="00B0675E" w:rsidRPr="00B0675E" w:rsidRDefault="00B0675E" w:rsidP="00B0675E">
            <w:pPr>
              <w:widowControl/>
              <w:autoSpaceDE/>
              <w:autoSpaceDN/>
              <w:rPr>
                <w:rFonts w:eastAsia="Times New Roman"/>
                <w:color w:val="000000"/>
                <w:sz w:val="18"/>
                <w:szCs w:val="18"/>
                <w:lang w:eastAsia="pt-BR" w:bidi="ar-SA"/>
              </w:rPr>
            </w:pPr>
            <w:r w:rsidRPr="00B0675E">
              <w:rPr>
                <w:rFonts w:eastAsia="Times New Roman"/>
                <w:color w:val="000000"/>
                <w:sz w:val="18"/>
                <w:szCs w:val="18"/>
                <w:lang w:eastAsia="pt-BR" w:bidi="ar-SA"/>
              </w:rPr>
              <w:t>A comparação “De” “Para” do indicador da meta 2.1.3 está no Anexo do Planejamento Estratégico Institucional (PEI 2020 – 2024), disponível em:  https://www.valec.gov.br/documentos/governanca/Planejamento-Estrategico-2020-2024-v11.5.pdf</w:t>
            </w:r>
          </w:p>
        </w:tc>
      </w:tr>
      <w:tr w:rsidR="00B0675E" w:rsidRPr="00B0675E" w14:paraId="3501A3E9" w14:textId="77777777" w:rsidTr="00D43DEB">
        <w:trPr>
          <w:trHeight w:val="1200"/>
        </w:trPr>
        <w:tc>
          <w:tcPr>
            <w:tcW w:w="1833" w:type="dxa"/>
            <w:vMerge/>
            <w:tcBorders>
              <w:top w:val="nil"/>
              <w:left w:val="single" w:sz="8" w:space="0" w:color="auto"/>
              <w:bottom w:val="single" w:sz="4" w:space="0" w:color="auto"/>
              <w:right w:val="single" w:sz="4" w:space="0" w:color="auto"/>
            </w:tcBorders>
            <w:vAlign w:val="center"/>
            <w:hideMark/>
          </w:tcPr>
          <w:p w14:paraId="6C082177" w14:textId="77777777" w:rsidR="00B0675E" w:rsidRPr="00B0675E" w:rsidRDefault="00B0675E" w:rsidP="00B0675E">
            <w:pPr>
              <w:widowControl/>
              <w:autoSpaceDE/>
              <w:autoSpaceDN/>
              <w:rPr>
                <w:rFonts w:eastAsia="Times New Roman"/>
                <w:color w:val="000000"/>
                <w:sz w:val="20"/>
                <w:szCs w:val="20"/>
                <w:lang w:eastAsia="pt-BR" w:bidi="ar-SA"/>
              </w:rPr>
            </w:pPr>
          </w:p>
        </w:tc>
        <w:tc>
          <w:tcPr>
            <w:tcW w:w="2835" w:type="dxa"/>
            <w:tcBorders>
              <w:top w:val="nil"/>
              <w:left w:val="nil"/>
              <w:bottom w:val="single" w:sz="4" w:space="0" w:color="auto"/>
              <w:right w:val="single" w:sz="4" w:space="0" w:color="auto"/>
            </w:tcBorders>
            <w:shd w:val="clear" w:color="auto" w:fill="auto"/>
            <w:vAlign w:val="center"/>
            <w:hideMark/>
          </w:tcPr>
          <w:p w14:paraId="0EF8CA58"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4. Pesquisar 10 segmentos de mercado até dezembro de 2022</w:t>
            </w:r>
          </w:p>
        </w:tc>
        <w:tc>
          <w:tcPr>
            <w:tcW w:w="2977" w:type="dxa"/>
            <w:tcBorders>
              <w:top w:val="nil"/>
              <w:left w:val="nil"/>
              <w:bottom w:val="single" w:sz="4" w:space="0" w:color="auto"/>
              <w:right w:val="single" w:sz="4" w:space="0" w:color="auto"/>
            </w:tcBorders>
            <w:shd w:val="clear" w:color="000000" w:fill="FFFF00"/>
            <w:vAlign w:val="center"/>
            <w:hideMark/>
          </w:tcPr>
          <w:p w14:paraId="79774C09"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 de execução da iniciativa 2.1.7 Mapear e realizar pesquisa nichos de mercado de interesse da Valec</w:t>
            </w:r>
          </w:p>
        </w:tc>
        <w:tc>
          <w:tcPr>
            <w:tcW w:w="2794" w:type="dxa"/>
            <w:tcBorders>
              <w:top w:val="nil"/>
              <w:left w:val="nil"/>
              <w:bottom w:val="single" w:sz="4" w:space="0" w:color="auto"/>
              <w:right w:val="single" w:sz="8" w:space="0" w:color="auto"/>
            </w:tcBorders>
            <w:shd w:val="clear" w:color="auto" w:fill="auto"/>
            <w:vAlign w:val="center"/>
            <w:hideMark/>
          </w:tcPr>
          <w:p w14:paraId="70ACECB4" w14:textId="77777777" w:rsidR="00B0675E" w:rsidRPr="00B0675E" w:rsidRDefault="00B0675E" w:rsidP="00B0675E">
            <w:pPr>
              <w:widowControl/>
              <w:autoSpaceDE/>
              <w:autoSpaceDN/>
              <w:rPr>
                <w:rFonts w:eastAsia="Times New Roman"/>
                <w:color w:val="000000"/>
                <w:sz w:val="18"/>
                <w:szCs w:val="18"/>
                <w:lang w:eastAsia="pt-BR" w:bidi="ar-SA"/>
              </w:rPr>
            </w:pPr>
            <w:r w:rsidRPr="00B0675E">
              <w:rPr>
                <w:rFonts w:eastAsia="Times New Roman"/>
                <w:color w:val="000000"/>
                <w:sz w:val="18"/>
                <w:szCs w:val="18"/>
                <w:lang w:eastAsia="pt-BR" w:bidi="ar-SA"/>
              </w:rPr>
              <w:t>A comparação “De” “Para” do indicador da meta 2.1.4 está no Anexo do Planejamento Estratégico Institucional (PEI 2020 – 2024), disponível em:  https://www.valec.gov.br/documentos/governanca/Planejamento-Estrategico-2020-2024-v11.5.pdf</w:t>
            </w:r>
          </w:p>
        </w:tc>
      </w:tr>
      <w:tr w:rsidR="00B0675E" w:rsidRPr="00B0675E" w14:paraId="7EF7F32C" w14:textId="77777777" w:rsidTr="00D43DEB">
        <w:trPr>
          <w:trHeight w:val="1920"/>
        </w:trPr>
        <w:tc>
          <w:tcPr>
            <w:tcW w:w="1833" w:type="dxa"/>
            <w:vMerge/>
            <w:tcBorders>
              <w:top w:val="nil"/>
              <w:left w:val="single" w:sz="8" w:space="0" w:color="auto"/>
              <w:bottom w:val="single" w:sz="4" w:space="0" w:color="auto"/>
              <w:right w:val="single" w:sz="4" w:space="0" w:color="auto"/>
            </w:tcBorders>
            <w:vAlign w:val="center"/>
            <w:hideMark/>
          </w:tcPr>
          <w:p w14:paraId="1AF9F87D" w14:textId="77777777" w:rsidR="00B0675E" w:rsidRPr="00B0675E" w:rsidRDefault="00B0675E" w:rsidP="00B0675E">
            <w:pPr>
              <w:widowControl/>
              <w:autoSpaceDE/>
              <w:autoSpaceDN/>
              <w:rPr>
                <w:rFonts w:eastAsia="Times New Roman"/>
                <w:color w:val="000000"/>
                <w:sz w:val="20"/>
                <w:szCs w:val="20"/>
                <w:lang w:eastAsia="pt-BR" w:bidi="ar-SA"/>
              </w:rPr>
            </w:pPr>
          </w:p>
        </w:tc>
        <w:tc>
          <w:tcPr>
            <w:tcW w:w="2835" w:type="dxa"/>
            <w:tcBorders>
              <w:top w:val="nil"/>
              <w:left w:val="nil"/>
              <w:bottom w:val="single" w:sz="4" w:space="0" w:color="auto"/>
              <w:right w:val="single" w:sz="4" w:space="0" w:color="auto"/>
            </w:tcBorders>
            <w:shd w:val="clear" w:color="auto" w:fill="auto"/>
            <w:vAlign w:val="center"/>
            <w:hideMark/>
          </w:tcPr>
          <w:p w14:paraId="02BE9AE5"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5. Implantar 100% do Documento de Transporte Eletrônico (DTE) até junho de 2022</w:t>
            </w:r>
          </w:p>
        </w:tc>
        <w:tc>
          <w:tcPr>
            <w:tcW w:w="2977" w:type="dxa"/>
            <w:tcBorders>
              <w:top w:val="nil"/>
              <w:left w:val="nil"/>
              <w:bottom w:val="single" w:sz="4" w:space="0" w:color="auto"/>
              <w:right w:val="single" w:sz="4" w:space="0" w:color="auto"/>
            </w:tcBorders>
            <w:shd w:val="clear" w:color="000000" w:fill="FFFF00"/>
            <w:vAlign w:val="center"/>
            <w:hideMark/>
          </w:tcPr>
          <w:p w14:paraId="6549019B"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 de execução da iniciativa “Estruturar modelagem para concessão do DTE”) + (% de execução da iniciativa “Desenvolver inteligência de mercado para o DTe”) + (% de execução da iniciativa “Acordo de Cooperação Técnica com Minfra”) / 3</w:t>
            </w:r>
          </w:p>
        </w:tc>
        <w:tc>
          <w:tcPr>
            <w:tcW w:w="2794" w:type="dxa"/>
            <w:tcBorders>
              <w:top w:val="nil"/>
              <w:left w:val="nil"/>
              <w:bottom w:val="single" w:sz="4" w:space="0" w:color="auto"/>
              <w:right w:val="single" w:sz="8" w:space="0" w:color="auto"/>
            </w:tcBorders>
            <w:shd w:val="clear" w:color="auto" w:fill="auto"/>
            <w:vAlign w:val="center"/>
            <w:hideMark/>
          </w:tcPr>
          <w:p w14:paraId="3CCF7CEA" w14:textId="77777777" w:rsidR="00B0675E" w:rsidRPr="00B0675E" w:rsidRDefault="00B0675E" w:rsidP="00B0675E">
            <w:pPr>
              <w:widowControl/>
              <w:autoSpaceDE/>
              <w:autoSpaceDN/>
              <w:rPr>
                <w:rFonts w:eastAsia="Times New Roman"/>
                <w:color w:val="000000"/>
                <w:sz w:val="18"/>
                <w:szCs w:val="18"/>
                <w:lang w:eastAsia="pt-BR" w:bidi="ar-SA"/>
              </w:rPr>
            </w:pPr>
            <w:r w:rsidRPr="00B0675E">
              <w:rPr>
                <w:rFonts w:eastAsia="Times New Roman"/>
                <w:color w:val="000000"/>
                <w:sz w:val="18"/>
                <w:szCs w:val="18"/>
                <w:lang w:eastAsia="pt-BR" w:bidi="ar-SA"/>
              </w:rPr>
              <w:t>Essa iniciativa também está na lista de iniciativas do Objetivo 3.1, mas o escopo do plano de ação é diferente. // A comparação “De” “Para” do indicador da meta 2.1.5 está no Anexo do Planejamento Estratégico Institucional (PEI 2020 – 2024), disponível em:  https://www.valec.gov.br/documentos/governanca/Planejamento-Estrategico-2020-2024-v11.5.pdf</w:t>
            </w:r>
          </w:p>
        </w:tc>
      </w:tr>
      <w:tr w:rsidR="00B0675E" w:rsidRPr="00B0675E" w14:paraId="0A6A59B1" w14:textId="77777777" w:rsidTr="00D43DEB">
        <w:trPr>
          <w:trHeight w:val="510"/>
        </w:trPr>
        <w:tc>
          <w:tcPr>
            <w:tcW w:w="1833" w:type="dxa"/>
            <w:vMerge/>
            <w:tcBorders>
              <w:top w:val="nil"/>
              <w:left w:val="single" w:sz="8" w:space="0" w:color="auto"/>
              <w:bottom w:val="single" w:sz="4" w:space="0" w:color="auto"/>
              <w:right w:val="single" w:sz="4" w:space="0" w:color="auto"/>
            </w:tcBorders>
            <w:vAlign w:val="center"/>
            <w:hideMark/>
          </w:tcPr>
          <w:p w14:paraId="0938DAD8" w14:textId="77777777" w:rsidR="00B0675E" w:rsidRPr="00B0675E" w:rsidRDefault="00B0675E" w:rsidP="00B0675E">
            <w:pPr>
              <w:widowControl/>
              <w:autoSpaceDE/>
              <w:autoSpaceDN/>
              <w:rPr>
                <w:rFonts w:eastAsia="Times New Roman"/>
                <w:color w:val="000000"/>
                <w:sz w:val="20"/>
                <w:szCs w:val="20"/>
                <w:lang w:eastAsia="pt-BR" w:bidi="ar-SA"/>
              </w:rPr>
            </w:pPr>
          </w:p>
        </w:tc>
        <w:tc>
          <w:tcPr>
            <w:tcW w:w="2835" w:type="dxa"/>
            <w:tcBorders>
              <w:top w:val="nil"/>
              <w:left w:val="nil"/>
              <w:bottom w:val="single" w:sz="4" w:space="0" w:color="auto"/>
              <w:right w:val="single" w:sz="4" w:space="0" w:color="auto"/>
            </w:tcBorders>
            <w:shd w:val="clear" w:color="auto" w:fill="auto"/>
            <w:vAlign w:val="center"/>
            <w:hideMark/>
          </w:tcPr>
          <w:p w14:paraId="65304DAF"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6. Promover 05 benchmarkings de mercado até dezembro de 2021</w:t>
            </w:r>
          </w:p>
        </w:tc>
        <w:tc>
          <w:tcPr>
            <w:tcW w:w="2977" w:type="dxa"/>
            <w:tcBorders>
              <w:top w:val="nil"/>
              <w:left w:val="nil"/>
              <w:bottom w:val="single" w:sz="4" w:space="0" w:color="auto"/>
              <w:right w:val="single" w:sz="4" w:space="0" w:color="auto"/>
            </w:tcBorders>
            <w:shd w:val="clear" w:color="auto" w:fill="auto"/>
            <w:vAlign w:val="center"/>
            <w:hideMark/>
          </w:tcPr>
          <w:p w14:paraId="09211BC7"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Nº de benchmarkings realizados</w:t>
            </w:r>
          </w:p>
        </w:tc>
        <w:tc>
          <w:tcPr>
            <w:tcW w:w="2794" w:type="dxa"/>
            <w:tcBorders>
              <w:top w:val="nil"/>
              <w:left w:val="nil"/>
              <w:bottom w:val="single" w:sz="4" w:space="0" w:color="auto"/>
              <w:right w:val="single" w:sz="8" w:space="0" w:color="auto"/>
            </w:tcBorders>
            <w:shd w:val="clear" w:color="auto" w:fill="auto"/>
            <w:vAlign w:val="center"/>
            <w:hideMark/>
          </w:tcPr>
          <w:p w14:paraId="563355AB" w14:textId="77777777" w:rsidR="00B0675E" w:rsidRPr="00B0675E" w:rsidRDefault="00B0675E" w:rsidP="00B0675E">
            <w:pPr>
              <w:widowControl/>
              <w:autoSpaceDE/>
              <w:autoSpaceDN/>
              <w:rPr>
                <w:rFonts w:eastAsia="Times New Roman"/>
                <w:color w:val="000000"/>
                <w:sz w:val="18"/>
                <w:szCs w:val="18"/>
                <w:lang w:eastAsia="pt-BR" w:bidi="ar-SA"/>
              </w:rPr>
            </w:pPr>
            <w:r w:rsidRPr="00B0675E">
              <w:rPr>
                <w:rFonts w:eastAsia="Times New Roman"/>
                <w:color w:val="000000"/>
                <w:sz w:val="18"/>
                <w:szCs w:val="18"/>
                <w:lang w:eastAsia="pt-BR" w:bidi="ar-SA"/>
              </w:rPr>
              <w:t> </w:t>
            </w:r>
          </w:p>
        </w:tc>
      </w:tr>
      <w:tr w:rsidR="00B0675E" w:rsidRPr="00B0675E" w14:paraId="17086157" w14:textId="77777777" w:rsidTr="00D43DEB">
        <w:trPr>
          <w:trHeight w:val="780"/>
        </w:trPr>
        <w:tc>
          <w:tcPr>
            <w:tcW w:w="1833" w:type="dxa"/>
            <w:vMerge/>
            <w:tcBorders>
              <w:top w:val="nil"/>
              <w:left w:val="single" w:sz="8" w:space="0" w:color="auto"/>
              <w:bottom w:val="single" w:sz="4" w:space="0" w:color="auto"/>
              <w:right w:val="single" w:sz="4" w:space="0" w:color="auto"/>
            </w:tcBorders>
            <w:vAlign w:val="center"/>
            <w:hideMark/>
          </w:tcPr>
          <w:p w14:paraId="2CFF833D" w14:textId="77777777" w:rsidR="00B0675E" w:rsidRPr="00B0675E" w:rsidRDefault="00B0675E" w:rsidP="00B0675E">
            <w:pPr>
              <w:widowControl/>
              <w:autoSpaceDE/>
              <w:autoSpaceDN/>
              <w:rPr>
                <w:rFonts w:eastAsia="Times New Roman"/>
                <w:color w:val="000000"/>
                <w:sz w:val="20"/>
                <w:szCs w:val="20"/>
                <w:lang w:eastAsia="pt-BR" w:bidi="ar-SA"/>
              </w:rPr>
            </w:pPr>
          </w:p>
        </w:tc>
        <w:tc>
          <w:tcPr>
            <w:tcW w:w="2835" w:type="dxa"/>
            <w:tcBorders>
              <w:top w:val="nil"/>
              <w:left w:val="nil"/>
              <w:bottom w:val="nil"/>
              <w:right w:val="single" w:sz="4" w:space="0" w:color="auto"/>
            </w:tcBorders>
            <w:shd w:val="clear" w:color="000000" w:fill="C5ADCB"/>
            <w:vAlign w:val="center"/>
            <w:hideMark/>
          </w:tcPr>
          <w:p w14:paraId="615A8DE1"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7. Implantar 100% do Documento de Transporte Eletrônico (DTE) até junho de 2022</w:t>
            </w:r>
          </w:p>
        </w:tc>
        <w:tc>
          <w:tcPr>
            <w:tcW w:w="2977" w:type="dxa"/>
            <w:tcBorders>
              <w:top w:val="nil"/>
              <w:left w:val="nil"/>
              <w:bottom w:val="nil"/>
              <w:right w:val="single" w:sz="4" w:space="0" w:color="auto"/>
            </w:tcBorders>
            <w:shd w:val="clear" w:color="000000" w:fill="C5ADCB"/>
            <w:vAlign w:val="center"/>
            <w:hideMark/>
          </w:tcPr>
          <w:p w14:paraId="6A01DEF5"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 de execução do projeto</w:t>
            </w:r>
          </w:p>
        </w:tc>
        <w:tc>
          <w:tcPr>
            <w:tcW w:w="2794" w:type="dxa"/>
            <w:tcBorders>
              <w:top w:val="nil"/>
              <w:left w:val="nil"/>
              <w:bottom w:val="nil"/>
              <w:right w:val="single" w:sz="8" w:space="0" w:color="auto"/>
            </w:tcBorders>
            <w:shd w:val="clear" w:color="auto" w:fill="auto"/>
            <w:vAlign w:val="center"/>
            <w:hideMark/>
          </w:tcPr>
          <w:p w14:paraId="64D33E42" w14:textId="77777777" w:rsidR="00B0675E" w:rsidRPr="00B0675E" w:rsidRDefault="00B0675E" w:rsidP="00B0675E">
            <w:pPr>
              <w:widowControl/>
              <w:autoSpaceDE/>
              <w:autoSpaceDN/>
              <w:rPr>
                <w:rFonts w:eastAsia="Times New Roman"/>
                <w:color w:val="000000"/>
                <w:sz w:val="18"/>
                <w:szCs w:val="18"/>
                <w:lang w:eastAsia="pt-BR" w:bidi="ar-SA"/>
              </w:rPr>
            </w:pPr>
            <w:r w:rsidRPr="00B0675E">
              <w:rPr>
                <w:rFonts w:eastAsia="Times New Roman"/>
                <w:color w:val="000000"/>
                <w:sz w:val="18"/>
                <w:szCs w:val="18"/>
                <w:lang w:eastAsia="pt-BR" w:bidi="ar-SA"/>
              </w:rPr>
              <w:t>A meta 2.1.7 foi paralisada e unida à meta 2.1.5 para melhor representar o projeto.</w:t>
            </w:r>
          </w:p>
        </w:tc>
      </w:tr>
      <w:tr w:rsidR="00B0675E" w:rsidRPr="00B0675E" w14:paraId="5846F260" w14:textId="77777777" w:rsidTr="00D43DEB">
        <w:trPr>
          <w:trHeight w:val="1200"/>
        </w:trPr>
        <w:tc>
          <w:tcPr>
            <w:tcW w:w="1833"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378B07A5" w14:textId="77777777" w:rsidR="00B0675E" w:rsidRPr="00B0675E" w:rsidRDefault="00B0675E" w:rsidP="00B0675E">
            <w:pPr>
              <w:widowControl/>
              <w:autoSpaceDE/>
              <w:autoSpaceDN/>
              <w:jc w:val="center"/>
              <w:rPr>
                <w:rFonts w:eastAsia="Times New Roman"/>
                <w:color w:val="000000"/>
                <w:sz w:val="20"/>
                <w:szCs w:val="20"/>
                <w:lang w:eastAsia="pt-BR" w:bidi="ar-SA"/>
              </w:rPr>
            </w:pPr>
            <w:r w:rsidRPr="00B0675E">
              <w:rPr>
                <w:rFonts w:eastAsia="Times New Roman"/>
                <w:color w:val="000000"/>
                <w:sz w:val="20"/>
                <w:szCs w:val="20"/>
                <w:lang w:eastAsia="pt-BR" w:bidi="ar-SA"/>
              </w:rPr>
              <w:t>Objetivo 2.2 - Promover melhoria contínua em estudos, projetos e obras para o sistema ferroviário</w:t>
            </w:r>
          </w:p>
        </w:tc>
        <w:tc>
          <w:tcPr>
            <w:tcW w:w="2835" w:type="dxa"/>
            <w:tcBorders>
              <w:top w:val="single" w:sz="8" w:space="0" w:color="auto"/>
              <w:left w:val="nil"/>
              <w:bottom w:val="single" w:sz="4" w:space="0" w:color="auto"/>
              <w:right w:val="single" w:sz="4" w:space="0" w:color="auto"/>
            </w:tcBorders>
            <w:shd w:val="clear" w:color="000000" w:fill="FFFF00"/>
            <w:vAlign w:val="center"/>
            <w:hideMark/>
          </w:tcPr>
          <w:p w14:paraId="6BB111E4"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1. Firmar 05 parcerias com instituições renomadas para cooperação técnica e internalização de conhecimento até julho de 2022</w:t>
            </w:r>
          </w:p>
        </w:tc>
        <w:tc>
          <w:tcPr>
            <w:tcW w:w="2977" w:type="dxa"/>
            <w:tcBorders>
              <w:top w:val="single" w:sz="8" w:space="0" w:color="auto"/>
              <w:left w:val="nil"/>
              <w:bottom w:val="single" w:sz="4" w:space="0" w:color="auto"/>
              <w:right w:val="single" w:sz="4" w:space="0" w:color="auto"/>
            </w:tcBorders>
            <w:shd w:val="clear" w:color="auto" w:fill="auto"/>
            <w:vAlign w:val="center"/>
            <w:hideMark/>
          </w:tcPr>
          <w:p w14:paraId="03084694"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Total acumulado de parcerias firmadas com instituições renomadas a partir de julho de 2020</w:t>
            </w:r>
          </w:p>
        </w:tc>
        <w:tc>
          <w:tcPr>
            <w:tcW w:w="2794" w:type="dxa"/>
            <w:tcBorders>
              <w:top w:val="single" w:sz="8" w:space="0" w:color="auto"/>
              <w:left w:val="nil"/>
              <w:bottom w:val="single" w:sz="4" w:space="0" w:color="auto"/>
              <w:right w:val="single" w:sz="8" w:space="0" w:color="auto"/>
            </w:tcBorders>
            <w:shd w:val="clear" w:color="auto" w:fill="auto"/>
            <w:vAlign w:val="center"/>
            <w:hideMark/>
          </w:tcPr>
          <w:p w14:paraId="6F883ADC" w14:textId="77777777" w:rsidR="00B0675E" w:rsidRPr="00B0675E" w:rsidRDefault="00B0675E" w:rsidP="00B0675E">
            <w:pPr>
              <w:widowControl/>
              <w:autoSpaceDE/>
              <w:autoSpaceDN/>
              <w:rPr>
                <w:rFonts w:eastAsia="Times New Roman"/>
                <w:color w:val="000000"/>
                <w:sz w:val="18"/>
                <w:szCs w:val="18"/>
                <w:lang w:eastAsia="pt-BR" w:bidi="ar-SA"/>
              </w:rPr>
            </w:pPr>
            <w:r w:rsidRPr="00B0675E">
              <w:rPr>
                <w:rFonts w:eastAsia="Times New Roman"/>
                <w:color w:val="000000"/>
                <w:sz w:val="18"/>
                <w:szCs w:val="18"/>
                <w:lang w:eastAsia="pt-BR" w:bidi="ar-SA"/>
              </w:rPr>
              <w:t>A comparação “De” “Para” da meta 2.2.1 está no Anexo do Planejamento Estratégico Institucional (PEI 2020 – 2024), disponível em:  https://www.valec.gov.br/documentos/governanca/Planejamento-Estrategico-2020-2024-v11.5.pdf</w:t>
            </w:r>
          </w:p>
        </w:tc>
      </w:tr>
      <w:tr w:rsidR="00B0675E" w:rsidRPr="00B0675E" w14:paraId="17321917" w14:textId="77777777" w:rsidTr="00D43DEB">
        <w:trPr>
          <w:trHeight w:val="1785"/>
        </w:trPr>
        <w:tc>
          <w:tcPr>
            <w:tcW w:w="1833" w:type="dxa"/>
            <w:vMerge/>
            <w:tcBorders>
              <w:top w:val="single" w:sz="8" w:space="0" w:color="auto"/>
              <w:left w:val="single" w:sz="8" w:space="0" w:color="auto"/>
              <w:bottom w:val="single" w:sz="8" w:space="0" w:color="000000"/>
              <w:right w:val="single" w:sz="4" w:space="0" w:color="auto"/>
            </w:tcBorders>
            <w:vAlign w:val="center"/>
            <w:hideMark/>
          </w:tcPr>
          <w:p w14:paraId="34CD1F5F" w14:textId="77777777" w:rsidR="00B0675E" w:rsidRPr="00B0675E" w:rsidRDefault="00B0675E" w:rsidP="00B0675E">
            <w:pPr>
              <w:widowControl/>
              <w:autoSpaceDE/>
              <w:autoSpaceDN/>
              <w:rPr>
                <w:rFonts w:eastAsia="Times New Roman"/>
                <w:color w:val="000000"/>
                <w:sz w:val="20"/>
                <w:szCs w:val="20"/>
                <w:lang w:eastAsia="pt-BR" w:bidi="ar-SA"/>
              </w:rPr>
            </w:pPr>
          </w:p>
        </w:tc>
        <w:tc>
          <w:tcPr>
            <w:tcW w:w="2835" w:type="dxa"/>
            <w:tcBorders>
              <w:top w:val="nil"/>
              <w:left w:val="nil"/>
              <w:bottom w:val="single" w:sz="4" w:space="0" w:color="auto"/>
              <w:right w:val="single" w:sz="4" w:space="0" w:color="auto"/>
            </w:tcBorders>
            <w:shd w:val="clear" w:color="000000" w:fill="FFFF00"/>
            <w:vAlign w:val="center"/>
            <w:hideMark/>
          </w:tcPr>
          <w:p w14:paraId="3C3958D4"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2. Modernizar 100% dos normativos até 2024</w:t>
            </w:r>
          </w:p>
        </w:tc>
        <w:tc>
          <w:tcPr>
            <w:tcW w:w="2977" w:type="dxa"/>
            <w:tcBorders>
              <w:top w:val="nil"/>
              <w:left w:val="nil"/>
              <w:bottom w:val="single" w:sz="4" w:space="0" w:color="auto"/>
              <w:right w:val="single" w:sz="4" w:space="0" w:color="auto"/>
            </w:tcBorders>
            <w:shd w:val="clear" w:color="000000" w:fill="FFFF00"/>
            <w:vAlign w:val="center"/>
            <w:hideMark/>
          </w:tcPr>
          <w:p w14:paraId="7F118445"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 das etapas de contratação de apoio da ABNT para modernização e revisão dos normativos técnicos) x 0,5)] + [(% do processo de revisão) x 0,05] + [(Total de normativos disponibilizados / Total de normativos) x 0,25] + [(% da Revisão da Política Ambiental e Territorial da Valec) x 0,10] + [(% do Lançamento do Guia de Compras Públicas Sustentáveis) x 0,10]</w:t>
            </w:r>
          </w:p>
        </w:tc>
        <w:tc>
          <w:tcPr>
            <w:tcW w:w="2794" w:type="dxa"/>
            <w:tcBorders>
              <w:top w:val="nil"/>
              <w:left w:val="nil"/>
              <w:bottom w:val="single" w:sz="4" w:space="0" w:color="auto"/>
              <w:right w:val="single" w:sz="8" w:space="0" w:color="auto"/>
            </w:tcBorders>
            <w:shd w:val="clear" w:color="auto" w:fill="auto"/>
            <w:vAlign w:val="center"/>
            <w:hideMark/>
          </w:tcPr>
          <w:p w14:paraId="5E0C414D" w14:textId="77777777" w:rsidR="00B0675E" w:rsidRPr="00B0675E" w:rsidRDefault="00B0675E" w:rsidP="00B0675E">
            <w:pPr>
              <w:widowControl/>
              <w:autoSpaceDE/>
              <w:autoSpaceDN/>
              <w:rPr>
                <w:rFonts w:eastAsia="Times New Roman"/>
                <w:color w:val="000000"/>
                <w:sz w:val="18"/>
                <w:szCs w:val="18"/>
                <w:lang w:eastAsia="pt-BR" w:bidi="ar-SA"/>
              </w:rPr>
            </w:pPr>
            <w:r w:rsidRPr="00B0675E">
              <w:rPr>
                <w:rFonts w:eastAsia="Times New Roman"/>
                <w:color w:val="000000"/>
                <w:sz w:val="18"/>
                <w:szCs w:val="18"/>
                <w:lang w:eastAsia="pt-BR" w:bidi="ar-SA"/>
              </w:rPr>
              <w:t>A comparação “De” “Para” da meta 2.2.2 e seu indicador está no Anexo do Planejamento Estratégico Institucional (PEI 2020 – 2024), disponível em:  https://www.valec.gov.br/documentos/governanca/Planejamento-Estrategico-2020-2024-v11.5.pdf</w:t>
            </w:r>
          </w:p>
        </w:tc>
      </w:tr>
      <w:tr w:rsidR="00B0675E" w:rsidRPr="00B0675E" w14:paraId="7C528D24" w14:textId="77777777" w:rsidTr="00D43DEB">
        <w:trPr>
          <w:trHeight w:val="1200"/>
        </w:trPr>
        <w:tc>
          <w:tcPr>
            <w:tcW w:w="1833" w:type="dxa"/>
            <w:vMerge/>
            <w:tcBorders>
              <w:top w:val="single" w:sz="8" w:space="0" w:color="auto"/>
              <w:left w:val="single" w:sz="8" w:space="0" w:color="auto"/>
              <w:bottom w:val="single" w:sz="8" w:space="0" w:color="000000"/>
              <w:right w:val="single" w:sz="4" w:space="0" w:color="auto"/>
            </w:tcBorders>
            <w:vAlign w:val="center"/>
            <w:hideMark/>
          </w:tcPr>
          <w:p w14:paraId="77F95354" w14:textId="77777777" w:rsidR="00B0675E" w:rsidRPr="00B0675E" w:rsidRDefault="00B0675E" w:rsidP="00B0675E">
            <w:pPr>
              <w:widowControl/>
              <w:autoSpaceDE/>
              <w:autoSpaceDN/>
              <w:rPr>
                <w:rFonts w:eastAsia="Times New Roman"/>
                <w:color w:val="000000"/>
                <w:sz w:val="20"/>
                <w:szCs w:val="20"/>
                <w:lang w:eastAsia="pt-BR" w:bidi="ar-SA"/>
              </w:rPr>
            </w:pPr>
          </w:p>
        </w:tc>
        <w:tc>
          <w:tcPr>
            <w:tcW w:w="2835" w:type="dxa"/>
            <w:tcBorders>
              <w:top w:val="nil"/>
              <w:left w:val="nil"/>
              <w:bottom w:val="single" w:sz="4" w:space="0" w:color="auto"/>
              <w:right w:val="single" w:sz="4" w:space="0" w:color="auto"/>
            </w:tcBorders>
            <w:shd w:val="clear" w:color="auto" w:fill="auto"/>
            <w:vAlign w:val="center"/>
            <w:hideMark/>
          </w:tcPr>
          <w:p w14:paraId="32FEC4C3"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3. 100% dos empreendimentos gerenciados em metodologia BIM até dezembro de 2024</w:t>
            </w:r>
          </w:p>
        </w:tc>
        <w:tc>
          <w:tcPr>
            <w:tcW w:w="2977" w:type="dxa"/>
            <w:tcBorders>
              <w:top w:val="nil"/>
              <w:left w:val="nil"/>
              <w:bottom w:val="single" w:sz="4" w:space="0" w:color="auto"/>
              <w:right w:val="single" w:sz="4" w:space="0" w:color="auto"/>
            </w:tcBorders>
            <w:shd w:val="clear" w:color="000000" w:fill="FFFF00"/>
            <w:vAlign w:val="center"/>
            <w:hideMark/>
          </w:tcPr>
          <w:p w14:paraId="72CF416E"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 do plano de implementação do BIM na Valec) x 0,4] + [(% de analistas/técnicos que atuam com BIM capacitados) x 0,30] + [(% do projeto piloto modelado em BIM) x 0,3]</w:t>
            </w:r>
          </w:p>
        </w:tc>
        <w:tc>
          <w:tcPr>
            <w:tcW w:w="2794" w:type="dxa"/>
            <w:tcBorders>
              <w:top w:val="nil"/>
              <w:left w:val="nil"/>
              <w:bottom w:val="single" w:sz="4" w:space="0" w:color="auto"/>
              <w:right w:val="single" w:sz="8" w:space="0" w:color="auto"/>
            </w:tcBorders>
            <w:shd w:val="clear" w:color="auto" w:fill="auto"/>
            <w:vAlign w:val="center"/>
            <w:hideMark/>
          </w:tcPr>
          <w:p w14:paraId="140E1BF0" w14:textId="77777777" w:rsidR="00B0675E" w:rsidRPr="00B0675E" w:rsidRDefault="00B0675E" w:rsidP="00B0675E">
            <w:pPr>
              <w:widowControl/>
              <w:autoSpaceDE/>
              <w:autoSpaceDN/>
              <w:rPr>
                <w:rFonts w:eastAsia="Times New Roman"/>
                <w:color w:val="000000"/>
                <w:sz w:val="18"/>
                <w:szCs w:val="18"/>
                <w:lang w:eastAsia="pt-BR" w:bidi="ar-SA"/>
              </w:rPr>
            </w:pPr>
            <w:r w:rsidRPr="00B0675E">
              <w:rPr>
                <w:rFonts w:eastAsia="Times New Roman"/>
                <w:color w:val="000000"/>
                <w:sz w:val="18"/>
                <w:szCs w:val="18"/>
                <w:lang w:eastAsia="pt-BR" w:bidi="ar-SA"/>
              </w:rPr>
              <w:t>A comparação “De” “Para” do indicador da meta 2.2.3 está no Anexo do Planejamento Estratégico Institucional (PEI 2020 – 2024), disponível em:  https://www.valec.gov.br/documentos/governanca/Planejamento-Estrategico-2020-2024-v11.5.pdf</w:t>
            </w:r>
          </w:p>
        </w:tc>
      </w:tr>
      <w:tr w:rsidR="00B0675E" w:rsidRPr="00B0675E" w14:paraId="7115C335" w14:textId="77777777" w:rsidTr="00D43DEB">
        <w:trPr>
          <w:trHeight w:val="765"/>
        </w:trPr>
        <w:tc>
          <w:tcPr>
            <w:tcW w:w="1833" w:type="dxa"/>
            <w:vMerge/>
            <w:tcBorders>
              <w:top w:val="single" w:sz="8" w:space="0" w:color="auto"/>
              <w:left w:val="single" w:sz="8" w:space="0" w:color="auto"/>
              <w:bottom w:val="single" w:sz="8" w:space="0" w:color="000000"/>
              <w:right w:val="single" w:sz="4" w:space="0" w:color="auto"/>
            </w:tcBorders>
            <w:vAlign w:val="center"/>
            <w:hideMark/>
          </w:tcPr>
          <w:p w14:paraId="05FD9ECF" w14:textId="77777777" w:rsidR="00B0675E" w:rsidRPr="00B0675E" w:rsidRDefault="00B0675E" w:rsidP="00B0675E">
            <w:pPr>
              <w:widowControl/>
              <w:autoSpaceDE/>
              <w:autoSpaceDN/>
              <w:rPr>
                <w:rFonts w:eastAsia="Times New Roman"/>
                <w:color w:val="000000"/>
                <w:sz w:val="20"/>
                <w:szCs w:val="20"/>
                <w:lang w:eastAsia="pt-BR" w:bidi="ar-SA"/>
              </w:rPr>
            </w:pPr>
          </w:p>
        </w:tc>
        <w:tc>
          <w:tcPr>
            <w:tcW w:w="2835" w:type="dxa"/>
            <w:tcBorders>
              <w:top w:val="nil"/>
              <w:left w:val="nil"/>
              <w:bottom w:val="single" w:sz="4" w:space="0" w:color="auto"/>
              <w:right w:val="single" w:sz="4" w:space="0" w:color="auto"/>
            </w:tcBorders>
            <w:shd w:val="clear" w:color="auto" w:fill="auto"/>
            <w:vAlign w:val="center"/>
            <w:hideMark/>
          </w:tcPr>
          <w:p w14:paraId="6DC22112"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4. 100% dos analistas/técnicos que atuam com BIM capacitados até dezembro de 2021</w:t>
            </w:r>
          </w:p>
        </w:tc>
        <w:tc>
          <w:tcPr>
            <w:tcW w:w="2977" w:type="dxa"/>
            <w:tcBorders>
              <w:top w:val="nil"/>
              <w:left w:val="nil"/>
              <w:bottom w:val="single" w:sz="4" w:space="0" w:color="auto"/>
              <w:right w:val="single" w:sz="4" w:space="0" w:color="auto"/>
            </w:tcBorders>
            <w:shd w:val="clear" w:color="auto" w:fill="auto"/>
            <w:vAlign w:val="center"/>
            <w:hideMark/>
          </w:tcPr>
          <w:p w14:paraId="4B7BA061"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Nº analistas capacitados em BIM / Número de engenheiros em exercício na Valec</w:t>
            </w:r>
          </w:p>
        </w:tc>
        <w:tc>
          <w:tcPr>
            <w:tcW w:w="2794" w:type="dxa"/>
            <w:tcBorders>
              <w:top w:val="nil"/>
              <w:left w:val="nil"/>
              <w:bottom w:val="single" w:sz="4" w:space="0" w:color="auto"/>
              <w:right w:val="single" w:sz="8" w:space="0" w:color="auto"/>
            </w:tcBorders>
            <w:shd w:val="clear" w:color="auto" w:fill="auto"/>
            <w:vAlign w:val="center"/>
            <w:hideMark/>
          </w:tcPr>
          <w:p w14:paraId="60C4985B" w14:textId="77777777" w:rsidR="00B0675E" w:rsidRPr="00B0675E" w:rsidRDefault="00B0675E" w:rsidP="00B0675E">
            <w:pPr>
              <w:widowControl/>
              <w:autoSpaceDE/>
              <w:autoSpaceDN/>
              <w:rPr>
                <w:rFonts w:eastAsia="Times New Roman"/>
                <w:color w:val="000000"/>
                <w:sz w:val="18"/>
                <w:szCs w:val="18"/>
                <w:lang w:eastAsia="pt-BR" w:bidi="ar-SA"/>
              </w:rPr>
            </w:pPr>
            <w:r w:rsidRPr="00B0675E">
              <w:rPr>
                <w:rFonts w:eastAsia="Times New Roman"/>
                <w:color w:val="000000"/>
                <w:sz w:val="18"/>
                <w:szCs w:val="18"/>
                <w:lang w:eastAsia="pt-BR" w:bidi="ar-SA"/>
              </w:rPr>
              <w:t> </w:t>
            </w:r>
          </w:p>
        </w:tc>
      </w:tr>
      <w:tr w:rsidR="00B0675E" w:rsidRPr="00B0675E" w14:paraId="4F7FFB28" w14:textId="77777777" w:rsidTr="00D43DEB">
        <w:trPr>
          <w:trHeight w:val="525"/>
        </w:trPr>
        <w:tc>
          <w:tcPr>
            <w:tcW w:w="1833" w:type="dxa"/>
            <w:vMerge/>
            <w:tcBorders>
              <w:top w:val="single" w:sz="8" w:space="0" w:color="auto"/>
              <w:left w:val="single" w:sz="8" w:space="0" w:color="auto"/>
              <w:bottom w:val="single" w:sz="8" w:space="0" w:color="000000"/>
              <w:right w:val="single" w:sz="4" w:space="0" w:color="auto"/>
            </w:tcBorders>
            <w:vAlign w:val="center"/>
            <w:hideMark/>
          </w:tcPr>
          <w:p w14:paraId="6AEEB486" w14:textId="77777777" w:rsidR="00B0675E" w:rsidRPr="00B0675E" w:rsidRDefault="00B0675E" w:rsidP="00B0675E">
            <w:pPr>
              <w:widowControl/>
              <w:autoSpaceDE/>
              <w:autoSpaceDN/>
              <w:rPr>
                <w:rFonts w:eastAsia="Times New Roman"/>
                <w:color w:val="000000"/>
                <w:sz w:val="20"/>
                <w:szCs w:val="20"/>
                <w:lang w:eastAsia="pt-BR" w:bidi="ar-SA"/>
              </w:rPr>
            </w:pPr>
          </w:p>
        </w:tc>
        <w:tc>
          <w:tcPr>
            <w:tcW w:w="2835" w:type="dxa"/>
            <w:tcBorders>
              <w:top w:val="nil"/>
              <w:left w:val="nil"/>
              <w:bottom w:val="single" w:sz="8" w:space="0" w:color="auto"/>
              <w:right w:val="single" w:sz="4" w:space="0" w:color="auto"/>
            </w:tcBorders>
            <w:shd w:val="clear" w:color="000000" w:fill="92D050"/>
            <w:vAlign w:val="center"/>
            <w:hideMark/>
          </w:tcPr>
          <w:p w14:paraId="629064A6"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5. Implantar Portal Corporativo de Banco de Conhecimento até dez/2021</w:t>
            </w:r>
          </w:p>
        </w:tc>
        <w:tc>
          <w:tcPr>
            <w:tcW w:w="2977" w:type="dxa"/>
            <w:tcBorders>
              <w:top w:val="nil"/>
              <w:left w:val="nil"/>
              <w:bottom w:val="single" w:sz="8" w:space="0" w:color="auto"/>
              <w:right w:val="single" w:sz="4" w:space="0" w:color="auto"/>
            </w:tcBorders>
            <w:shd w:val="clear" w:color="000000" w:fill="92D050"/>
            <w:vAlign w:val="center"/>
            <w:hideMark/>
          </w:tcPr>
          <w:p w14:paraId="58722AC4"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 de estruturação do Portal Corporativo de Banco de Conhecimento</w:t>
            </w:r>
          </w:p>
        </w:tc>
        <w:tc>
          <w:tcPr>
            <w:tcW w:w="2794" w:type="dxa"/>
            <w:tcBorders>
              <w:top w:val="nil"/>
              <w:left w:val="nil"/>
              <w:bottom w:val="single" w:sz="8" w:space="0" w:color="auto"/>
              <w:right w:val="single" w:sz="8" w:space="0" w:color="auto"/>
            </w:tcBorders>
            <w:shd w:val="clear" w:color="auto" w:fill="auto"/>
            <w:vAlign w:val="center"/>
            <w:hideMark/>
          </w:tcPr>
          <w:p w14:paraId="2EDF81B6" w14:textId="77777777" w:rsidR="00B0675E" w:rsidRPr="00B0675E" w:rsidRDefault="00B0675E" w:rsidP="00B0675E">
            <w:pPr>
              <w:widowControl/>
              <w:autoSpaceDE/>
              <w:autoSpaceDN/>
              <w:rPr>
                <w:rFonts w:eastAsia="Times New Roman"/>
                <w:color w:val="000000"/>
                <w:sz w:val="18"/>
                <w:szCs w:val="18"/>
                <w:lang w:eastAsia="pt-BR" w:bidi="ar-SA"/>
              </w:rPr>
            </w:pPr>
            <w:r w:rsidRPr="00B0675E">
              <w:rPr>
                <w:rFonts w:eastAsia="Times New Roman"/>
                <w:color w:val="000000"/>
                <w:sz w:val="18"/>
                <w:szCs w:val="18"/>
                <w:lang w:eastAsia="pt-BR" w:bidi="ar-SA"/>
              </w:rPr>
              <w:t> </w:t>
            </w:r>
          </w:p>
        </w:tc>
      </w:tr>
      <w:tr w:rsidR="00B0675E" w:rsidRPr="00B0675E" w14:paraId="3CD613D4" w14:textId="77777777" w:rsidTr="00D43DEB">
        <w:trPr>
          <w:trHeight w:val="765"/>
        </w:trPr>
        <w:tc>
          <w:tcPr>
            <w:tcW w:w="1833" w:type="dxa"/>
            <w:vMerge w:val="restart"/>
            <w:tcBorders>
              <w:top w:val="nil"/>
              <w:left w:val="single" w:sz="8" w:space="0" w:color="auto"/>
              <w:bottom w:val="single" w:sz="8" w:space="0" w:color="000000"/>
              <w:right w:val="single" w:sz="4" w:space="0" w:color="auto"/>
            </w:tcBorders>
            <w:shd w:val="clear" w:color="auto" w:fill="auto"/>
            <w:vAlign w:val="center"/>
            <w:hideMark/>
          </w:tcPr>
          <w:p w14:paraId="7BD317C7" w14:textId="77777777" w:rsidR="00B0675E" w:rsidRPr="00B0675E" w:rsidRDefault="00B0675E" w:rsidP="00B0675E">
            <w:pPr>
              <w:widowControl/>
              <w:autoSpaceDE/>
              <w:autoSpaceDN/>
              <w:jc w:val="center"/>
              <w:rPr>
                <w:rFonts w:eastAsia="Times New Roman"/>
                <w:color w:val="000000"/>
                <w:sz w:val="20"/>
                <w:szCs w:val="20"/>
                <w:lang w:eastAsia="pt-BR" w:bidi="ar-SA"/>
              </w:rPr>
            </w:pPr>
            <w:r w:rsidRPr="00B0675E">
              <w:rPr>
                <w:rFonts w:eastAsia="Times New Roman"/>
                <w:color w:val="000000"/>
                <w:sz w:val="20"/>
                <w:szCs w:val="20"/>
                <w:lang w:eastAsia="pt-BR" w:bidi="ar-SA"/>
              </w:rPr>
              <w:t>Objetivo 2.3 - Otimizar a gestão de custos e gastos</w:t>
            </w:r>
          </w:p>
        </w:tc>
        <w:tc>
          <w:tcPr>
            <w:tcW w:w="2835" w:type="dxa"/>
            <w:tcBorders>
              <w:top w:val="nil"/>
              <w:left w:val="nil"/>
              <w:bottom w:val="single" w:sz="4" w:space="0" w:color="auto"/>
              <w:right w:val="single" w:sz="4" w:space="0" w:color="auto"/>
            </w:tcBorders>
            <w:shd w:val="clear" w:color="auto" w:fill="auto"/>
            <w:vAlign w:val="center"/>
            <w:hideMark/>
          </w:tcPr>
          <w:p w14:paraId="6C441CDC"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1. Ampliar orçamento da Valec via emenda/articulação em 10% da proposta original</w:t>
            </w:r>
          </w:p>
        </w:tc>
        <w:tc>
          <w:tcPr>
            <w:tcW w:w="2977" w:type="dxa"/>
            <w:tcBorders>
              <w:top w:val="nil"/>
              <w:left w:val="nil"/>
              <w:bottom w:val="single" w:sz="4" w:space="0" w:color="auto"/>
              <w:right w:val="single" w:sz="4" w:space="0" w:color="auto"/>
            </w:tcBorders>
            <w:shd w:val="clear" w:color="auto" w:fill="auto"/>
            <w:vAlign w:val="center"/>
            <w:hideMark/>
          </w:tcPr>
          <w:p w14:paraId="0C140F99"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Valor total de Emendas / Valor total da PLOA 2020</w:t>
            </w:r>
          </w:p>
        </w:tc>
        <w:tc>
          <w:tcPr>
            <w:tcW w:w="2794" w:type="dxa"/>
            <w:tcBorders>
              <w:top w:val="nil"/>
              <w:left w:val="nil"/>
              <w:bottom w:val="single" w:sz="4" w:space="0" w:color="auto"/>
              <w:right w:val="single" w:sz="8" w:space="0" w:color="auto"/>
            </w:tcBorders>
            <w:shd w:val="clear" w:color="auto" w:fill="auto"/>
            <w:vAlign w:val="center"/>
            <w:hideMark/>
          </w:tcPr>
          <w:p w14:paraId="78A714CE" w14:textId="77777777" w:rsidR="00B0675E" w:rsidRPr="00B0675E" w:rsidRDefault="00B0675E" w:rsidP="00B0675E">
            <w:pPr>
              <w:widowControl/>
              <w:autoSpaceDE/>
              <w:autoSpaceDN/>
              <w:rPr>
                <w:rFonts w:eastAsia="Times New Roman"/>
                <w:color w:val="000000"/>
                <w:sz w:val="18"/>
                <w:szCs w:val="18"/>
                <w:lang w:eastAsia="pt-BR" w:bidi="ar-SA"/>
              </w:rPr>
            </w:pPr>
            <w:r w:rsidRPr="00B0675E">
              <w:rPr>
                <w:rFonts w:eastAsia="Times New Roman"/>
                <w:color w:val="000000"/>
                <w:sz w:val="18"/>
                <w:szCs w:val="18"/>
                <w:lang w:eastAsia="pt-BR" w:bidi="ar-SA"/>
              </w:rPr>
              <w:t> </w:t>
            </w:r>
          </w:p>
        </w:tc>
      </w:tr>
      <w:tr w:rsidR="00B0675E" w:rsidRPr="00B0675E" w14:paraId="3F978309" w14:textId="77777777" w:rsidTr="00D43DEB">
        <w:trPr>
          <w:trHeight w:val="1020"/>
        </w:trPr>
        <w:tc>
          <w:tcPr>
            <w:tcW w:w="1833" w:type="dxa"/>
            <w:vMerge/>
            <w:tcBorders>
              <w:top w:val="nil"/>
              <w:left w:val="single" w:sz="8" w:space="0" w:color="auto"/>
              <w:bottom w:val="single" w:sz="8" w:space="0" w:color="000000"/>
              <w:right w:val="single" w:sz="4" w:space="0" w:color="auto"/>
            </w:tcBorders>
            <w:vAlign w:val="center"/>
            <w:hideMark/>
          </w:tcPr>
          <w:p w14:paraId="7BC3828E" w14:textId="77777777" w:rsidR="00B0675E" w:rsidRPr="00B0675E" w:rsidRDefault="00B0675E" w:rsidP="00B0675E">
            <w:pPr>
              <w:widowControl/>
              <w:autoSpaceDE/>
              <w:autoSpaceDN/>
              <w:rPr>
                <w:rFonts w:eastAsia="Times New Roman"/>
                <w:color w:val="000000"/>
                <w:sz w:val="20"/>
                <w:szCs w:val="20"/>
                <w:lang w:eastAsia="pt-BR" w:bidi="ar-SA"/>
              </w:rPr>
            </w:pPr>
          </w:p>
        </w:tc>
        <w:tc>
          <w:tcPr>
            <w:tcW w:w="2835" w:type="dxa"/>
            <w:tcBorders>
              <w:top w:val="nil"/>
              <w:left w:val="nil"/>
              <w:bottom w:val="single" w:sz="4" w:space="0" w:color="auto"/>
              <w:right w:val="single" w:sz="4" w:space="0" w:color="auto"/>
            </w:tcBorders>
            <w:shd w:val="clear" w:color="auto" w:fill="auto"/>
            <w:vAlign w:val="center"/>
            <w:hideMark/>
          </w:tcPr>
          <w:p w14:paraId="167479EC"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2. Reduzir despesa de custeio em R$ 6 milhões (anualizados), com base de comparação do orçamento de 2019, até março de 2021</w:t>
            </w:r>
          </w:p>
        </w:tc>
        <w:tc>
          <w:tcPr>
            <w:tcW w:w="2977" w:type="dxa"/>
            <w:tcBorders>
              <w:top w:val="nil"/>
              <w:left w:val="nil"/>
              <w:bottom w:val="single" w:sz="4" w:space="0" w:color="auto"/>
              <w:right w:val="single" w:sz="4" w:space="0" w:color="auto"/>
            </w:tcBorders>
            <w:shd w:val="clear" w:color="auto" w:fill="auto"/>
            <w:vAlign w:val="center"/>
            <w:hideMark/>
          </w:tcPr>
          <w:p w14:paraId="0D7621CA"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 Projeção Inicial mensalizada - ∑ Execução financeira mensal. Sendo ∑ Projeção Inicial mensalizada = [(Executado de jan/20 a mai/20) / 5] x Nº meses</w:t>
            </w:r>
          </w:p>
        </w:tc>
        <w:tc>
          <w:tcPr>
            <w:tcW w:w="2794" w:type="dxa"/>
            <w:tcBorders>
              <w:top w:val="nil"/>
              <w:left w:val="nil"/>
              <w:bottom w:val="single" w:sz="4" w:space="0" w:color="auto"/>
              <w:right w:val="single" w:sz="8" w:space="0" w:color="auto"/>
            </w:tcBorders>
            <w:shd w:val="clear" w:color="auto" w:fill="auto"/>
            <w:vAlign w:val="center"/>
            <w:hideMark/>
          </w:tcPr>
          <w:p w14:paraId="07FAE7B3" w14:textId="77777777" w:rsidR="00B0675E" w:rsidRPr="00B0675E" w:rsidRDefault="00B0675E" w:rsidP="00B0675E">
            <w:pPr>
              <w:widowControl/>
              <w:autoSpaceDE/>
              <w:autoSpaceDN/>
              <w:rPr>
                <w:rFonts w:eastAsia="Times New Roman"/>
                <w:color w:val="000000"/>
                <w:sz w:val="18"/>
                <w:szCs w:val="18"/>
                <w:lang w:eastAsia="pt-BR" w:bidi="ar-SA"/>
              </w:rPr>
            </w:pPr>
            <w:r w:rsidRPr="00B0675E">
              <w:rPr>
                <w:rFonts w:eastAsia="Times New Roman"/>
                <w:color w:val="000000"/>
                <w:sz w:val="18"/>
                <w:szCs w:val="18"/>
                <w:lang w:eastAsia="pt-BR" w:bidi="ar-SA"/>
              </w:rPr>
              <w:t> </w:t>
            </w:r>
          </w:p>
        </w:tc>
      </w:tr>
      <w:tr w:rsidR="00B0675E" w:rsidRPr="00B0675E" w14:paraId="0811ED8B" w14:textId="77777777" w:rsidTr="00D43DEB">
        <w:trPr>
          <w:trHeight w:val="510"/>
        </w:trPr>
        <w:tc>
          <w:tcPr>
            <w:tcW w:w="1833" w:type="dxa"/>
            <w:vMerge/>
            <w:tcBorders>
              <w:top w:val="nil"/>
              <w:left w:val="single" w:sz="8" w:space="0" w:color="auto"/>
              <w:bottom w:val="single" w:sz="8" w:space="0" w:color="000000"/>
              <w:right w:val="single" w:sz="4" w:space="0" w:color="auto"/>
            </w:tcBorders>
            <w:vAlign w:val="center"/>
            <w:hideMark/>
          </w:tcPr>
          <w:p w14:paraId="328AD546" w14:textId="77777777" w:rsidR="00B0675E" w:rsidRPr="00B0675E" w:rsidRDefault="00B0675E" w:rsidP="00B0675E">
            <w:pPr>
              <w:widowControl/>
              <w:autoSpaceDE/>
              <w:autoSpaceDN/>
              <w:rPr>
                <w:rFonts w:eastAsia="Times New Roman"/>
                <w:color w:val="000000"/>
                <w:sz w:val="20"/>
                <w:szCs w:val="20"/>
                <w:lang w:eastAsia="pt-BR" w:bidi="ar-SA"/>
              </w:rPr>
            </w:pPr>
          </w:p>
        </w:tc>
        <w:tc>
          <w:tcPr>
            <w:tcW w:w="2835" w:type="dxa"/>
            <w:tcBorders>
              <w:top w:val="nil"/>
              <w:left w:val="nil"/>
              <w:bottom w:val="single" w:sz="4" w:space="0" w:color="auto"/>
              <w:right w:val="single" w:sz="4" w:space="0" w:color="auto"/>
            </w:tcBorders>
            <w:shd w:val="clear" w:color="auto" w:fill="auto"/>
            <w:vAlign w:val="center"/>
            <w:hideMark/>
          </w:tcPr>
          <w:p w14:paraId="1324B294"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3. Reduzir nível de dependência da Valec em 15% até dezembro de 2022</w:t>
            </w:r>
          </w:p>
        </w:tc>
        <w:tc>
          <w:tcPr>
            <w:tcW w:w="2977" w:type="dxa"/>
            <w:tcBorders>
              <w:top w:val="nil"/>
              <w:left w:val="nil"/>
              <w:bottom w:val="single" w:sz="4" w:space="0" w:color="auto"/>
              <w:right w:val="single" w:sz="4" w:space="0" w:color="auto"/>
            </w:tcBorders>
            <w:shd w:val="clear" w:color="auto" w:fill="auto"/>
            <w:vAlign w:val="center"/>
            <w:hideMark/>
          </w:tcPr>
          <w:p w14:paraId="01E38A92"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(Despesas totais – Receitas totais) / Despesas Totais</w:t>
            </w:r>
          </w:p>
        </w:tc>
        <w:tc>
          <w:tcPr>
            <w:tcW w:w="2794" w:type="dxa"/>
            <w:tcBorders>
              <w:top w:val="nil"/>
              <w:left w:val="nil"/>
              <w:bottom w:val="single" w:sz="4" w:space="0" w:color="auto"/>
              <w:right w:val="single" w:sz="8" w:space="0" w:color="auto"/>
            </w:tcBorders>
            <w:shd w:val="clear" w:color="auto" w:fill="auto"/>
            <w:vAlign w:val="center"/>
            <w:hideMark/>
          </w:tcPr>
          <w:p w14:paraId="1147BC5D" w14:textId="77777777" w:rsidR="00B0675E" w:rsidRPr="00B0675E" w:rsidRDefault="00B0675E" w:rsidP="00B0675E">
            <w:pPr>
              <w:widowControl/>
              <w:autoSpaceDE/>
              <w:autoSpaceDN/>
              <w:rPr>
                <w:rFonts w:eastAsia="Times New Roman"/>
                <w:color w:val="000000"/>
                <w:sz w:val="18"/>
                <w:szCs w:val="18"/>
                <w:lang w:eastAsia="pt-BR" w:bidi="ar-SA"/>
              </w:rPr>
            </w:pPr>
            <w:r w:rsidRPr="00B0675E">
              <w:rPr>
                <w:rFonts w:eastAsia="Times New Roman"/>
                <w:color w:val="000000"/>
                <w:sz w:val="18"/>
                <w:szCs w:val="18"/>
                <w:lang w:eastAsia="pt-BR" w:bidi="ar-SA"/>
              </w:rPr>
              <w:t> </w:t>
            </w:r>
          </w:p>
        </w:tc>
      </w:tr>
      <w:tr w:rsidR="00B0675E" w:rsidRPr="00B0675E" w14:paraId="15E7ED78" w14:textId="77777777" w:rsidTr="00D43DEB">
        <w:trPr>
          <w:trHeight w:val="780"/>
        </w:trPr>
        <w:tc>
          <w:tcPr>
            <w:tcW w:w="1833" w:type="dxa"/>
            <w:vMerge/>
            <w:tcBorders>
              <w:top w:val="nil"/>
              <w:left w:val="single" w:sz="8" w:space="0" w:color="auto"/>
              <w:bottom w:val="single" w:sz="8" w:space="0" w:color="000000"/>
              <w:right w:val="single" w:sz="4" w:space="0" w:color="auto"/>
            </w:tcBorders>
            <w:vAlign w:val="center"/>
            <w:hideMark/>
          </w:tcPr>
          <w:p w14:paraId="32D2A8FE" w14:textId="77777777" w:rsidR="00B0675E" w:rsidRPr="00B0675E" w:rsidRDefault="00B0675E" w:rsidP="00B0675E">
            <w:pPr>
              <w:widowControl/>
              <w:autoSpaceDE/>
              <w:autoSpaceDN/>
              <w:rPr>
                <w:rFonts w:eastAsia="Times New Roman"/>
                <w:color w:val="000000"/>
                <w:sz w:val="20"/>
                <w:szCs w:val="20"/>
                <w:lang w:eastAsia="pt-BR" w:bidi="ar-SA"/>
              </w:rPr>
            </w:pPr>
          </w:p>
        </w:tc>
        <w:tc>
          <w:tcPr>
            <w:tcW w:w="2835" w:type="dxa"/>
            <w:tcBorders>
              <w:top w:val="nil"/>
              <w:left w:val="nil"/>
              <w:bottom w:val="single" w:sz="8" w:space="0" w:color="auto"/>
              <w:right w:val="single" w:sz="4" w:space="0" w:color="auto"/>
            </w:tcBorders>
            <w:shd w:val="clear" w:color="auto" w:fill="auto"/>
            <w:vAlign w:val="center"/>
            <w:hideMark/>
          </w:tcPr>
          <w:p w14:paraId="56A9D44A"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4. Manter o crescimento da despesa abaixo da inflação até dezembro de 2024</w:t>
            </w:r>
          </w:p>
        </w:tc>
        <w:tc>
          <w:tcPr>
            <w:tcW w:w="2977" w:type="dxa"/>
            <w:tcBorders>
              <w:top w:val="nil"/>
              <w:left w:val="nil"/>
              <w:bottom w:val="single" w:sz="8" w:space="0" w:color="auto"/>
              <w:right w:val="single" w:sz="4" w:space="0" w:color="auto"/>
            </w:tcBorders>
            <w:shd w:val="clear" w:color="auto" w:fill="auto"/>
            <w:vAlign w:val="center"/>
            <w:hideMark/>
          </w:tcPr>
          <w:p w14:paraId="4C4207AE"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 Despesa mensal + 11 meses anteriores) / 12</w:t>
            </w:r>
          </w:p>
        </w:tc>
        <w:tc>
          <w:tcPr>
            <w:tcW w:w="2794" w:type="dxa"/>
            <w:tcBorders>
              <w:top w:val="nil"/>
              <w:left w:val="nil"/>
              <w:bottom w:val="single" w:sz="8" w:space="0" w:color="auto"/>
              <w:right w:val="single" w:sz="8" w:space="0" w:color="auto"/>
            </w:tcBorders>
            <w:shd w:val="clear" w:color="auto" w:fill="auto"/>
            <w:vAlign w:val="center"/>
            <w:hideMark/>
          </w:tcPr>
          <w:p w14:paraId="1C2D6E29" w14:textId="77777777" w:rsidR="00B0675E" w:rsidRPr="00B0675E" w:rsidRDefault="00B0675E" w:rsidP="00B0675E">
            <w:pPr>
              <w:widowControl/>
              <w:autoSpaceDE/>
              <w:autoSpaceDN/>
              <w:rPr>
                <w:rFonts w:eastAsia="Times New Roman"/>
                <w:color w:val="000000"/>
                <w:sz w:val="18"/>
                <w:szCs w:val="18"/>
                <w:lang w:eastAsia="pt-BR" w:bidi="ar-SA"/>
              </w:rPr>
            </w:pPr>
            <w:r w:rsidRPr="00B0675E">
              <w:rPr>
                <w:rFonts w:eastAsia="Times New Roman"/>
                <w:color w:val="000000"/>
                <w:sz w:val="18"/>
                <w:szCs w:val="18"/>
                <w:lang w:eastAsia="pt-BR" w:bidi="ar-SA"/>
              </w:rPr>
              <w:t> </w:t>
            </w:r>
          </w:p>
        </w:tc>
      </w:tr>
      <w:tr w:rsidR="00B0675E" w:rsidRPr="00B0675E" w14:paraId="21DC3D21" w14:textId="77777777" w:rsidTr="00D43DEB">
        <w:trPr>
          <w:trHeight w:val="900"/>
        </w:trPr>
        <w:tc>
          <w:tcPr>
            <w:tcW w:w="1833" w:type="dxa"/>
            <w:vMerge w:val="restart"/>
            <w:tcBorders>
              <w:top w:val="nil"/>
              <w:left w:val="single" w:sz="8" w:space="0" w:color="auto"/>
              <w:bottom w:val="single" w:sz="8" w:space="0" w:color="000000"/>
              <w:right w:val="single" w:sz="4" w:space="0" w:color="auto"/>
            </w:tcBorders>
            <w:shd w:val="clear" w:color="auto" w:fill="auto"/>
            <w:vAlign w:val="center"/>
            <w:hideMark/>
          </w:tcPr>
          <w:p w14:paraId="7D8DCE83" w14:textId="77777777" w:rsidR="00B0675E" w:rsidRPr="00B0675E" w:rsidRDefault="00B0675E" w:rsidP="00B0675E">
            <w:pPr>
              <w:widowControl/>
              <w:autoSpaceDE/>
              <w:autoSpaceDN/>
              <w:jc w:val="center"/>
              <w:rPr>
                <w:rFonts w:eastAsia="Times New Roman"/>
                <w:color w:val="000000"/>
                <w:sz w:val="20"/>
                <w:szCs w:val="20"/>
                <w:lang w:eastAsia="pt-BR" w:bidi="ar-SA"/>
              </w:rPr>
            </w:pPr>
            <w:r w:rsidRPr="00B0675E">
              <w:rPr>
                <w:rFonts w:eastAsia="Times New Roman"/>
                <w:color w:val="000000"/>
                <w:sz w:val="20"/>
                <w:szCs w:val="20"/>
                <w:lang w:eastAsia="pt-BR" w:bidi="ar-SA"/>
              </w:rPr>
              <w:t>Objetivo 3.1 - Modernizar a infraestrutura de TI, visando utilizá-la como instrumento de inovação para tomada de decisão</w:t>
            </w:r>
          </w:p>
        </w:tc>
        <w:tc>
          <w:tcPr>
            <w:tcW w:w="2835" w:type="dxa"/>
            <w:tcBorders>
              <w:top w:val="nil"/>
              <w:left w:val="nil"/>
              <w:bottom w:val="single" w:sz="4" w:space="0" w:color="auto"/>
              <w:right w:val="single" w:sz="4" w:space="0" w:color="auto"/>
            </w:tcBorders>
            <w:shd w:val="clear" w:color="auto" w:fill="auto"/>
            <w:vAlign w:val="center"/>
            <w:hideMark/>
          </w:tcPr>
          <w:p w14:paraId="44386117"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1. Assegurar a disponibilidade da Infraestrutura dos serviços de TIC em 99,97% até dezembro de 2021</w:t>
            </w:r>
          </w:p>
        </w:tc>
        <w:tc>
          <w:tcPr>
            <w:tcW w:w="2977" w:type="dxa"/>
            <w:tcBorders>
              <w:top w:val="nil"/>
              <w:left w:val="nil"/>
              <w:bottom w:val="single" w:sz="4" w:space="0" w:color="auto"/>
              <w:right w:val="single" w:sz="4" w:space="0" w:color="auto"/>
            </w:tcBorders>
            <w:shd w:val="clear" w:color="auto" w:fill="auto"/>
            <w:vAlign w:val="center"/>
            <w:hideMark/>
          </w:tcPr>
          <w:p w14:paraId="41F17F9B"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Tempo de rede disponível</w:t>
            </w:r>
          </w:p>
        </w:tc>
        <w:tc>
          <w:tcPr>
            <w:tcW w:w="2794" w:type="dxa"/>
            <w:tcBorders>
              <w:top w:val="nil"/>
              <w:left w:val="nil"/>
              <w:bottom w:val="single" w:sz="4" w:space="0" w:color="auto"/>
              <w:right w:val="single" w:sz="8" w:space="0" w:color="auto"/>
            </w:tcBorders>
            <w:shd w:val="clear" w:color="auto" w:fill="auto"/>
            <w:vAlign w:val="center"/>
            <w:hideMark/>
          </w:tcPr>
          <w:p w14:paraId="68B92563" w14:textId="77777777" w:rsidR="00B0675E" w:rsidRPr="00B0675E" w:rsidRDefault="00B0675E" w:rsidP="00B0675E">
            <w:pPr>
              <w:widowControl/>
              <w:autoSpaceDE/>
              <w:autoSpaceDN/>
              <w:rPr>
                <w:rFonts w:eastAsia="Times New Roman"/>
                <w:color w:val="000000"/>
                <w:sz w:val="18"/>
                <w:szCs w:val="18"/>
                <w:lang w:eastAsia="pt-BR" w:bidi="ar-SA"/>
              </w:rPr>
            </w:pPr>
            <w:r w:rsidRPr="00B0675E">
              <w:rPr>
                <w:rFonts w:eastAsia="Times New Roman"/>
                <w:color w:val="000000"/>
                <w:sz w:val="18"/>
                <w:szCs w:val="18"/>
                <w:lang w:eastAsia="pt-BR" w:bidi="ar-SA"/>
              </w:rPr>
              <w:t>Considerando paradas de manutenção, emergências nacionais, falhas de hardware, dentre outros, operar 100% do tempo seria inexequível.</w:t>
            </w:r>
          </w:p>
        </w:tc>
      </w:tr>
      <w:tr w:rsidR="00B0675E" w:rsidRPr="00B0675E" w14:paraId="5F406659" w14:textId="77777777" w:rsidTr="00D43DEB">
        <w:trPr>
          <w:trHeight w:val="300"/>
        </w:trPr>
        <w:tc>
          <w:tcPr>
            <w:tcW w:w="1833" w:type="dxa"/>
            <w:vMerge/>
            <w:tcBorders>
              <w:top w:val="nil"/>
              <w:left w:val="single" w:sz="8" w:space="0" w:color="auto"/>
              <w:bottom w:val="single" w:sz="8" w:space="0" w:color="000000"/>
              <w:right w:val="single" w:sz="4" w:space="0" w:color="auto"/>
            </w:tcBorders>
            <w:vAlign w:val="center"/>
            <w:hideMark/>
          </w:tcPr>
          <w:p w14:paraId="1921DFA0" w14:textId="77777777" w:rsidR="00B0675E" w:rsidRPr="00B0675E" w:rsidRDefault="00B0675E" w:rsidP="00B0675E">
            <w:pPr>
              <w:widowControl/>
              <w:autoSpaceDE/>
              <w:autoSpaceDN/>
              <w:rPr>
                <w:rFonts w:eastAsia="Times New Roman"/>
                <w:color w:val="000000"/>
                <w:sz w:val="20"/>
                <w:szCs w:val="20"/>
                <w:lang w:eastAsia="pt-BR" w:bidi="ar-SA"/>
              </w:rPr>
            </w:pPr>
          </w:p>
        </w:tc>
        <w:tc>
          <w:tcPr>
            <w:tcW w:w="2835" w:type="dxa"/>
            <w:tcBorders>
              <w:top w:val="nil"/>
              <w:left w:val="nil"/>
              <w:bottom w:val="single" w:sz="4" w:space="0" w:color="auto"/>
              <w:right w:val="single" w:sz="4" w:space="0" w:color="auto"/>
            </w:tcBorders>
            <w:shd w:val="clear" w:color="auto" w:fill="auto"/>
            <w:vAlign w:val="center"/>
            <w:hideMark/>
          </w:tcPr>
          <w:p w14:paraId="438CBF49"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2. Executar 100% do PDTI vigente</w:t>
            </w:r>
          </w:p>
        </w:tc>
        <w:tc>
          <w:tcPr>
            <w:tcW w:w="2977" w:type="dxa"/>
            <w:tcBorders>
              <w:top w:val="nil"/>
              <w:left w:val="nil"/>
              <w:bottom w:val="single" w:sz="4" w:space="0" w:color="auto"/>
              <w:right w:val="single" w:sz="4" w:space="0" w:color="auto"/>
            </w:tcBorders>
            <w:shd w:val="clear" w:color="auto" w:fill="auto"/>
            <w:vAlign w:val="center"/>
            <w:hideMark/>
          </w:tcPr>
          <w:p w14:paraId="09933C46"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 global de execução dos projetos do PDTI para o exercício</w:t>
            </w:r>
          </w:p>
        </w:tc>
        <w:tc>
          <w:tcPr>
            <w:tcW w:w="2794" w:type="dxa"/>
            <w:tcBorders>
              <w:top w:val="nil"/>
              <w:left w:val="nil"/>
              <w:bottom w:val="single" w:sz="4" w:space="0" w:color="auto"/>
              <w:right w:val="single" w:sz="8" w:space="0" w:color="auto"/>
            </w:tcBorders>
            <w:shd w:val="clear" w:color="auto" w:fill="auto"/>
            <w:vAlign w:val="center"/>
            <w:hideMark/>
          </w:tcPr>
          <w:p w14:paraId="707BFA5B" w14:textId="77777777" w:rsidR="00B0675E" w:rsidRPr="00B0675E" w:rsidRDefault="00B0675E" w:rsidP="00B0675E">
            <w:pPr>
              <w:widowControl/>
              <w:autoSpaceDE/>
              <w:autoSpaceDN/>
              <w:rPr>
                <w:rFonts w:eastAsia="Times New Roman"/>
                <w:color w:val="000000"/>
                <w:sz w:val="18"/>
                <w:szCs w:val="18"/>
                <w:lang w:eastAsia="pt-BR" w:bidi="ar-SA"/>
              </w:rPr>
            </w:pPr>
            <w:r w:rsidRPr="00B0675E">
              <w:rPr>
                <w:rFonts w:eastAsia="Times New Roman"/>
                <w:color w:val="000000"/>
                <w:sz w:val="18"/>
                <w:szCs w:val="18"/>
                <w:lang w:eastAsia="pt-BR" w:bidi="ar-SA"/>
              </w:rPr>
              <w:t> </w:t>
            </w:r>
          </w:p>
        </w:tc>
      </w:tr>
      <w:tr w:rsidR="00B0675E" w:rsidRPr="00B0675E" w14:paraId="5131B5A6" w14:textId="77777777" w:rsidTr="00D43DEB">
        <w:trPr>
          <w:trHeight w:val="510"/>
        </w:trPr>
        <w:tc>
          <w:tcPr>
            <w:tcW w:w="1833" w:type="dxa"/>
            <w:vMerge/>
            <w:tcBorders>
              <w:top w:val="nil"/>
              <w:left w:val="single" w:sz="8" w:space="0" w:color="auto"/>
              <w:bottom w:val="single" w:sz="8" w:space="0" w:color="000000"/>
              <w:right w:val="single" w:sz="4" w:space="0" w:color="auto"/>
            </w:tcBorders>
            <w:vAlign w:val="center"/>
            <w:hideMark/>
          </w:tcPr>
          <w:p w14:paraId="44A356BF" w14:textId="77777777" w:rsidR="00B0675E" w:rsidRPr="00B0675E" w:rsidRDefault="00B0675E" w:rsidP="00B0675E">
            <w:pPr>
              <w:widowControl/>
              <w:autoSpaceDE/>
              <w:autoSpaceDN/>
              <w:rPr>
                <w:rFonts w:eastAsia="Times New Roman"/>
                <w:color w:val="000000"/>
                <w:sz w:val="20"/>
                <w:szCs w:val="20"/>
                <w:lang w:eastAsia="pt-BR" w:bidi="ar-SA"/>
              </w:rPr>
            </w:pPr>
          </w:p>
        </w:tc>
        <w:tc>
          <w:tcPr>
            <w:tcW w:w="2835" w:type="dxa"/>
            <w:tcBorders>
              <w:top w:val="nil"/>
              <w:left w:val="nil"/>
              <w:bottom w:val="single" w:sz="4" w:space="0" w:color="auto"/>
              <w:right w:val="single" w:sz="4" w:space="0" w:color="auto"/>
            </w:tcBorders>
            <w:shd w:val="clear" w:color="auto" w:fill="auto"/>
            <w:vAlign w:val="center"/>
            <w:hideMark/>
          </w:tcPr>
          <w:p w14:paraId="4943C53D"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3. Renovar 100% do parque tecnológico até dezembro de 2024</w:t>
            </w:r>
          </w:p>
        </w:tc>
        <w:tc>
          <w:tcPr>
            <w:tcW w:w="2977" w:type="dxa"/>
            <w:tcBorders>
              <w:top w:val="nil"/>
              <w:left w:val="nil"/>
              <w:bottom w:val="single" w:sz="4" w:space="0" w:color="auto"/>
              <w:right w:val="single" w:sz="4" w:space="0" w:color="auto"/>
            </w:tcBorders>
            <w:shd w:val="clear" w:color="auto" w:fill="auto"/>
            <w:vAlign w:val="center"/>
            <w:hideMark/>
          </w:tcPr>
          <w:p w14:paraId="47F2858F"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Total de ativos de TI atualizados / Total de ativos de TI</w:t>
            </w:r>
          </w:p>
        </w:tc>
        <w:tc>
          <w:tcPr>
            <w:tcW w:w="2794" w:type="dxa"/>
            <w:tcBorders>
              <w:top w:val="nil"/>
              <w:left w:val="nil"/>
              <w:bottom w:val="single" w:sz="4" w:space="0" w:color="auto"/>
              <w:right w:val="single" w:sz="8" w:space="0" w:color="auto"/>
            </w:tcBorders>
            <w:shd w:val="clear" w:color="auto" w:fill="auto"/>
            <w:vAlign w:val="center"/>
            <w:hideMark/>
          </w:tcPr>
          <w:p w14:paraId="3DFA94F8" w14:textId="77777777" w:rsidR="00B0675E" w:rsidRPr="00B0675E" w:rsidRDefault="00B0675E" w:rsidP="00B0675E">
            <w:pPr>
              <w:widowControl/>
              <w:autoSpaceDE/>
              <w:autoSpaceDN/>
              <w:rPr>
                <w:rFonts w:eastAsia="Times New Roman"/>
                <w:color w:val="000000"/>
                <w:sz w:val="18"/>
                <w:szCs w:val="18"/>
                <w:lang w:eastAsia="pt-BR" w:bidi="ar-SA"/>
              </w:rPr>
            </w:pPr>
            <w:r w:rsidRPr="00B0675E">
              <w:rPr>
                <w:rFonts w:eastAsia="Times New Roman"/>
                <w:color w:val="000000"/>
                <w:sz w:val="18"/>
                <w:szCs w:val="18"/>
                <w:lang w:eastAsia="pt-BR" w:bidi="ar-SA"/>
              </w:rPr>
              <w:t> </w:t>
            </w:r>
          </w:p>
        </w:tc>
      </w:tr>
      <w:tr w:rsidR="00B0675E" w:rsidRPr="00B0675E" w14:paraId="178635FD" w14:textId="77777777" w:rsidTr="00D43DEB">
        <w:trPr>
          <w:trHeight w:val="510"/>
        </w:trPr>
        <w:tc>
          <w:tcPr>
            <w:tcW w:w="1833" w:type="dxa"/>
            <w:vMerge/>
            <w:tcBorders>
              <w:top w:val="nil"/>
              <w:left w:val="single" w:sz="8" w:space="0" w:color="auto"/>
              <w:bottom w:val="single" w:sz="8" w:space="0" w:color="000000"/>
              <w:right w:val="single" w:sz="4" w:space="0" w:color="auto"/>
            </w:tcBorders>
            <w:vAlign w:val="center"/>
            <w:hideMark/>
          </w:tcPr>
          <w:p w14:paraId="7B128D0C" w14:textId="77777777" w:rsidR="00B0675E" w:rsidRPr="00B0675E" w:rsidRDefault="00B0675E" w:rsidP="00B0675E">
            <w:pPr>
              <w:widowControl/>
              <w:autoSpaceDE/>
              <w:autoSpaceDN/>
              <w:rPr>
                <w:rFonts w:eastAsia="Times New Roman"/>
                <w:color w:val="000000"/>
                <w:sz w:val="20"/>
                <w:szCs w:val="20"/>
                <w:lang w:eastAsia="pt-BR" w:bidi="ar-SA"/>
              </w:rPr>
            </w:pPr>
          </w:p>
        </w:tc>
        <w:tc>
          <w:tcPr>
            <w:tcW w:w="2835" w:type="dxa"/>
            <w:tcBorders>
              <w:top w:val="nil"/>
              <w:left w:val="nil"/>
              <w:bottom w:val="single" w:sz="4" w:space="0" w:color="auto"/>
              <w:right w:val="single" w:sz="4" w:space="0" w:color="auto"/>
            </w:tcBorders>
            <w:shd w:val="clear" w:color="auto" w:fill="auto"/>
            <w:vAlign w:val="center"/>
            <w:hideMark/>
          </w:tcPr>
          <w:p w14:paraId="11BA0D35"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4. Manter no mínimo 20% disponível de reserva de espaço em disco</w:t>
            </w:r>
          </w:p>
        </w:tc>
        <w:tc>
          <w:tcPr>
            <w:tcW w:w="2977" w:type="dxa"/>
            <w:tcBorders>
              <w:top w:val="nil"/>
              <w:left w:val="nil"/>
              <w:bottom w:val="single" w:sz="4" w:space="0" w:color="auto"/>
              <w:right w:val="single" w:sz="4" w:space="0" w:color="auto"/>
            </w:tcBorders>
            <w:shd w:val="clear" w:color="auto" w:fill="auto"/>
            <w:vAlign w:val="center"/>
            <w:hideMark/>
          </w:tcPr>
          <w:p w14:paraId="299969DF"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 de reserva de espaço em disco</w:t>
            </w:r>
          </w:p>
        </w:tc>
        <w:tc>
          <w:tcPr>
            <w:tcW w:w="2794" w:type="dxa"/>
            <w:tcBorders>
              <w:top w:val="nil"/>
              <w:left w:val="nil"/>
              <w:bottom w:val="single" w:sz="4" w:space="0" w:color="auto"/>
              <w:right w:val="single" w:sz="8" w:space="0" w:color="auto"/>
            </w:tcBorders>
            <w:shd w:val="clear" w:color="auto" w:fill="auto"/>
            <w:vAlign w:val="center"/>
            <w:hideMark/>
          </w:tcPr>
          <w:p w14:paraId="7D7F4BA7" w14:textId="77777777" w:rsidR="00B0675E" w:rsidRPr="00B0675E" w:rsidRDefault="00B0675E" w:rsidP="00B0675E">
            <w:pPr>
              <w:widowControl/>
              <w:autoSpaceDE/>
              <w:autoSpaceDN/>
              <w:rPr>
                <w:rFonts w:eastAsia="Times New Roman"/>
                <w:color w:val="000000"/>
                <w:sz w:val="18"/>
                <w:szCs w:val="18"/>
                <w:lang w:eastAsia="pt-BR" w:bidi="ar-SA"/>
              </w:rPr>
            </w:pPr>
            <w:r w:rsidRPr="00B0675E">
              <w:rPr>
                <w:rFonts w:eastAsia="Times New Roman"/>
                <w:color w:val="000000"/>
                <w:sz w:val="18"/>
                <w:szCs w:val="18"/>
                <w:lang w:eastAsia="pt-BR" w:bidi="ar-SA"/>
              </w:rPr>
              <w:t> </w:t>
            </w:r>
          </w:p>
        </w:tc>
      </w:tr>
      <w:tr w:rsidR="00B0675E" w:rsidRPr="00B0675E" w14:paraId="6E7DD7A8" w14:textId="77777777" w:rsidTr="00D43DEB">
        <w:trPr>
          <w:trHeight w:val="780"/>
        </w:trPr>
        <w:tc>
          <w:tcPr>
            <w:tcW w:w="1833" w:type="dxa"/>
            <w:vMerge/>
            <w:tcBorders>
              <w:top w:val="nil"/>
              <w:left w:val="single" w:sz="8" w:space="0" w:color="auto"/>
              <w:bottom w:val="single" w:sz="8" w:space="0" w:color="000000"/>
              <w:right w:val="single" w:sz="4" w:space="0" w:color="auto"/>
            </w:tcBorders>
            <w:vAlign w:val="center"/>
            <w:hideMark/>
          </w:tcPr>
          <w:p w14:paraId="12D1E92E" w14:textId="77777777" w:rsidR="00B0675E" w:rsidRPr="00B0675E" w:rsidRDefault="00B0675E" w:rsidP="00B0675E">
            <w:pPr>
              <w:widowControl/>
              <w:autoSpaceDE/>
              <w:autoSpaceDN/>
              <w:rPr>
                <w:rFonts w:eastAsia="Times New Roman"/>
                <w:color w:val="000000"/>
                <w:sz w:val="20"/>
                <w:szCs w:val="20"/>
                <w:lang w:eastAsia="pt-BR" w:bidi="ar-SA"/>
              </w:rPr>
            </w:pPr>
          </w:p>
        </w:tc>
        <w:tc>
          <w:tcPr>
            <w:tcW w:w="2835" w:type="dxa"/>
            <w:tcBorders>
              <w:top w:val="nil"/>
              <w:left w:val="nil"/>
              <w:bottom w:val="single" w:sz="8" w:space="0" w:color="auto"/>
              <w:right w:val="single" w:sz="4" w:space="0" w:color="auto"/>
            </w:tcBorders>
            <w:shd w:val="clear" w:color="auto" w:fill="auto"/>
            <w:vAlign w:val="center"/>
            <w:hideMark/>
          </w:tcPr>
          <w:p w14:paraId="19EB3B04"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5. Implantar 100% do Documento de Transporte Eletrônico (DTE) até junho de 2022</w:t>
            </w:r>
          </w:p>
        </w:tc>
        <w:tc>
          <w:tcPr>
            <w:tcW w:w="2977" w:type="dxa"/>
            <w:tcBorders>
              <w:top w:val="nil"/>
              <w:left w:val="nil"/>
              <w:bottom w:val="single" w:sz="8" w:space="0" w:color="auto"/>
              <w:right w:val="single" w:sz="4" w:space="0" w:color="auto"/>
            </w:tcBorders>
            <w:shd w:val="clear" w:color="auto" w:fill="auto"/>
            <w:vAlign w:val="center"/>
            <w:hideMark/>
          </w:tcPr>
          <w:p w14:paraId="7043CFDB"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 de execução do projeto</w:t>
            </w:r>
          </w:p>
        </w:tc>
        <w:tc>
          <w:tcPr>
            <w:tcW w:w="2794" w:type="dxa"/>
            <w:tcBorders>
              <w:top w:val="nil"/>
              <w:left w:val="nil"/>
              <w:bottom w:val="single" w:sz="8" w:space="0" w:color="auto"/>
              <w:right w:val="single" w:sz="8" w:space="0" w:color="auto"/>
            </w:tcBorders>
            <w:shd w:val="clear" w:color="auto" w:fill="auto"/>
            <w:vAlign w:val="center"/>
            <w:hideMark/>
          </w:tcPr>
          <w:p w14:paraId="748A08BB" w14:textId="77777777" w:rsidR="00B0675E" w:rsidRPr="00B0675E" w:rsidRDefault="00B0675E" w:rsidP="00B0675E">
            <w:pPr>
              <w:widowControl/>
              <w:autoSpaceDE/>
              <w:autoSpaceDN/>
              <w:rPr>
                <w:rFonts w:eastAsia="Times New Roman"/>
                <w:color w:val="000000"/>
                <w:sz w:val="18"/>
                <w:szCs w:val="18"/>
                <w:lang w:eastAsia="pt-BR" w:bidi="ar-SA"/>
              </w:rPr>
            </w:pPr>
            <w:r w:rsidRPr="00B0675E">
              <w:rPr>
                <w:rFonts w:eastAsia="Times New Roman"/>
                <w:color w:val="000000"/>
                <w:sz w:val="18"/>
                <w:szCs w:val="18"/>
                <w:lang w:eastAsia="pt-BR" w:bidi="ar-SA"/>
              </w:rPr>
              <w:t> </w:t>
            </w:r>
          </w:p>
        </w:tc>
      </w:tr>
      <w:tr w:rsidR="00B0675E" w:rsidRPr="00B0675E" w14:paraId="01FA48F1" w14:textId="77777777" w:rsidTr="00D43DEB">
        <w:trPr>
          <w:trHeight w:val="600"/>
        </w:trPr>
        <w:tc>
          <w:tcPr>
            <w:tcW w:w="1833" w:type="dxa"/>
            <w:vMerge w:val="restart"/>
            <w:tcBorders>
              <w:top w:val="nil"/>
              <w:left w:val="single" w:sz="8" w:space="0" w:color="auto"/>
              <w:bottom w:val="single" w:sz="8" w:space="0" w:color="000000"/>
              <w:right w:val="single" w:sz="4" w:space="0" w:color="auto"/>
            </w:tcBorders>
            <w:shd w:val="clear" w:color="auto" w:fill="auto"/>
            <w:vAlign w:val="center"/>
            <w:hideMark/>
          </w:tcPr>
          <w:p w14:paraId="6CC72D42" w14:textId="77777777" w:rsidR="00B0675E" w:rsidRPr="00B0675E" w:rsidRDefault="00B0675E" w:rsidP="00B0675E">
            <w:pPr>
              <w:widowControl/>
              <w:autoSpaceDE/>
              <w:autoSpaceDN/>
              <w:jc w:val="center"/>
              <w:rPr>
                <w:rFonts w:eastAsia="Times New Roman"/>
                <w:color w:val="000000"/>
                <w:sz w:val="20"/>
                <w:szCs w:val="20"/>
                <w:lang w:eastAsia="pt-BR" w:bidi="ar-SA"/>
              </w:rPr>
            </w:pPr>
            <w:r w:rsidRPr="00B0675E">
              <w:rPr>
                <w:rFonts w:eastAsia="Times New Roman"/>
                <w:color w:val="000000"/>
                <w:sz w:val="20"/>
                <w:szCs w:val="20"/>
                <w:lang w:eastAsia="pt-BR" w:bidi="ar-SA"/>
              </w:rPr>
              <w:t>Objetivo 3.2 - Desenvolver, valorizar e atrair talentos</w:t>
            </w:r>
          </w:p>
        </w:tc>
        <w:tc>
          <w:tcPr>
            <w:tcW w:w="2835" w:type="dxa"/>
            <w:tcBorders>
              <w:top w:val="nil"/>
              <w:left w:val="nil"/>
              <w:bottom w:val="single" w:sz="4" w:space="0" w:color="auto"/>
              <w:right w:val="single" w:sz="4" w:space="0" w:color="auto"/>
            </w:tcBorders>
            <w:shd w:val="clear" w:color="auto" w:fill="auto"/>
            <w:vAlign w:val="center"/>
            <w:hideMark/>
          </w:tcPr>
          <w:p w14:paraId="3020261A"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1. Capacitar 75% dos empregados até 2022</w:t>
            </w:r>
          </w:p>
        </w:tc>
        <w:tc>
          <w:tcPr>
            <w:tcW w:w="2977" w:type="dxa"/>
            <w:tcBorders>
              <w:top w:val="nil"/>
              <w:left w:val="nil"/>
              <w:bottom w:val="single" w:sz="4" w:space="0" w:color="auto"/>
              <w:right w:val="single" w:sz="4" w:space="0" w:color="auto"/>
            </w:tcBorders>
            <w:shd w:val="clear" w:color="auto" w:fill="auto"/>
            <w:vAlign w:val="center"/>
            <w:hideMark/>
          </w:tcPr>
          <w:p w14:paraId="5C62874A"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Nº Empregados capacitados / Total Empregados</w:t>
            </w:r>
          </w:p>
        </w:tc>
        <w:tc>
          <w:tcPr>
            <w:tcW w:w="2794" w:type="dxa"/>
            <w:tcBorders>
              <w:top w:val="nil"/>
              <w:left w:val="nil"/>
              <w:bottom w:val="single" w:sz="4" w:space="0" w:color="auto"/>
              <w:right w:val="single" w:sz="8" w:space="0" w:color="auto"/>
            </w:tcBorders>
            <w:shd w:val="clear" w:color="auto" w:fill="auto"/>
            <w:vAlign w:val="center"/>
            <w:hideMark/>
          </w:tcPr>
          <w:p w14:paraId="4AED0589" w14:textId="77777777" w:rsidR="00B0675E" w:rsidRPr="00B0675E" w:rsidRDefault="00B0675E" w:rsidP="00B0675E">
            <w:pPr>
              <w:widowControl/>
              <w:autoSpaceDE/>
              <w:autoSpaceDN/>
              <w:rPr>
                <w:rFonts w:eastAsia="Times New Roman"/>
                <w:color w:val="000000"/>
                <w:sz w:val="18"/>
                <w:szCs w:val="18"/>
                <w:lang w:eastAsia="pt-BR" w:bidi="ar-SA"/>
              </w:rPr>
            </w:pPr>
            <w:r w:rsidRPr="00B0675E">
              <w:rPr>
                <w:rFonts w:eastAsia="Times New Roman"/>
                <w:color w:val="000000"/>
                <w:sz w:val="18"/>
                <w:szCs w:val="18"/>
                <w:lang w:eastAsia="pt-BR" w:bidi="ar-SA"/>
              </w:rPr>
              <w:t> </w:t>
            </w:r>
          </w:p>
        </w:tc>
      </w:tr>
      <w:tr w:rsidR="00B0675E" w:rsidRPr="00B0675E" w14:paraId="76AA3DFA" w14:textId="77777777" w:rsidTr="00D43DEB">
        <w:trPr>
          <w:trHeight w:val="510"/>
        </w:trPr>
        <w:tc>
          <w:tcPr>
            <w:tcW w:w="1833" w:type="dxa"/>
            <w:vMerge/>
            <w:tcBorders>
              <w:top w:val="nil"/>
              <w:left w:val="single" w:sz="8" w:space="0" w:color="auto"/>
              <w:bottom w:val="single" w:sz="8" w:space="0" w:color="000000"/>
              <w:right w:val="single" w:sz="4" w:space="0" w:color="auto"/>
            </w:tcBorders>
            <w:vAlign w:val="center"/>
            <w:hideMark/>
          </w:tcPr>
          <w:p w14:paraId="79CCF5CD" w14:textId="77777777" w:rsidR="00B0675E" w:rsidRPr="00B0675E" w:rsidRDefault="00B0675E" w:rsidP="00B0675E">
            <w:pPr>
              <w:widowControl/>
              <w:autoSpaceDE/>
              <w:autoSpaceDN/>
              <w:rPr>
                <w:rFonts w:eastAsia="Times New Roman"/>
                <w:color w:val="000000"/>
                <w:sz w:val="20"/>
                <w:szCs w:val="20"/>
                <w:lang w:eastAsia="pt-BR" w:bidi="ar-SA"/>
              </w:rPr>
            </w:pPr>
          </w:p>
        </w:tc>
        <w:tc>
          <w:tcPr>
            <w:tcW w:w="2835" w:type="dxa"/>
            <w:tcBorders>
              <w:top w:val="nil"/>
              <w:left w:val="nil"/>
              <w:bottom w:val="single" w:sz="4" w:space="0" w:color="auto"/>
              <w:right w:val="single" w:sz="4" w:space="0" w:color="auto"/>
            </w:tcBorders>
            <w:shd w:val="clear" w:color="auto" w:fill="auto"/>
            <w:vAlign w:val="center"/>
            <w:hideMark/>
          </w:tcPr>
          <w:p w14:paraId="46FEB8C7"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2. Capacitar 100% gestores até dezembro de 2022</w:t>
            </w:r>
          </w:p>
        </w:tc>
        <w:tc>
          <w:tcPr>
            <w:tcW w:w="2977" w:type="dxa"/>
            <w:tcBorders>
              <w:top w:val="nil"/>
              <w:left w:val="nil"/>
              <w:bottom w:val="single" w:sz="4" w:space="0" w:color="auto"/>
              <w:right w:val="single" w:sz="4" w:space="0" w:color="auto"/>
            </w:tcBorders>
            <w:shd w:val="clear" w:color="auto" w:fill="auto"/>
            <w:vAlign w:val="center"/>
            <w:hideMark/>
          </w:tcPr>
          <w:p w14:paraId="35038C13"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Nº Gestores capacitados / Total Gestores</w:t>
            </w:r>
          </w:p>
        </w:tc>
        <w:tc>
          <w:tcPr>
            <w:tcW w:w="2794" w:type="dxa"/>
            <w:tcBorders>
              <w:top w:val="nil"/>
              <w:left w:val="nil"/>
              <w:bottom w:val="single" w:sz="4" w:space="0" w:color="auto"/>
              <w:right w:val="single" w:sz="8" w:space="0" w:color="auto"/>
            </w:tcBorders>
            <w:shd w:val="clear" w:color="auto" w:fill="auto"/>
            <w:vAlign w:val="center"/>
            <w:hideMark/>
          </w:tcPr>
          <w:p w14:paraId="64219050" w14:textId="77777777" w:rsidR="00B0675E" w:rsidRPr="00B0675E" w:rsidRDefault="00B0675E" w:rsidP="00B0675E">
            <w:pPr>
              <w:widowControl/>
              <w:autoSpaceDE/>
              <w:autoSpaceDN/>
              <w:rPr>
                <w:rFonts w:eastAsia="Times New Roman"/>
                <w:color w:val="000000"/>
                <w:sz w:val="18"/>
                <w:szCs w:val="18"/>
                <w:lang w:eastAsia="pt-BR" w:bidi="ar-SA"/>
              </w:rPr>
            </w:pPr>
            <w:r w:rsidRPr="00B0675E">
              <w:rPr>
                <w:rFonts w:eastAsia="Times New Roman"/>
                <w:color w:val="000000"/>
                <w:sz w:val="18"/>
                <w:szCs w:val="18"/>
                <w:lang w:eastAsia="pt-BR" w:bidi="ar-SA"/>
              </w:rPr>
              <w:t> </w:t>
            </w:r>
          </w:p>
        </w:tc>
      </w:tr>
      <w:tr w:rsidR="00B0675E" w:rsidRPr="00B0675E" w14:paraId="555D267D" w14:textId="77777777" w:rsidTr="00D43DEB">
        <w:trPr>
          <w:trHeight w:val="765"/>
        </w:trPr>
        <w:tc>
          <w:tcPr>
            <w:tcW w:w="1833" w:type="dxa"/>
            <w:vMerge/>
            <w:tcBorders>
              <w:top w:val="nil"/>
              <w:left w:val="single" w:sz="8" w:space="0" w:color="auto"/>
              <w:bottom w:val="single" w:sz="8" w:space="0" w:color="000000"/>
              <w:right w:val="single" w:sz="4" w:space="0" w:color="auto"/>
            </w:tcBorders>
            <w:vAlign w:val="center"/>
            <w:hideMark/>
          </w:tcPr>
          <w:p w14:paraId="7C1895C1" w14:textId="77777777" w:rsidR="00B0675E" w:rsidRPr="00B0675E" w:rsidRDefault="00B0675E" w:rsidP="00B0675E">
            <w:pPr>
              <w:widowControl/>
              <w:autoSpaceDE/>
              <w:autoSpaceDN/>
              <w:rPr>
                <w:rFonts w:eastAsia="Times New Roman"/>
                <w:color w:val="000000"/>
                <w:sz w:val="20"/>
                <w:szCs w:val="20"/>
                <w:lang w:eastAsia="pt-BR" w:bidi="ar-SA"/>
              </w:rPr>
            </w:pPr>
          </w:p>
        </w:tc>
        <w:tc>
          <w:tcPr>
            <w:tcW w:w="2835" w:type="dxa"/>
            <w:tcBorders>
              <w:top w:val="nil"/>
              <w:left w:val="nil"/>
              <w:bottom w:val="single" w:sz="4" w:space="0" w:color="auto"/>
              <w:right w:val="single" w:sz="4" w:space="0" w:color="auto"/>
            </w:tcBorders>
            <w:shd w:val="clear" w:color="auto" w:fill="auto"/>
            <w:vAlign w:val="center"/>
            <w:hideMark/>
          </w:tcPr>
          <w:p w14:paraId="563609B8"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3. Atingir 80% de satisfação com o clima organizacional da Valec até dezembro de 2022</w:t>
            </w:r>
          </w:p>
        </w:tc>
        <w:tc>
          <w:tcPr>
            <w:tcW w:w="2977" w:type="dxa"/>
            <w:tcBorders>
              <w:top w:val="nil"/>
              <w:left w:val="nil"/>
              <w:bottom w:val="single" w:sz="4" w:space="0" w:color="auto"/>
              <w:right w:val="single" w:sz="4" w:space="0" w:color="auto"/>
            </w:tcBorders>
            <w:shd w:val="clear" w:color="auto" w:fill="auto"/>
            <w:vAlign w:val="center"/>
            <w:hideMark/>
          </w:tcPr>
          <w:p w14:paraId="721FB461"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Nº ações QVT realizadas ao ano</w:t>
            </w:r>
          </w:p>
        </w:tc>
        <w:tc>
          <w:tcPr>
            <w:tcW w:w="2794" w:type="dxa"/>
            <w:tcBorders>
              <w:top w:val="nil"/>
              <w:left w:val="nil"/>
              <w:bottom w:val="single" w:sz="4" w:space="0" w:color="auto"/>
              <w:right w:val="single" w:sz="8" w:space="0" w:color="auto"/>
            </w:tcBorders>
            <w:shd w:val="clear" w:color="auto" w:fill="auto"/>
            <w:vAlign w:val="center"/>
            <w:hideMark/>
          </w:tcPr>
          <w:p w14:paraId="4557D397" w14:textId="77777777" w:rsidR="00B0675E" w:rsidRPr="00B0675E" w:rsidRDefault="00B0675E" w:rsidP="00B0675E">
            <w:pPr>
              <w:widowControl/>
              <w:autoSpaceDE/>
              <w:autoSpaceDN/>
              <w:rPr>
                <w:rFonts w:eastAsia="Times New Roman"/>
                <w:color w:val="000000"/>
                <w:sz w:val="18"/>
                <w:szCs w:val="18"/>
                <w:lang w:eastAsia="pt-BR" w:bidi="ar-SA"/>
              </w:rPr>
            </w:pPr>
            <w:r w:rsidRPr="00B0675E">
              <w:rPr>
                <w:rFonts w:eastAsia="Times New Roman"/>
                <w:color w:val="000000"/>
                <w:sz w:val="18"/>
                <w:szCs w:val="18"/>
                <w:lang w:eastAsia="pt-BR" w:bidi="ar-SA"/>
              </w:rPr>
              <w:t> </w:t>
            </w:r>
          </w:p>
        </w:tc>
      </w:tr>
      <w:tr w:rsidR="00B0675E" w:rsidRPr="00B0675E" w14:paraId="6A2602B2" w14:textId="77777777" w:rsidTr="00D43DEB">
        <w:trPr>
          <w:trHeight w:val="1035"/>
        </w:trPr>
        <w:tc>
          <w:tcPr>
            <w:tcW w:w="1833" w:type="dxa"/>
            <w:vMerge/>
            <w:tcBorders>
              <w:top w:val="nil"/>
              <w:left w:val="single" w:sz="8" w:space="0" w:color="auto"/>
              <w:bottom w:val="single" w:sz="8" w:space="0" w:color="000000"/>
              <w:right w:val="single" w:sz="4" w:space="0" w:color="auto"/>
            </w:tcBorders>
            <w:vAlign w:val="center"/>
            <w:hideMark/>
          </w:tcPr>
          <w:p w14:paraId="719A730E" w14:textId="77777777" w:rsidR="00B0675E" w:rsidRPr="00B0675E" w:rsidRDefault="00B0675E" w:rsidP="00B0675E">
            <w:pPr>
              <w:widowControl/>
              <w:autoSpaceDE/>
              <w:autoSpaceDN/>
              <w:rPr>
                <w:rFonts w:eastAsia="Times New Roman"/>
                <w:color w:val="000000"/>
                <w:sz w:val="20"/>
                <w:szCs w:val="20"/>
                <w:lang w:eastAsia="pt-BR" w:bidi="ar-SA"/>
              </w:rPr>
            </w:pPr>
          </w:p>
        </w:tc>
        <w:tc>
          <w:tcPr>
            <w:tcW w:w="2835" w:type="dxa"/>
            <w:tcBorders>
              <w:top w:val="nil"/>
              <w:left w:val="nil"/>
              <w:bottom w:val="single" w:sz="8" w:space="0" w:color="auto"/>
              <w:right w:val="single" w:sz="4" w:space="0" w:color="auto"/>
            </w:tcBorders>
            <w:shd w:val="clear" w:color="auto" w:fill="auto"/>
            <w:vAlign w:val="center"/>
            <w:hideMark/>
          </w:tcPr>
          <w:p w14:paraId="4D3CE4A2"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4. Prover 50% dos cargos gerenciais vagos (por escolha da diretoria) da Valec por meio de processos seletivos até dezembro de 2024</w:t>
            </w:r>
          </w:p>
        </w:tc>
        <w:tc>
          <w:tcPr>
            <w:tcW w:w="2977" w:type="dxa"/>
            <w:tcBorders>
              <w:top w:val="nil"/>
              <w:left w:val="nil"/>
              <w:bottom w:val="single" w:sz="8" w:space="0" w:color="auto"/>
              <w:right w:val="single" w:sz="4" w:space="0" w:color="auto"/>
            </w:tcBorders>
            <w:shd w:val="clear" w:color="auto" w:fill="auto"/>
            <w:vAlign w:val="center"/>
            <w:hideMark/>
          </w:tcPr>
          <w:p w14:paraId="341C0121"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Nº processos seletivos / Total cargos gerenciais vagos na Valec</w:t>
            </w:r>
          </w:p>
        </w:tc>
        <w:tc>
          <w:tcPr>
            <w:tcW w:w="2794" w:type="dxa"/>
            <w:tcBorders>
              <w:top w:val="nil"/>
              <w:left w:val="nil"/>
              <w:bottom w:val="single" w:sz="8" w:space="0" w:color="auto"/>
              <w:right w:val="single" w:sz="8" w:space="0" w:color="auto"/>
            </w:tcBorders>
            <w:shd w:val="clear" w:color="auto" w:fill="auto"/>
            <w:vAlign w:val="center"/>
            <w:hideMark/>
          </w:tcPr>
          <w:p w14:paraId="31642681" w14:textId="77777777" w:rsidR="00B0675E" w:rsidRPr="00B0675E" w:rsidRDefault="00B0675E" w:rsidP="00B0675E">
            <w:pPr>
              <w:widowControl/>
              <w:autoSpaceDE/>
              <w:autoSpaceDN/>
              <w:rPr>
                <w:rFonts w:eastAsia="Times New Roman"/>
                <w:color w:val="000000"/>
                <w:sz w:val="18"/>
                <w:szCs w:val="18"/>
                <w:lang w:eastAsia="pt-BR" w:bidi="ar-SA"/>
              </w:rPr>
            </w:pPr>
            <w:r w:rsidRPr="00B0675E">
              <w:rPr>
                <w:rFonts w:eastAsia="Times New Roman"/>
                <w:color w:val="000000"/>
                <w:sz w:val="18"/>
                <w:szCs w:val="18"/>
                <w:lang w:eastAsia="pt-BR" w:bidi="ar-SA"/>
              </w:rPr>
              <w:t> </w:t>
            </w:r>
          </w:p>
        </w:tc>
      </w:tr>
      <w:tr w:rsidR="00B0675E" w:rsidRPr="00B0675E" w14:paraId="1E68002A" w14:textId="77777777" w:rsidTr="00D43DEB">
        <w:trPr>
          <w:trHeight w:val="900"/>
        </w:trPr>
        <w:tc>
          <w:tcPr>
            <w:tcW w:w="1833" w:type="dxa"/>
            <w:vMerge w:val="restart"/>
            <w:tcBorders>
              <w:top w:val="nil"/>
              <w:left w:val="single" w:sz="8" w:space="0" w:color="auto"/>
              <w:bottom w:val="single" w:sz="8" w:space="0" w:color="000000"/>
              <w:right w:val="single" w:sz="4" w:space="0" w:color="auto"/>
            </w:tcBorders>
            <w:shd w:val="clear" w:color="auto" w:fill="auto"/>
            <w:vAlign w:val="center"/>
            <w:hideMark/>
          </w:tcPr>
          <w:p w14:paraId="4F424CB7" w14:textId="77777777" w:rsidR="00B0675E" w:rsidRPr="00B0675E" w:rsidRDefault="00B0675E" w:rsidP="00B0675E">
            <w:pPr>
              <w:widowControl/>
              <w:autoSpaceDE/>
              <w:autoSpaceDN/>
              <w:jc w:val="center"/>
              <w:rPr>
                <w:rFonts w:eastAsia="Times New Roman"/>
                <w:color w:val="000000"/>
                <w:sz w:val="20"/>
                <w:szCs w:val="20"/>
                <w:lang w:eastAsia="pt-BR" w:bidi="ar-SA"/>
              </w:rPr>
            </w:pPr>
            <w:r w:rsidRPr="00B0675E">
              <w:rPr>
                <w:rFonts w:eastAsia="Times New Roman"/>
                <w:color w:val="000000"/>
                <w:sz w:val="20"/>
                <w:szCs w:val="20"/>
                <w:lang w:eastAsia="pt-BR" w:bidi="ar-SA"/>
              </w:rPr>
              <w:t>Objetivo 3.3 - Modernizar e simplificar processos e instituir cultura de gestão de resultados</w:t>
            </w:r>
          </w:p>
        </w:tc>
        <w:tc>
          <w:tcPr>
            <w:tcW w:w="2835" w:type="dxa"/>
            <w:tcBorders>
              <w:top w:val="nil"/>
              <w:left w:val="nil"/>
              <w:bottom w:val="single" w:sz="4" w:space="0" w:color="auto"/>
              <w:right w:val="single" w:sz="4" w:space="0" w:color="auto"/>
            </w:tcBorders>
            <w:shd w:val="clear" w:color="auto" w:fill="auto"/>
            <w:vAlign w:val="center"/>
            <w:hideMark/>
          </w:tcPr>
          <w:p w14:paraId="3D85F175"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1. (Re)desenhar 100% dos processos-chave até dezembro de 2022</w:t>
            </w:r>
          </w:p>
        </w:tc>
        <w:tc>
          <w:tcPr>
            <w:tcW w:w="2977" w:type="dxa"/>
            <w:tcBorders>
              <w:top w:val="nil"/>
              <w:left w:val="nil"/>
              <w:bottom w:val="single" w:sz="4" w:space="0" w:color="auto"/>
              <w:right w:val="single" w:sz="4" w:space="0" w:color="auto"/>
            </w:tcBorders>
            <w:shd w:val="clear" w:color="auto" w:fill="auto"/>
            <w:vAlign w:val="center"/>
            <w:hideMark/>
          </w:tcPr>
          <w:p w14:paraId="568CDB56"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 processos redesenhados PRESI) x 0,25] + [(% processos redesenhados DIRAF) x 0,25] + [(% processos redesenhados DIREM) x 0,25] + [(% processos redesenhados DINEG) x 0,25]</w:t>
            </w:r>
          </w:p>
        </w:tc>
        <w:tc>
          <w:tcPr>
            <w:tcW w:w="2794" w:type="dxa"/>
            <w:tcBorders>
              <w:top w:val="nil"/>
              <w:left w:val="nil"/>
              <w:bottom w:val="single" w:sz="4" w:space="0" w:color="auto"/>
              <w:right w:val="single" w:sz="8" w:space="0" w:color="auto"/>
            </w:tcBorders>
            <w:shd w:val="clear" w:color="auto" w:fill="auto"/>
            <w:vAlign w:val="center"/>
            <w:hideMark/>
          </w:tcPr>
          <w:p w14:paraId="74C7572B" w14:textId="77777777" w:rsidR="00B0675E" w:rsidRPr="00B0675E" w:rsidRDefault="00B0675E" w:rsidP="00B0675E">
            <w:pPr>
              <w:widowControl/>
              <w:autoSpaceDE/>
              <w:autoSpaceDN/>
              <w:rPr>
                <w:rFonts w:eastAsia="Times New Roman"/>
                <w:color w:val="000000"/>
                <w:sz w:val="18"/>
                <w:szCs w:val="18"/>
                <w:lang w:eastAsia="pt-BR" w:bidi="ar-SA"/>
              </w:rPr>
            </w:pPr>
            <w:r w:rsidRPr="00B0675E">
              <w:rPr>
                <w:rFonts w:eastAsia="Times New Roman"/>
                <w:color w:val="000000"/>
                <w:sz w:val="18"/>
                <w:szCs w:val="18"/>
                <w:lang w:eastAsia="pt-BR" w:bidi="ar-SA"/>
              </w:rPr>
              <w:t> </w:t>
            </w:r>
          </w:p>
        </w:tc>
      </w:tr>
      <w:tr w:rsidR="00B0675E" w:rsidRPr="00B0675E" w14:paraId="79472BC3" w14:textId="77777777" w:rsidTr="00D43DEB">
        <w:trPr>
          <w:trHeight w:val="1920"/>
        </w:trPr>
        <w:tc>
          <w:tcPr>
            <w:tcW w:w="1833" w:type="dxa"/>
            <w:vMerge/>
            <w:tcBorders>
              <w:top w:val="nil"/>
              <w:left w:val="single" w:sz="8" w:space="0" w:color="auto"/>
              <w:bottom w:val="single" w:sz="8" w:space="0" w:color="000000"/>
              <w:right w:val="single" w:sz="4" w:space="0" w:color="auto"/>
            </w:tcBorders>
            <w:vAlign w:val="center"/>
            <w:hideMark/>
          </w:tcPr>
          <w:p w14:paraId="16DB0255" w14:textId="77777777" w:rsidR="00B0675E" w:rsidRPr="00B0675E" w:rsidRDefault="00B0675E" w:rsidP="00B0675E">
            <w:pPr>
              <w:widowControl/>
              <w:autoSpaceDE/>
              <w:autoSpaceDN/>
              <w:rPr>
                <w:rFonts w:eastAsia="Times New Roman"/>
                <w:color w:val="000000"/>
                <w:sz w:val="20"/>
                <w:szCs w:val="20"/>
                <w:lang w:eastAsia="pt-BR" w:bidi="ar-SA"/>
              </w:rPr>
            </w:pPr>
          </w:p>
        </w:tc>
        <w:tc>
          <w:tcPr>
            <w:tcW w:w="2835" w:type="dxa"/>
            <w:tcBorders>
              <w:top w:val="nil"/>
              <w:left w:val="nil"/>
              <w:bottom w:val="single" w:sz="4" w:space="0" w:color="auto"/>
              <w:right w:val="single" w:sz="4" w:space="0" w:color="auto"/>
            </w:tcBorders>
            <w:shd w:val="clear" w:color="000000" w:fill="C5ADCB"/>
            <w:vAlign w:val="center"/>
            <w:hideMark/>
          </w:tcPr>
          <w:p w14:paraId="6AF53DC2"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2. Implantar 100% da gestão de riscos a partir dos principais riscos identificados até dezembro de 2021</w:t>
            </w:r>
          </w:p>
        </w:tc>
        <w:tc>
          <w:tcPr>
            <w:tcW w:w="2977" w:type="dxa"/>
            <w:tcBorders>
              <w:top w:val="nil"/>
              <w:left w:val="nil"/>
              <w:bottom w:val="single" w:sz="4" w:space="0" w:color="auto"/>
              <w:right w:val="single" w:sz="4" w:space="0" w:color="auto"/>
            </w:tcBorders>
            <w:shd w:val="clear" w:color="000000" w:fill="C5ADCB"/>
            <w:vAlign w:val="center"/>
            <w:hideMark/>
          </w:tcPr>
          <w:p w14:paraId="5D4F353C"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Nº de planos de ação implementados / Nº controles existentes e plano de ação identificados</w:t>
            </w:r>
          </w:p>
        </w:tc>
        <w:tc>
          <w:tcPr>
            <w:tcW w:w="2794" w:type="dxa"/>
            <w:tcBorders>
              <w:top w:val="nil"/>
              <w:left w:val="nil"/>
              <w:bottom w:val="single" w:sz="4" w:space="0" w:color="auto"/>
              <w:right w:val="single" w:sz="8" w:space="0" w:color="auto"/>
            </w:tcBorders>
            <w:shd w:val="clear" w:color="auto" w:fill="auto"/>
            <w:vAlign w:val="center"/>
            <w:hideMark/>
          </w:tcPr>
          <w:p w14:paraId="42BA1F14" w14:textId="77777777" w:rsidR="00B0675E" w:rsidRPr="00B0675E" w:rsidRDefault="00B0675E" w:rsidP="00B0675E">
            <w:pPr>
              <w:widowControl/>
              <w:autoSpaceDE/>
              <w:autoSpaceDN/>
              <w:rPr>
                <w:rFonts w:eastAsia="Times New Roman"/>
                <w:color w:val="000000"/>
                <w:sz w:val="18"/>
                <w:szCs w:val="18"/>
                <w:lang w:eastAsia="pt-BR" w:bidi="ar-SA"/>
              </w:rPr>
            </w:pPr>
            <w:r w:rsidRPr="00B0675E">
              <w:rPr>
                <w:rFonts w:eastAsia="Times New Roman"/>
                <w:color w:val="000000"/>
                <w:sz w:val="18"/>
                <w:szCs w:val="18"/>
                <w:lang w:eastAsia="pt-BR" w:bidi="ar-SA"/>
              </w:rPr>
              <w:t>Paralisação da meta devido a alteração da metodologia de gestão de riscos e reinício do processo de gerenciamento de riscos na Valec, conforme deliberação da 391º Reunião do CONSAD. A meta será monitorada a partir do 1º trimestre de 2022 com alteração de texto para “Implantar 100% da gestão de riscos a partir dos principais riscos identificados até março de 2022”</w:t>
            </w:r>
          </w:p>
        </w:tc>
      </w:tr>
      <w:tr w:rsidR="00B0675E" w:rsidRPr="00B0675E" w14:paraId="70F7BDA6" w14:textId="77777777" w:rsidTr="00D43DEB">
        <w:trPr>
          <w:trHeight w:val="1440"/>
        </w:trPr>
        <w:tc>
          <w:tcPr>
            <w:tcW w:w="1833" w:type="dxa"/>
            <w:vMerge/>
            <w:tcBorders>
              <w:top w:val="nil"/>
              <w:left w:val="single" w:sz="8" w:space="0" w:color="auto"/>
              <w:bottom w:val="single" w:sz="8" w:space="0" w:color="000000"/>
              <w:right w:val="single" w:sz="4" w:space="0" w:color="auto"/>
            </w:tcBorders>
            <w:vAlign w:val="center"/>
            <w:hideMark/>
          </w:tcPr>
          <w:p w14:paraId="3A66CE74" w14:textId="77777777" w:rsidR="00B0675E" w:rsidRPr="00B0675E" w:rsidRDefault="00B0675E" w:rsidP="00B0675E">
            <w:pPr>
              <w:widowControl/>
              <w:autoSpaceDE/>
              <w:autoSpaceDN/>
              <w:rPr>
                <w:rFonts w:eastAsia="Times New Roman"/>
                <w:color w:val="000000"/>
                <w:sz w:val="20"/>
                <w:szCs w:val="20"/>
                <w:lang w:eastAsia="pt-BR" w:bidi="ar-SA"/>
              </w:rPr>
            </w:pPr>
          </w:p>
        </w:tc>
        <w:tc>
          <w:tcPr>
            <w:tcW w:w="2835" w:type="dxa"/>
            <w:tcBorders>
              <w:top w:val="nil"/>
              <w:left w:val="nil"/>
              <w:bottom w:val="single" w:sz="4" w:space="0" w:color="auto"/>
              <w:right w:val="single" w:sz="4" w:space="0" w:color="auto"/>
            </w:tcBorders>
            <w:shd w:val="clear" w:color="000000" w:fill="C5ADCB"/>
            <w:vAlign w:val="center"/>
            <w:hideMark/>
          </w:tcPr>
          <w:p w14:paraId="150B004D"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3. Tornar público as informações sobre metas, indicadores, projetos e riscos estratégicos até julho de 2021</w:t>
            </w:r>
          </w:p>
        </w:tc>
        <w:tc>
          <w:tcPr>
            <w:tcW w:w="2977" w:type="dxa"/>
            <w:tcBorders>
              <w:top w:val="nil"/>
              <w:left w:val="nil"/>
              <w:bottom w:val="single" w:sz="4" w:space="0" w:color="auto"/>
              <w:right w:val="single" w:sz="4" w:space="0" w:color="auto"/>
            </w:tcBorders>
            <w:shd w:val="clear" w:color="000000" w:fill="C5ADCB"/>
            <w:vAlign w:val="center"/>
            <w:hideMark/>
          </w:tcPr>
          <w:p w14:paraId="62173A60"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 de Metas e Indicadores disponibilizados) + (% de Iniciativas disponibilizadas) + (% de Riscos disponibilizados) / 3</w:t>
            </w:r>
          </w:p>
        </w:tc>
        <w:tc>
          <w:tcPr>
            <w:tcW w:w="2794" w:type="dxa"/>
            <w:tcBorders>
              <w:top w:val="nil"/>
              <w:left w:val="nil"/>
              <w:bottom w:val="single" w:sz="4" w:space="0" w:color="auto"/>
              <w:right w:val="single" w:sz="8" w:space="0" w:color="auto"/>
            </w:tcBorders>
            <w:shd w:val="clear" w:color="auto" w:fill="auto"/>
            <w:vAlign w:val="center"/>
            <w:hideMark/>
          </w:tcPr>
          <w:p w14:paraId="30275BC1" w14:textId="77777777" w:rsidR="00B0675E" w:rsidRPr="00B0675E" w:rsidRDefault="00B0675E" w:rsidP="00B0675E">
            <w:pPr>
              <w:widowControl/>
              <w:autoSpaceDE/>
              <w:autoSpaceDN/>
              <w:rPr>
                <w:rFonts w:eastAsia="Times New Roman"/>
                <w:color w:val="000000"/>
                <w:sz w:val="18"/>
                <w:szCs w:val="18"/>
                <w:lang w:eastAsia="pt-BR" w:bidi="ar-SA"/>
              </w:rPr>
            </w:pPr>
            <w:r w:rsidRPr="00B0675E">
              <w:rPr>
                <w:rFonts w:eastAsia="Times New Roman"/>
                <w:color w:val="000000"/>
                <w:sz w:val="18"/>
                <w:szCs w:val="18"/>
                <w:lang w:eastAsia="pt-BR" w:bidi="ar-SA"/>
              </w:rPr>
              <w:t>A meta não estava clara sobre o objetivo de transparência dessa divulgação, se era para público interno ou externo. Por isso, optou-se por uma meta que refletisse a transparência, considerando boas práticas, como o Grau de Transparência Ativa da CGU. Meta substituída pela nova meta 3.3.4</w:t>
            </w:r>
          </w:p>
        </w:tc>
      </w:tr>
      <w:tr w:rsidR="00B0675E" w:rsidRPr="00B0675E" w14:paraId="225EBD16" w14:textId="77777777" w:rsidTr="00D43DEB">
        <w:trPr>
          <w:trHeight w:val="780"/>
        </w:trPr>
        <w:tc>
          <w:tcPr>
            <w:tcW w:w="1833" w:type="dxa"/>
            <w:vMerge/>
            <w:tcBorders>
              <w:top w:val="nil"/>
              <w:left w:val="single" w:sz="8" w:space="0" w:color="auto"/>
              <w:bottom w:val="single" w:sz="8" w:space="0" w:color="000000"/>
              <w:right w:val="single" w:sz="4" w:space="0" w:color="auto"/>
            </w:tcBorders>
            <w:vAlign w:val="center"/>
            <w:hideMark/>
          </w:tcPr>
          <w:p w14:paraId="6B336E88" w14:textId="77777777" w:rsidR="00B0675E" w:rsidRPr="00B0675E" w:rsidRDefault="00B0675E" w:rsidP="00B0675E">
            <w:pPr>
              <w:widowControl/>
              <w:autoSpaceDE/>
              <w:autoSpaceDN/>
              <w:rPr>
                <w:rFonts w:eastAsia="Times New Roman"/>
                <w:color w:val="000000"/>
                <w:sz w:val="20"/>
                <w:szCs w:val="20"/>
                <w:lang w:eastAsia="pt-BR" w:bidi="ar-SA"/>
              </w:rPr>
            </w:pPr>
          </w:p>
        </w:tc>
        <w:tc>
          <w:tcPr>
            <w:tcW w:w="2835" w:type="dxa"/>
            <w:tcBorders>
              <w:top w:val="nil"/>
              <w:left w:val="nil"/>
              <w:bottom w:val="single" w:sz="8" w:space="0" w:color="auto"/>
              <w:right w:val="single" w:sz="4" w:space="0" w:color="auto"/>
            </w:tcBorders>
            <w:shd w:val="clear" w:color="000000" w:fill="92D050"/>
            <w:vAlign w:val="center"/>
            <w:hideMark/>
          </w:tcPr>
          <w:p w14:paraId="2F244088"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4. Alcançar 100% de transparência ativa conforme as dimensões do Grau de Transparência Ativa (GTA)</w:t>
            </w:r>
          </w:p>
        </w:tc>
        <w:tc>
          <w:tcPr>
            <w:tcW w:w="2977" w:type="dxa"/>
            <w:tcBorders>
              <w:top w:val="nil"/>
              <w:left w:val="nil"/>
              <w:bottom w:val="single" w:sz="8" w:space="0" w:color="auto"/>
              <w:right w:val="single" w:sz="4" w:space="0" w:color="auto"/>
            </w:tcBorders>
            <w:shd w:val="clear" w:color="000000" w:fill="92D050"/>
            <w:vAlign w:val="center"/>
            <w:hideMark/>
          </w:tcPr>
          <w:p w14:paraId="1CCC7541"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Dimensões do GTA atendidas / Total de dimensões do GTA</w:t>
            </w:r>
          </w:p>
        </w:tc>
        <w:tc>
          <w:tcPr>
            <w:tcW w:w="2794" w:type="dxa"/>
            <w:tcBorders>
              <w:top w:val="nil"/>
              <w:left w:val="nil"/>
              <w:bottom w:val="single" w:sz="8" w:space="0" w:color="auto"/>
              <w:right w:val="single" w:sz="8" w:space="0" w:color="auto"/>
            </w:tcBorders>
            <w:shd w:val="clear" w:color="auto" w:fill="auto"/>
            <w:vAlign w:val="center"/>
            <w:hideMark/>
          </w:tcPr>
          <w:p w14:paraId="6ABAFBE7" w14:textId="77777777" w:rsidR="00B0675E" w:rsidRPr="00B0675E" w:rsidRDefault="00B0675E" w:rsidP="00B0675E">
            <w:pPr>
              <w:widowControl/>
              <w:autoSpaceDE/>
              <w:autoSpaceDN/>
              <w:rPr>
                <w:rFonts w:eastAsia="Times New Roman"/>
                <w:color w:val="000000"/>
                <w:sz w:val="18"/>
                <w:szCs w:val="18"/>
                <w:lang w:eastAsia="pt-BR" w:bidi="ar-SA"/>
              </w:rPr>
            </w:pPr>
            <w:r w:rsidRPr="00B0675E">
              <w:rPr>
                <w:rFonts w:eastAsia="Times New Roman"/>
                <w:color w:val="000000"/>
                <w:sz w:val="18"/>
                <w:szCs w:val="18"/>
                <w:lang w:eastAsia="pt-BR" w:bidi="ar-SA"/>
              </w:rPr>
              <w:t> </w:t>
            </w:r>
          </w:p>
        </w:tc>
      </w:tr>
      <w:tr w:rsidR="00B0675E" w:rsidRPr="00B0675E" w14:paraId="1258B0BB" w14:textId="77777777" w:rsidTr="00D43DEB">
        <w:trPr>
          <w:trHeight w:val="1200"/>
        </w:trPr>
        <w:tc>
          <w:tcPr>
            <w:tcW w:w="1833" w:type="dxa"/>
            <w:vMerge w:val="restart"/>
            <w:tcBorders>
              <w:top w:val="nil"/>
              <w:left w:val="single" w:sz="8" w:space="0" w:color="auto"/>
              <w:bottom w:val="single" w:sz="8" w:space="0" w:color="000000"/>
              <w:right w:val="single" w:sz="4" w:space="0" w:color="auto"/>
            </w:tcBorders>
            <w:shd w:val="clear" w:color="auto" w:fill="auto"/>
            <w:vAlign w:val="center"/>
            <w:hideMark/>
          </w:tcPr>
          <w:p w14:paraId="2788CB9C" w14:textId="77777777" w:rsidR="00B0675E" w:rsidRPr="00B0675E" w:rsidRDefault="00B0675E" w:rsidP="00B0675E">
            <w:pPr>
              <w:widowControl/>
              <w:autoSpaceDE/>
              <w:autoSpaceDN/>
              <w:jc w:val="center"/>
              <w:rPr>
                <w:rFonts w:eastAsia="Times New Roman"/>
                <w:color w:val="000000"/>
                <w:sz w:val="20"/>
                <w:szCs w:val="20"/>
                <w:lang w:eastAsia="pt-BR" w:bidi="ar-SA"/>
              </w:rPr>
            </w:pPr>
            <w:r w:rsidRPr="00B0675E">
              <w:rPr>
                <w:rFonts w:eastAsia="Times New Roman"/>
                <w:color w:val="000000"/>
                <w:sz w:val="20"/>
                <w:szCs w:val="20"/>
                <w:lang w:eastAsia="pt-BR" w:bidi="ar-SA"/>
              </w:rPr>
              <w:t xml:space="preserve">Objetivo 3.4 - Fortalecer a integridade, confiabilidade, transparência e promover ações de melhoria de gestão </w:t>
            </w:r>
            <w:r w:rsidRPr="00B0675E">
              <w:rPr>
                <w:rFonts w:eastAsia="Times New Roman"/>
                <w:color w:val="000000"/>
                <w:sz w:val="20"/>
                <w:szCs w:val="20"/>
                <w:lang w:eastAsia="pt-BR" w:bidi="ar-SA"/>
              </w:rPr>
              <w:lastRenderedPageBreak/>
              <w:t>de riscos e de controles internos</w:t>
            </w:r>
          </w:p>
        </w:tc>
        <w:tc>
          <w:tcPr>
            <w:tcW w:w="2835" w:type="dxa"/>
            <w:tcBorders>
              <w:top w:val="nil"/>
              <w:left w:val="nil"/>
              <w:bottom w:val="single" w:sz="4" w:space="0" w:color="auto"/>
              <w:right w:val="single" w:sz="4" w:space="0" w:color="auto"/>
            </w:tcBorders>
            <w:shd w:val="clear" w:color="auto" w:fill="auto"/>
            <w:vAlign w:val="center"/>
            <w:hideMark/>
          </w:tcPr>
          <w:p w14:paraId="45F7F89D"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lastRenderedPageBreak/>
              <w:t>1. Eliminar 100% do passivo atual (junho/20) de pendências com órgãos de controle até dez/2021</w:t>
            </w:r>
          </w:p>
        </w:tc>
        <w:tc>
          <w:tcPr>
            <w:tcW w:w="2977" w:type="dxa"/>
            <w:tcBorders>
              <w:top w:val="nil"/>
              <w:left w:val="nil"/>
              <w:bottom w:val="single" w:sz="4" w:space="0" w:color="auto"/>
              <w:right w:val="single" w:sz="4" w:space="0" w:color="auto"/>
            </w:tcBorders>
            <w:shd w:val="clear" w:color="auto" w:fill="auto"/>
            <w:vAlign w:val="center"/>
            <w:hideMark/>
          </w:tcPr>
          <w:p w14:paraId="550969D0"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 xml:space="preserve"> (Ações unitárias executadas x 2) + (Conclusão de todas ações previstas para um apontamento/ atendimento/entregas x 8) + (Rejeições ocorridas x -8)</w:t>
            </w:r>
          </w:p>
        </w:tc>
        <w:tc>
          <w:tcPr>
            <w:tcW w:w="2794" w:type="dxa"/>
            <w:tcBorders>
              <w:top w:val="nil"/>
              <w:left w:val="nil"/>
              <w:bottom w:val="single" w:sz="4" w:space="0" w:color="auto"/>
              <w:right w:val="single" w:sz="8" w:space="0" w:color="auto"/>
            </w:tcBorders>
            <w:shd w:val="clear" w:color="auto" w:fill="auto"/>
            <w:vAlign w:val="center"/>
            <w:hideMark/>
          </w:tcPr>
          <w:p w14:paraId="652D350A" w14:textId="77777777" w:rsidR="00B0675E" w:rsidRPr="00B0675E" w:rsidRDefault="00B0675E" w:rsidP="00B0675E">
            <w:pPr>
              <w:widowControl/>
              <w:autoSpaceDE/>
              <w:autoSpaceDN/>
              <w:rPr>
                <w:rFonts w:eastAsia="Times New Roman"/>
                <w:color w:val="000000"/>
                <w:sz w:val="18"/>
                <w:szCs w:val="18"/>
                <w:lang w:eastAsia="pt-BR" w:bidi="ar-SA"/>
              </w:rPr>
            </w:pPr>
            <w:r w:rsidRPr="00B0675E">
              <w:rPr>
                <w:rFonts w:eastAsia="Times New Roman"/>
                <w:color w:val="000000"/>
                <w:sz w:val="18"/>
                <w:szCs w:val="18"/>
                <w:lang w:eastAsia="pt-BR" w:bidi="ar-SA"/>
              </w:rPr>
              <w:t> </w:t>
            </w:r>
          </w:p>
        </w:tc>
      </w:tr>
      <w:tr w:rsidR="00B0675E" w:rsidRPr="00B0675E" w14:paraId="7D424604" w14:textId="77777777" w:rsidTr="00D43DEB">
        <w:trPr>
          <w:trHeight w:val="510"/>
        </w:trPr>
        <w:tc>
          <w:tcPr>
            <w:tcW w:w="1833" w:type="dxa"/>
            <w:vMerge/>
            <w:tcBorders>
              <w:top w:val="nil"/>
              <w:left w:val="single" w:sz="8" w:space="0" w:color="auto"/>
              <w:bottom w:val="single" w:sz="8" w:space="0" w:color="000000"/>
              <w:right w:val="single" w:sz="4" w:space="0" w:color="auto"/>
            </w:tcBorders>
            <w:vAlign w:val="center"/>
            <w:hideMark/>
          </w:tcPr>
          <w:p w14:paraId="6F809F37" w14:textId="77777777" w:rsidR="00B0675E" w:rsidRPr="00B0675E" w:rsidRDefault="00B0675E" w:rsidP="00B0675E">
            <w:pPr>
              <w:widowControl/>
              <w:autoSpaceDE/>
              <w:autoSpaceDN/>
              <w:rPr>
                <w:rFonts w:eastAsia="Times New Roman"/>
                <w:color w:val="000000"/>
                <w:sz w:val="20"/>
                <w:szCs w:val="20"/>
                <w:lang w:eastAsia="pt-BR" w:bidi="ar-SA"/>
              </w:rPr>
            </w:pPr>
          </w:p>
        </w:tc>
        <w:tc>
          <w:tcPr>
            <w:tcW w:w="2835" w:type="dxa"/>
            <w:tcBorders>
              <w:top w:val="nil"/>
              <w:left w:val="nil"/>
              <w:bottom w:val="single" w:sz="4" w:space="0" w:color="auto"/>
              <w:right w:val="single" w:sz="4" w:space="0" w:color="auto"/>
            </w:tcBorders>
            <w:shd w:val="clear" w:color="auto" w:fill="auto"/>
            <w:vAlign w:val="center"/>
            <w:hideMark/>
          </w:tcPr>
          <w:p w14:paraId="34690468"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2. Manter o selo de excelência do indicador IG-SEST</w:t>
            </w:r>
          </w:p>
        </w:tc>
        <w:tc>
          <w:tcPr>
            <w:tcW w:w="2977" w:type="dxa"/>
            <w:tcBorders>
              <w:top w:val="nil"/>
              <w:left w:val="nil"/>
              <w:bottom w:val="single" w:sz="4" w:space="0" w:color="auto"/>
              <w:right w:val="single" w:sz="4" w:space="0" w:color="auto"/>
            </w:tcBorders>
            <w:shd w:val="clear" w:color="auto" w:fill="auto"/>
            <w:vAlign w:val="center"/>
            <w:hideMark/>
          </w:tcPr>
          <w:p w14:paraId="3BDAD456"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Valor do indicador IG-SEST</w:t>
            </w:r>
          </w:p>
        </w:tc>
        <w:tc>
          <w:tcPr>
            <w:tcW w:w="2794" w:type="dxa"/>
            <w:tcBorders>
              <w:top w:val="nil"/>
              <w:left w:val="nil"/>
              <w:bottom w:val="single" w:sz="4" w:space="0" w:color="auto"/>
              <w:right w:val="single" w:sz="8" w:space="0" w:color="auto"/>
            </w:tcBorders>
            <w:shd w:val="clear" w:color="auto" w:fill="auto"/>
            <w:vAlign w:val="center"/>
            <w:hideMark/>
          </w:tcPr>
          <w:p w14:paraId="5510B6D1" w14:textId="77777777" w:rsidR="00B0675E" w:rsidRPr="00B0675E" w:rsidRDefault="00B0675E" w:rsidP="00B0675E">
            <w:pPr>
              <w:widowControl/>
              <w:autoSpaceDE/>
              <w:autoSpaceDN/>
              <w:rPr>
                <w:rFonts w:eastAsia="Times New Roman"/>
                <w:color w:val="000000"/>
                <w:sz w:val="18"/>
                <w:szCs w:val="18"/>
                <w:lang w:eastAsia="pt-BR" w:bidi="ar-SA"/>
              </w:rPr>
            </w:pPr>
            <w:r w:rsidRPr="00B0675E">
              <w:rPr>
                <w:rFonts w:eastAsia="Times New Roman"/>
                <w:color w:val="000000"/>
                <w:sz w:val="18"/>
                <w:szCs w:val="18"/>
                <w:lang w:eastAsia="pt-BR" w:bidi="ar-SA"/>
              </w:rPr>
              <w:t> </w:t>
            </w:r>
          </w:p>
        </w:tc>
      </w:tr>
      <w:tr w:rsidR="00B0675E" w:rsidRPr="00B0675E" w14:paraId="336E67E6" w14:textId="77777777" w:rsidTr="00D43DEB">
        <w:trPr>
          <w:trHeight w:val="1275"/>
        </w:trPr>
        <w:tc>
          <w:tcPr>
            <w:tcW w:w="1833" w:type="dxa"/>
            <w:vMerge/>
            <w:tcBorders>
              <w:top w:val="nil"/>
              <w:left w:val="single" w:sz="8" w:space="0" w:color="auto"/>
              <w:bottom w:val="single" w:sz="8" w:space="0" w:color="000000"/>
              <w:right w:val="single" w:sz="4" w:space="0" w:color="auto"/>
            </w:tcBorders>
            <w:vAlign w:val="center"/>
            <w:hideMark/>
          </w:tcPr>
          <w:p w14:paraId="7284FC57" w14:textId="77777777" w:rsidR="00B0675E" w:rsidRPr="00B0675E" w:rsidRDefault="00B0675E" w:rsidP="00B0675E">
            <w:pPr>
              <w:widowControl/>
              <w:autoSpaceDE/>
              <w:autoSpaceDN/>
              <w:rPr>
                <w:rFonts w:eastAsia="Times New Roman"/>
                <w:color w:val="000000"/>
                <w:sz w:val="20"/>
                <w:szCs w:val="20"/>
                <w:lang w:eastAsia="pt-BR" w:bidi="ar-SA"/>
              </w:rPr>
            </w:pPr>
          </w:p>
        </w:tc>
        <w:tc>
          <w:tcPr>
            <w:tcW w:w="2835" w:type="dxa"/>
            <w:tcBorders>
              <w:top w:val="nil"/>
              <w:left w:val="nil"/>
              <w:bottom w:val="single" w:sz="4" w:space="0" w:color="auto"/>
              <w:right w:val="single" w:sz="4" w:space="0" w:color="auto"/>
            </w:tcBorders>
            <w:shd w:val="clear" w:color="000000" w:fill="C5ADCB"/>
            <w:vAlign w:val="center"/>
            <w:hideMark/>
          </w:tcPr>
          <w:p w14:paraId="72D17D3B"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 xml:space="preserve">3. Ter no máximo duas dimensões com fragilidade intermediária e quatro dimensões com fragilidade baixa no Índice de Fragilidade de Controles até dez 2021 (mediante autoavaliação) </w:t>
            </w:r>
          </w:p>
        </w:tc>
        <w:tc>
          <w:tcPr>
            <w:tcW w:w="2977" w:type="dxa"/>
            <w:tcBorders>
              <w:top w:val="nil"/>
              <w:left w:val="nil"/>
              <w:bottom w:val="single" w:sz="4" w:space="0" w:color="auto"/>
              <w:right w:val="single" w:sz="4" w:space="0" w:color="auto"/>
            </w:tcBorders>
            <w:shd w:val="clear" w:color="000000" w:fill="C5ADCB"/>
            <w:vAlign w:val="center"/>
            <w:hideMark/>
          </w:tcPr>
          <w:p w14:paraId="69BE225D"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Dimensões do Índice de Fragilidade de Controles</w:t>
            </w:r>
          </w:p>
        </w:tc>
        <w:tc>
          <w:tcPr>
            <w:tcW w:w="2794" w:type="dxa"/>
            <w:tcBorders>
              <w:top w:val="nil"/>
              <w:left w:val="nil"/>
              <w:bottom w:val="single" w:sz="4" w:space="0" w:color="auto"/>
              <w:right w:val="single" w:sz="8" w:space="0" w:color="auto"/>
            </w:tcBorders>
            <w:shd w:val="clear" w:color="auto" w:fill="auto"/>
            <w:vAlign w:val="center"/>
            <w:hideMark/>
          </w:tcPr>
          <w:p w14:paraId="3E393336" w14:textId="77777777" w:rsidR="00B0675E" w:rsidRPr="00B0675E" w:rsidRDefault="00B0675E" w:rsidP="00B0675E">
            <w:pPr>
              <w:widowControl/>
              <w:autoSpaceDE/>
              <w:autoSpaceDN/>
              <w:rPr>
                <w:rFonts w:eastAsia="Times New Roman"/>
                <w:color w:val="000000"/>
                <w:sz w:val="18"/>
                <w:szCs w:val="18"/>
                <w:lang w:eastAsia="pt-BR" w:bidi="ar-SA"/>
              </w:rPr>
            </w:pPr>
            <w:r w:rsidRPr="00B0675E">
              <w:rPr>
                <w:rFonts w:eastAsia="Times New Roman"/>
                <w:color w:val="000000"/>
                <w:sz w:val="18"/>
                <w:szCs w:val="18"/>
                <w:lang w:eastAsia="pt-BR" w:bidi="ar-SA"/>
              </w:rPr>
              <w:t>A meta 3.4.3 foi interrompida pelo Tribunal de Contas da União</w:t>
            </w:r>
          </w:p>
        </w:tc>
      </w:tr>
      <w:tr w:rsidR="00B0675E" w:rsidRPr="00B0675E" w14:paraId="2F55A300" w14:textId="77777777" w:rsidTr="00D43DEB">
        <w:trPr>
          <w:trHeight w:val="810"/>
        </w:trPr>
        <w:tc>
          <w:tcPr>
            <w:tcW w:w="1833" w:type="dxa"/>
            <w:vMerge/>
            <w:tcBorders>
              <w:top w:val="nil"/>
              <w:left w:val="single" w:sz="8" w:space="0" w:color="auto"/>
              <w:bottom w:val="single" w:sz="8" w:space="0" w:color="000000"/>
              <w:right w:val="single" w:sz="4" w:space="0" w:color="auto"/>
            </w:tcBorders>
            <w:vAlign w:val="center"/>
            <w:hideMark/>
          </w:tcPr>
          <w:p w14:paraId="2D94AEC2" w14:textId="77777777" w:rsidR="00B0675E" w:rsidRPr="00B0675E" w:rsidRDefault="00B0675E" w:rsidP="00B0675E">
            <w:pPr>
              <w:widowControl/>
              <w:autoSpaceDE/>
              <w:autoSpaceDN/>
              <w:rPr>
                <w:rFonts w:eastAsia="Times New Roman"/>
                <w:color w:val="000000"/>
                <w:sz w:val="20"/>
                <w:szCs w:val="20"/>
                <w:lang w:eastAsia="pt-BR" w:bidi="ar-SA"/>
              </w:rPr>
            </w:pPr>
          </w:p>
        </w:tc>
        <w:tc>
          <w:tcPr>
            <w:tcW w:w="2835" w:type="dxa"/>
            <w:tcBorders>
              <w:top w:val="nil"/>
              <w:left w:val="nil"/>
              <w:bottom w:val="single" w:sz="4" w:space="0" w:color="auto"/>
              <w:right w:val="single" w:sz="4" w:space="0" w:color="auto"/>
            </w:tcBorders>
            <w:shd w:val="clear" w:color="auto" w:fill="auto"/>
            <w:vAlign w:val="center"/>
            <w:hideMark/>
          </w:tcPr>
          <w:p w14:paraId="3C0117E7"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4. Ter 70% dos itens do IGG-TCU avaliados como atendidos</w:t>
            </w:r>
          </w:p>
        </w:tc>
        <w:tc>
          <w:tcPr>
            <w:tcW w:w="2977" w:type="dxa"/>
            <w:tcBorders>
              <w:top w:val="nil"/>
              <w:left w:val="nil"/>
              <w:bottom w:val="single" w:sz="4" w:space="0" w:color="auto"/>
              <w:right w:val="single" w:sz="4" w:space="0" w:color="auto"/>
            </w:tcBorders>
            <w:shd w:val="clear" w:color="auto" w:fill="auto"/>
            <w:vAlign w:val="center"/>
            <w:hideMark/>
          </w:tcPr>
          <w:p w14:paraId="10FEC114"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Quantidade de itens dados como atendidos / Total de itens no questionário</w:t>
            </w:r>
          </w:p>
        </w:tc>
        <w:tc>
          <w:tcPr>
            <w:tcW w:w="2794" w:type="dxa"/>
            <w:tcBorders>
              <w:top w:val="nil"/>
              <w:left w:val="nil"/>
              <w:bottom w:val="single" w:sz="4" w:space="0" w:color="auto"/>
              <w:right w:val="single" w:sz="8" w:space="0" w:color="auto"/>
            </w:tcBorders>
            <w:shd w:val="clear" w:color="auto" w:fill="auto"/>
            <w:vAlign w:val="center"/>
            <w:hideMark/>
          </w:tcPr>
          <w:p w14:paraId="1841CCAC" w14:textId="77777777" w:rsidR="00B0675E" w:rsidRPr="00B0675E" w:rsidRDefault="00B0675E" w:rsidP="00B0675E">
            <w:pPr>
              <w:widowControl/>
              <w:autoSpaceDE/>
              <w:autoSpaceDN/>
              <w:rPr>
                <w:rFonts w:eastAsia="Times New Roman"/>
                <w:color w:val="000000"/>
                <w:sz w:val="18"/>
                <w:szCs w:val="18"/>
                <w:lang w:eastAsia="pt-BR" w:bidi="ar-SA"/>
              </w:rPr>
            </w:pPr>
            <w:r w:rsidRPr="00B0675E">
              <w:rPr>
                <w:rFonts w:eastAsia="Times New Roman"/>
                <w:color w:val="000000"/>
                <w:sz w:val="18"/>
                <w:szCs w:val="18"/>
                <w:lang w:eastAsia="pt-BR" w:bidi="ar-SA"/>
              </w:rPr>
              <w:t> </w:t>
            </w:r>
          </w:p>
        </w:tc>
      </w:tr>
      <w:tr w:rsidR="00B0675E" w:rsidRPr="00B0675E" w14:paraId="226DEB8B" w14:textId="77777777" w:rsidTr="00D43DEB">
        <w:trPr>
          <w:trHeight w:val="525"/>
        </w:trPr>
        <w:tc>
          <w:tcPr>
            <w:tcW w:w="1833" w:type="dxa"/>
            <w:vMerge/>
            <w:tcBorders>
              <w:top w:val="nil"/>
              <w:left w:val="single" w:sz="8" w:space="0" w:color="auto"/>
              <w:bottom w:val="single" w:sz="8" w:space="0" w:color="000000"/>
              <w:right w:val="single" w:sz="4" w:space="0" w:color="auto"/>
            </w:tcBorders>
            <w:vAlign w:val="center"/>
            <w:hideMark/>
          </w:tcPr>
          <w:p w14:paraId="035AF98A" w14:textId="77777777" w:rsidR="00B0675E" w:rsidRPr="00B0675E" w:rsidRDefault="00B0675E" w:rsidP="00B0675E">
            <w:pPr>
              <w:widowControl/>
              <w:autoSpaceDE/>
              <w:autoSpaceDN/>
              <w:rPr>
                <w:rFonts w:eastAsia="Times New Roman"/>
                <w:color w:val="000000"/>
                <w:sz w:val="20"/>
                <w:szCs w:val="20"/>
                <w:lang w:eastAsia="pt-BR" w:bidi="ar-SA"/>
              </w:rPr>
            </w:pPr>
          </w:p>
        </w:tc>
        <w:tc>
          <w:tcPr>
            <w:tcW w:w="2835" w:type="dxa"/>
            <w:tcBorders>
              <w:top w:val="nil"/>
              <w:left w:val="nil"/>
              <w:bottom w:val="single" w:sz="8" w:space="0" w:color="auto"/>
              <w:right w:val="single" w:sz="4" w:space="0" w:color="auto"/>
            </w:tcBorders>
            <w:shd w:val="clear" w:color="auto" w:fill="auto"/>
            <w:vAlign w:val="center"/>
            <w:hideMark/>
          </w:tcPr>
          <w:p w14:paraId="5423E1FF"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5. Atender 100% da Resolução 4/2020 da DIREX até dezembro de 2021</w:t>
            </w:r>
          </w:p>
        </w:tc>
        <w:tc>
          <w:tcPr>
            <w:tcW w:w="2977" w:type="dxa"/>
            <w:tcBorders>
              <w:top w:val="nil"/>
              <w:left w:val="nil"/>
              <w:bottom w:val="single" w:sz="8" w:space="0" w:color="auto"/>
              <w:right w:val="single" w:sz="4" w:space="0" w:color="auto"/>
            </w:tcBorders>
            <w:shd w:val="clear" w:color="auto" w:fill="auto"/>
            <w:vAlign w:val="center"/>
            <w:hideMark/>
          </w:tcPr>
          <w:p w14:paraId="7FA1DCAF" w14:textId="77777777" w:rsidR="00B0675E" w:rsidRPr="00B0675E" w:rsidRDefault="00B0675E" w:rsidP="00B0675E">
            <w:pPr>
              <w:widowControl/>
              <w:autoSpaceDE/>
              <w:autoSpaceDN/>
              <w:rPr>
                <w:rFonts w:eastAsia="Times New Roman"/>
                <w:color w:val="000000"/>
                <w:sz w:val="20"/>
                <w:szCs w:val="20"/>
                <w:lang w:eastAsia="pt-BR" w:bidi="ar-SA"/>
              </w:rPr>
            </w:pPr>
            <w:r w:rsidRPr="00B0675E">
              <w:rPr>
                <w:rFonts w:eastAsia="Times New Roman"/>
                <w:color w:val="000000"/>
                <w:sz w:val="20"/>
                <w:szCs w:val="20"/>
                <w:lang w:eastAsia="pt-BR" w:bidi="ar-SA"/>
              </w:rPr>
              <w:t>Nº de Editais Publicados / Nº Total de Editais Propostos na Resolução</w:t>
            </w:r>
          </w:p>
        </w:tc>
        <w:tc>
          <w:tcPr>
            <w:tcW w:w="2794" w:type="dxa"/>
            <w:tcBorders>
              <w:top w:val="nil"/>
              <w:left w:val="nil"/>
              <w:bottom w:val="single" w:sz="8" w:space="0" w:color="auto"/>
              <w:right w:val="single" w:sz="8" w:space="0" w:color="auto"/>
            </w:tcBorders>
            <w:shd w:val="clear" w:color="auto" w:fill="auto"/>
            <w:vAlign w:val="center"/>
            <w:hideMark/>
          </w:tcPr>
          <w:p w14:paraId="7F9C18BC" w14:textId="77777777" w:rsidR="00B0675E" w:rsidRPr="00B0675E" w:rsidRDefault="00B0675E" w:rsidP="00B0675E">
            <w:pPr>
              <w:widowControl/>
              <w:autoSpaceDE/>
              <w:autoSpaceDN/>
              <w:rPr>
                <w:rFonts w:eastAsia="Times New Roman"/>
                <w:color w:val="000000"/>
                <w:sz w:val="18"/>
                <w:szCs w:val="18"/>
                <w:lang w:eastAsia="pt-BR" w:bidi="ar-SA"/>
              </w:rPr>
            </w:pPr>
            <w:r w:rsidRPr="00B0675E">
              <w:rPr>
                <w:rFonts w:eastAsia="Times New Roman"/>
                <w:color w:val="000000"/>
                <w:sz w:val="18"/>
                <w:szCs w:val="18"/>
                <w:lang w:eastAsia="pt-BR" w:bidi="ar-SA"/>
              </w:rPr>
              <w:t> </w:t>
            </w:r>
          </w:p>
        </w:tc>
      </w:tr>
    </w:tbl>
    <w:p w14:paraId="677179AF" w14:textId="77777777" w:rsidR="003A3253" w:rsidRDefault="003A3253">
      <w:pPr>
        <w:widowControl/>
        <w:autoSpaceDE/>
        <w:autoSpaceDN/>
        <w:spacing w:after="160" w:line="259" w:lineRule="auto"/>
        <w:rPr>
          <w:rFonts w:asciiTheme="minorHAnsi" w:hAnsiTheme="minorHAnsi" w:cstheme="minorHAnsi"/>
        </w:rPr>
      </w:pPr>
    </w:p>
    <w:p w14:paraId="5EE9D1EA" w14:textId="07562557" w:rsidR="00346D15" w:rsidRPr="00252D7B" w:rsidRDefault="00346D15">
      <w:pPr>
        <w:widowControl/>
        <w:autoSpaceDE/>
        <w:autoSpaceDN/>
        <w:spacing w:after="160" w:line="259" w:lineRule="auto"/>
        <w:rPr>
          <w:rFonts w:asciiTheme="minorHAnsi" w:hAnsiTheme="minorHAnsi" w:cstheme="minorHAnsi"/>
        </w:rPr>
      </w:pPr>
      <w:r w:rsidRPr="00252D7B">
        <w:rPr>
          <w:rFonts w:asciiTheme="minorHAnsi" w:hAnsiTheme="minorHAnsi" w:cstheme="minorHAnsi"/>
        </w:rPr>
        <w:br w:type="page"/>
      </w:r>
    </w:p>
    <w:p w14:paraId="4B26EB54" w14:textId="77777777" w:rsidR="005E3702" w:rsidRPr="00252D7B" w:rsidRDefault="005E3702" w:rsidP="00F100A9">
      <w:pPr>
        <w:pStyle w:val="Ttulo2"/>
      </w:pPr>
      <w:bookmarkStart w:id="130" w:name="_Toc95830222"/>
      <w:bookmarkStart w:id="131" w:name="_Toc96705922"/>
      <w:bookmarkStart w:id="132" w:name="_Toc103680529"/>
      <w:r w:rsidRPr="00252D7B">
        <w:lastRenderedPageBreak/>
        <w:t>Plano de curto prazo - ano 2021</w:t>
      </w:r>
      <w:bookmarkEnd w:id="130"/>
      <w:bookmarkEnd w:id="131"/>
      <w:bookmarkEnd w:id="132"/>
    </w:p>
    <w:p w14:paraId="2F1ECFE1" w14:textId="6E23824D" w:rsidR="005E3702" w:rsidRPr="0067204D" w:rsidRDefault="005E3702" w:rsidP="00CE49A6">
      <w:pPr>
        <w:spacing w:before="120" w:after="120"/>
        <w:jc w:val="both"/>
        <w:rPr>
          <w:rFonts w:asciiTheme="minorHAnsi" w:hAnsiTheme="minorHAnsi" w:cstheme="minorHAnsi"/>
          <w:sz w:val="28"/>
          <w:szCs w:val="28"/>
        </w:rPr>
      </w:pPr>
      <w:r w:rsidRPr="00252D7B">
        <w:rPr>
          <w:rFonts w:asciiTheme="minorHAnsi" w:hAnsiTheme="minorHAnsi" w:cstheme="minorHAnsi"/>
          <w:sz w:val="24"/>
          <w:szCs w:val="24"/>
        </w:rPr>
        <w:t>O plano de curto prazo da Valec é organizado a partir do Plano de Negócios. Esse Plano mostra quanto a Empresa pretende caminhar em relação ao Planejamento Estratégico Institucional (PEI) 2020-2024. Para isso, metas e iniciativas do Plano de Negócio possuem códigos que fazem referência às metas e às iniciativas do PEI.</w:t>
      </w:r>
      <w:r w:rsidR="00BD7B45" w:rsidRPr="00BC41D3">
        <w:rPr>
          <w:rStyle w:val="Hyperlink"/>
          <w:rFonts w:asciiTheme="minorHAnsi" w:hAnsiTheme="minorHAnsi" w:cstheme="minorHAnsi"/>
          <w:sz w:val="24"/>
          <w:szCs w:val="24"/>
          <w:u w:val="none"/>
        </w:rPr>
        <w:t xml:space="preserve"> </w:t>
      </w:r>
      <w:r w:rsidR="00BD7B45" w:rsidRPr="00BC41D3">
        <w:rPr>
          <w:sz w:val="24"/>
          <w:szCs w:val="24"/>
        </w:rPr>
        <w:t>Os resultados obtidos em relação às metas e iniciativas de 2021 constam no Capítulo 4.1.</w:t>
      </w:r>
    </w:p>
    <w:p w14:paraId="202B08D9" w14:textId="77777777" w:rsidR="00A514F0" w:rsidRPr="00252D7B" w:rsidRDefault="005E3702" w:rsidP="00CE49A6">
      <w:pPr>
        <w:spacing w:before="120"/>
        <w:jc w:val="both"/>
        <w:rPr>
          <w:rFonts w:asciiTheme="minorHAnsi" w:hAnsiTheme="minorHAnsi" w:cstheme="minorHAnsi"/>
          <w:sz w:val="24"/>
          <w:szCs w:val="24"/>
        </w:rPr>
      </w:pPr>
      <w:r w:rsidRPr="00252D7B">
        <w:rPr>
          <w:rFonts w:asciiTheme="minorHAnsi" w:hAnsiTheme="minorHAnsi" w:cstheme="minorHAnsi"/>
          <w:sz w:val="24"/>
          <w:szCs w:val="24"/>
        </w:rPr>
        <w:t>O Plano de Negócio 2021 está disponível em:</w:t>
      </w:r>
    </w:p>
    <w:p w14:paraId="13ED6F90" w14:textId="6FF5C48B" w:rsidR="005E3702" w:rsidRPr="004C6B41" w:rsidRDefault="008A3D44" w:rsidP="004C6B41">
      <w:pPr>
        <w:spacing w:before="120" w:after="120"/>
        <w:jc w:val="both"/>
        <w:rPr>
          <w:rFonts w:asciiTheme="minorHAnsi" w:hAnsiTheme="minorHAnsi" w:cstheme="minorHAnsi"/>
          <w:color w:val="0000FF"/>
          <w:sz w:val="24"/>
          <w:szCs w:val="24"/>
          <w:u w:val="single"/>
        </w:rPr>
      </w:pPr>
      <w:hyperlink r:id="rId57" w:history="1">
        <w:r w:rsidR="005E3702" w:rsidRPr="00252D7B">
          <w:rPr>
            <w:rStyle w:val="Hyperlink"/>
            <w:rFonts w:asciiTheme="minorHAnsi" w:hAnsiTheme="minorHAnsi" w:cstheme="minorHAnsi"/>
            <w:sz w:val="24"/>
            <w:szCs w:val="24"/>
          </w:rPr>
          <w:t>https://www.valec.gov.br/documentos/governanca/Plano_de%20_Negocios_2021_Agosto_2021-v3.3.pdf</w:t>
        </w:r>
      </w:hyperlink>
    </w:p>
    <w:tbl>
      <w:tblPr>
        <w:tblStyle w:val="Tabelacomgrade"/>
        <w:tblW w:w="0" w:type="auto"/>
        <w:jc w:val="center"/>
        <w:tblLook w:val="04A0" w:firstRow="1" w:lastRow="0" w:firstColumn="1" w:lastColumn="0" w:noHBand="0" w:noVBand="1"/>
      </w:tblPr>
      <w:tblGrid>
        <w:gridCol w:w="279"/>
        <w:gridCol w:w="3429"/>
      </w:tblGrid>
      <w:tr w:rsidR="005E3702" w:rsidRPr="00252D7B" w14:paraId="2C892735" w14:textId="77777777" w:rsidTr="004C6B41">
        <w:trPr>
          <w:jc w:val="center"/>
        </w:trPr>
        <w:tc>
          <w:tcPr>
            <w:tcW w:w="279" w:type="dxa"/>
            <w:shd w:val="clear" w:color="auto" w:fill="92D050"/>
          </w:tcPr>
          <w:p w14:paraId="558D3D3D" w14:textId="77777777" w:rsidR="005E3702" w:rsidRPr="00252D7B" w:rsidRDefault="005E3702" w:rsidP="00E03684">
            <w:pPr>
              <w:pStyle w:val="Default"/>
              <w:rPr>
                <w:rFonts w:asciiTheme="minorHAnsi" w:hAnsiTheme="minorHAnsi" w:cstheme="minorHAnsi"/>
                <w:sz w:val="20"/>
                <w:szCs w:val="20"/>
              </w:rPr>
            </w:pPr>
          </w:p>
        </w:tc>
        <w:tc>
          <w:tcPr>
            <w:tcW w:w="3429" w:type="dxa"/>
          </w:tcPr>
          <w:p w14:paraId="26733370" w14:textId="77777777" w:rsidR="005E3702" w:rsidRPr="00252D7B" w:rsidRDefault="005E3702" w:rsidP="00E03684">
            <w:pPr>
              <w:pStyle w:val="Default"/>
              <w:rPr>
                <w:rFonts w:asciiTheme="minorHAnsi" w:hAnsiTheme="minorHAnsi" w:cstheme="minorHAnsi"/>
                <w:sz w:val="20"/>
                <w:szCs w:val="20"/>
              </w:rPr>
            </w:pPr>
            <w:r w:rsidRPr="00252D7B">
              <w:rPr>
                <w:rFonts w:asciiTheme="minorHAnsi" w:hAnsiTheme="minorHAnsi" w:cstheme="minorHAnsi"/>
                <w:sz w:val="20"/>
                <w:szCs w:val="20"/>
              </w:rPr>
              <w:t>Inclusão de novas metas ou iniciativas</w:t>
            </w:r>
          </w:p>
        </w:tc>
      </w:tr>
      <w:tr w:rsidR="005E3702" w:rsidRPr="00252D7B" w14:paraId="0553CCF4" w14:textId="77777777" w:rsidTr="004C6B41">
        <w:trPr>
          <w:jc w:val="center"/>
        </w:trPr>
        <w:tc>
          <w:tcPr>
            <w:tcW w:w="279" w:type="dxa"/>
            <w:shd w:val="clear" w:color="auto" w:fill="FFFF00"/>
          </w:tcPr>
          <w:p w14:paraId="24B1D5BA" w14:textId="77777777" w:rsidR="005E3702" w:rsidRPr="00252D7B" w:rsidRDefault="005E3702" w:rsidP="00E03684">
            <w:pPr>
              <w:pStyle w:val="Default"/>
              <w:rPr>
                <w:rFonts w:asciiTheme="minorHAnsi" w:hAnsiTheme="minorHAnsi" w:cstheme="minorHAnsi"/>
                <w:sz w:val="20"/>
                <w:szCs w:val="20"/>
              </w:rPr>
            </w:pPr>
          </w:p>
        </w:tc>
        <w:tc>
          <w:tcPr>
            <w:tcW w:w="3429" w:type="dxa"/>
          </w:tcPr>
          <w:p w14:paraId="55610042" w14:textId="77777777" w:rsidR="005E3702" w:rsidRPr="00252D7B" w:rsidRDefault="005E3702" w:rsidP="00E03684">
            <w:pPr>
              <w:pStyle w:val="Default"/>
              <w:rPr>
                <w:rFonts w:asciiTheme="minorHAnsi" w:hAnsiTheme="minorHAnsi" w:cstheme="minorHAnsi"/>
                <w:sz w:val="20"/>
                <w:szCs w:val="20"/>
              </w:rPr>
            </w:pPr>
            <w:r w:rsidRPr="00252D7B">
              <w:rPr>
                <w:rFonts w:asciiTheme="minorHAnsi" w:hAnsiTheme="minorHAnsi" w:cstheme="minorHAnsi"/>
                <w:sz w:val="20"/>
                <w:szCs w:val="20"/>
              </w:rPr>
              <w:t>Alteração de metas ou iniciativas</w:t>
            </w:r>
          </w:p>
        </w:tc>
      </w:tr>
      <w:tr w:rsidR="005E3702" w:rsidRPr="00252D7B" w14:paraId="369581B8" w14:textId="77777777" w:rsidTr="004C6B41">
        <w:trPr>
          <w:jc w:val="center"/>
        </w:trPr>
        <w:tc>
          <w:tcPr>
            <w:tcW w:w="279" w:type="dxa"/>
            <w:shd w:val="clear" w:color="auto" w:fill="C5ADCB"/>
          </w:tcPr>
          <w:p w14:paraId="7AEA7278" w14:textId="77777777" w:rsidR="005E3702" w:rsidRPr="00252D7B" w:rsidRDefault="005E3702" w:rsidP="00E03684">
            <w:pPr>
              <w:pStyle w:val="Default"/>
              <w:rPr>
                <w:rFonts w:asciiTheme="minorHAnsi" w:hAnsiTheme="minorHAnsi" w:cstheme="minorHAnsi"/>
                <w:sz w:val="20"/>
                <w:szCs w:val="20"/>
              </w:rPr>
            </w:pPr>
          </w:p>
        </w:tc>
        <w:tc>
          <w:tcPr>
            <w:tcW w:w="3429" w:type="dxa"/>
          </w:tcPr>
          <w:p w14:paraId="0F3670E4" w14:textId="77777777" w:rsidR="005E3702" w:rsidRPr="00252D7B" w:rsidRDefault="005E3702" w:rsidP="00E03684">
            <w:pPr>
              <w:pStyle w:val="Default"/>
              <w:rPr>
                <w:rFonts w:asciiTheme="minorHAnsi" w:hAnsiTheme="minorHAnsi" w:cstheme="minorHAnsi"/>
                <w:sz w:val="20"/>
                <w:szCs w:val="20"/>
              </w:rPr>
            </w:pPr>
            <w:r w:rsidRPr="00252D7B">
              <w:rPr>
                <w:rFonts w:asciiTheme="minorHAnsi" w:hAnsiTheme="minorHAnsi" w:cstheme="minorHAnsi"/>
                <w:sz w:val="20"/>
                <w:szCs w:val="20"/>
              </w:rPr>
              <w:t>Paralisação de metas ou iniciativas</w:t>
            </w:r>
          </w:p>
        </w:tc>
      </w:tr>
    </w:tbl>
    <w:p w14:paraId="0D33DBFA" w14:textId="77777777" w:rsidR="005E3702" w:rsidRPr="00252D7B" w:rsidRDefault="005E3702" w:rsidP="005E3702">
      <w:pPr>
        <w:rPr>
          <w:rFonts w:asciiTheme="minorHAnsi" w:hAnsiTheme="minorHAnsi" w:cstheme="minorHAnsi"/>
          <w:sz w:val="18"/>
          <w:szCs w:val="18"/>
        </w:rPr>
      </w:pPr>
    </w:p>
    <w:p w14:paraId="198ABD92" w14:textId="77777777" w:rsidR="005E3702" w:rsidRPr="00252D7B" w:rsidRDefault="005E3702" w:rsidP="005E3702">
      <w:pPr>
        <w:rPr>
          <w:rFonts w:asciiTheme="minorHAnsi" w:hAnsiTheme="minorHAnsi" w:cstheme="minorHAnsi"/>
          <w:sz w:val="18"/>
          <w:szCs w:val="18"/>
        </w:rPr>
      </w:pPr>
    </w:p>
    <w:p w14:paraId="7A9742E8" w14:textId="07193DDF" w:rsidR="005E3702" w:rsidRPr="00252D7B" w:rsidRDefault="006E0153" w:rsidP="005E3702">
      <w:pPr>
        <w:pStyle w:val="Legenda"/>
        <w:jc w:val="center"/>
        <w:rPr>
          <w:rFonts w:asciiTheme="minorHAnsi" w:hAnsiTheme="minorHAnsi" w:cstheme="minorHAnsi"/>
          <w:sz w:val="20"/>
          <w:szCs w:val="20"/>
        </w:rPr>
      </w:pPr>
      <w:bookmarkStart w:id="133" w:name="_Toc96706020"/>
      <w:bookmarkStart w:id="134" w:name="_Toc103680724"/>
      <w:r w:rsidRPr="00252D7B">
        <w:rPr>
          <w:rFonts w:asciiTheme="minorHAnsi" w:hAnsiTheme="minorHAnsi" w:cstheme="minorHAnsi"/>
          <w:sz w:val="20"/>
          <w:szCs w:val="20"/>
        </w:rPr>
        <w:t xml:space="preserve">Quadro </w:t>
      </w:r>
      <w:r w:rsidRPr="00252D7B">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Quadro \* ARABIC </w:instrText>
      </w:r>
      <w:r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5</w:t>
      </w:r>
      <w:r w:rsidRPr="00252D7B">
        <w:rPr>
          <w:rFonts w:asciiTheme="minorHAnsi" w:hAnsiTheme="minorHAnsi" w:cstheme="minorHAnsi"/>
          <w:sz w:val="20"/>
          <w:szCs w:val="20"/>
        </w:rPr>
        <w:fldChar w:fldCharType="end"/>
      </w:r>
      <w:r w:rsidRPr="00252D7B">
        <w:rPr>
          <w:rFonts w:asciiTheme="minorHAnsi" w:hAnsiTheme="minorHAnsi" w:cstheme="minorHAnsi"/>
          <w:sz w:val="20"/>
          <w:szCs w:val="20"/>
        </w:rPr>
        <w:t xml:space="preserve"> – </w:t>
      </w:r>
      <w:bookmarkEnd w:id="133"/>
      <w:r w:rsidR="004C6B41">
        <w:rPr>
          <w:rFonts w:asciiTheme="minorHAnsi" w:hAnsiTheme="minorHAnsi" w:cstheme="minorHAnsi"/>
          <w:sz w:val="20"/>
          <w:szCs w:val="20"/>
        </w:rPr>
        <w:t>Quadro-resumo das metas e iniciativas do Plano de Negócios de 2021</w:t>
      </w:r>
      <w:bookmarkEnd w:id="134"/>
    </w:p>
    <w:tbl>
      <w:tblPr>
        <w:tblW w:w="9771" w:type="dxa"/>
        <w:tblLayout w:type="fixed"/>
        <w:tblCellMar>
          <w:left w:w="70" w:type="dxa"/>
          <w:right w:w="70" w:type="dxa"/>
        </w:tblCellMar>
        <w:tblLook w:val="04A0" w:firstRow="1" w:lastRow="0" w:firstColumn="1" w:lastColumn="0" w:noHBand="0" w:noVBand="1"/>
      </w:tblPr>
      <w:tblGrid>
        <w:gridCol w:w="1611"/>
        <w:gridCol w:w="1923"/>
        <w:gridCol w:w="2268"/>
        <w:gridCol w:w="1843"/>
        <w:gridCol w:w="2126"/>
      </w:tblGrid>
      <w:tr w:rsidR="0028500C" w:rsidRPr="0028500C" w14:paraId="6E832628" w14:textId="77777777" w:rsidTr="0067629F">
        <w:trPr>
          <w:trHeight w:val="315"/>
          <w:tblHeader/>
        </w:trPr>
        <w:tc>
          <w:tcPr>
            <w:tcW w:w="1611" w:type="dxa"/>
            <w:tcBorders>
              <w:top w:val="single" w:sz="8" w:space="0" w:color="auto"/>
              <w:left w:val="single" w:sz="8" w:space="0" w:color="auto"/>
              <w:bottom w:val="single" w:sz="8" w:space="0" w:color="auto"/>
              <w:right w:val="single" w:sz="8" w:space="0" w:color="auto"/>
            </w:tcBorders>
            <w:shd w:val="clear" w:color="000000" w:fill="D9D9D9"/>
            <w:vAlign w:val="bottom"/>
            <w:hideMark/>
          </w:tcPr>
          <w:p w14:paraId="0D38E8DF" w14:textId="77777777" w:rsidR="0028500C" w:rsidRPr="0028500C" w:rsidRDefault="0028500C" w:rsidP="0028500C">
            <w:pPr>
              <w:widowControl/>
              <w:autoSpaceDE/>
              <w:autoSpaceDN/>
              <w:jc w:val="center"/>
              <w:rPr>
                <w:rFonts w:eastAsia="Times New Roman"/>
                <w:b/>
                <w:bCs/>
                <w:color w:val="000000"/>
                <w:sz w:val="20"/>
                <w:szCs w:val="20"/>
                <w:lang w:eastAsia="pt-BR" w:bidi="ar-SA"/>
              </w:rPr>
            </w:pPr>
            <w:r w:rsidRPr="0028500C">
              <w:rPr>
                <w:rFonts w:eastAsia="Times New Roman"/>
                <w:b/>
                <w:bCs/>
                <w:color w:val="000000"/>
                <w:sz w:val="20"/>
                <w:szCs w:val="20"/>
                <w:lang w:eastAsia="pt-BR" w:bidi="ar-SA"/>
              </w:rPr>
              <w:t>Objetivos estratégicos</w:t>
            </w:r>
          </w:p>
        </w:tc>
        <w:tc>
          <w:tcPr>
            <w:tcW w:w="1923" w:type="dxa"/>
            <w:tcBorders>
              <w:top w:val="single" w:sz="8" w:space="0" w:color="auto"/>
              <w:left w:val="nil"/>
              <w:bottom w:val="single" w:sz="8" w:space="0" w:color="auto"/>
              <w:right w:val="single" w:sz="8" w:space="0" w:color="auto"/>
            </w:tcBorders>
            <w:shd w:val="clear" w:color="000000" w:fill="D9D9D9"/>
            <w:vAlign w:val="center"/>
            <w:hideMark/>
          </w:tcPr>
          <w:p w14:paraId="5B4A7698" w14:textId="77777777" w:rsidR="0028500C" w:rsidRPr="0028500C" w:rsidRDefault="0028500C" w:rsidP="0028500C">
            <w:pPr>
              <w:widowControl/>
              <w:autoSpaceDE/>
              <w:autoSpaceDN/>
              <w:jc w:val="center"/>
              <w:rPr>
                <w:rFonts w:eastAsia="Times New Roman"/>
                <w:b/>
                <w:bCs/>
                <w:color w:val="000000"/>
                <w:sz w:val="20"/>
                <w:szCs w:val="20"/>
                <w:lang w:eastAsia="pt-BR" w:bidi="ar-SA"/>
              </w:rPr>
            </w:pPr>
            <w:r w:rsidRPr="0028500C">
              <w:rPr>
                <w:rFonts w:eastAsia="Times New Roman"/>
                <w:b/>
                <w:bCs/>
                <w:color w:val="000000"/>
                <w:sz w:val="20"/>
                <w:szCs w:val="20"/>
                <w:lang w:eastAsia="pt-BR" w:bidi="ar-SA"/>
              </w:rPr>
              <w:t>Metas PEI (2020-2024)</w:t>
            </w:r>
          </w:p>
        </w:tc>
        <w:tc>
          <w:tcPr>
            <w:tcW w:w="2268" w:type="dxa"/>
            <w:tcBorders>
              <w:top w:val="single" w:sz="8" w:space="0" w:color="auto"/>
              <w:left w:val="nil"/>
              <w:bottom w:val="single" w:sz="8" w:space="0" w:color="auto"/>
              <w:right w:val="single" w:sz="8" w:space="0" w:color="auto"/>
            </w:tcBorders>
            <w:shd w:val="clear" w:color="000000" w:fill="D9D9D9"/>
            <w:vAlign w:val="center"/>
            <w:hideMark/>
          </w:tcPr>
          <w:p w14:paraId="52B49F47" w14:textId="77777777" w:rsidR="0028500C" w:rsidRPr="0028500C" w:rsidRDefault="0028500C" w:rsidP="0028500C">
            <w:pPr>
              <w:widowControl/>
              <w:autoSpaceDE/>
              <w:autoSpaceDN/>
              <w:jc w:val="center"/>
              <w:rPr>
                <w:rFonts w:eastAsia="Times New Roman"/>
                <w:b/>
                <w:bCs/>
                <w:color w:val="000000"/>
                <w:sz w:val="20"/>
                <w:szCs w:val="20"/>
                <w:lang w:eastAsia="pt-BR" w:bidi="ar-SA"/>
              </w:rPr>
            </w:pPr>
            <w:r w:rsidRPr="0028500C">
              <w:rPr>
                <w:rFonts w:eastAsia="Times New Roman"/>
                <w:b/>
                <w:bCs/>
                <w:color w:val="000000"/>
                <w:sz w:val="20"/>
                <w:szCs w:val="20"/>
                <w:lang w:eastAsia="pt-BR" w:bidi="ar-SA"/>
              </w:rPr>
              <w:t>Metas PN (2021)</w:t>
            </w:r>
          </w:p>
        </w:tc>
        <w:tc>
          <w:tcPr>
            <w:tcW w:w="1843" w:type="dxa"/>
            <w:tcBorders>
              <w:top w:val="single" w:sz="8" w:space="0" w:color="auto"/>
              <w:left w:val="nil"/>
              <w:bottom w:val="single" w:sz="8" w:space="0" w:color="auto"/>
              <w:right w:val="single" w:sz="8" w:space="0" w:color="auto"/>
            </w:tcBorders>
            <w:shd w:val="clear" w:color="000000" w:fill="D9D9D9"/>
            <w:vAlign w:val="center"/>
            <w:hideMark/>
          </w:tcPr>
          <w:p w14:paraId="764F3C82" w14:textId="77777777" w:rsidR="0028500C" w:rsidRPr="0028500C" w:rsidRDefault="0028500C" w:rsidP="0028500C">
            <w:pPr>
              <w:widowControl/>
              <w:autoSpaceDE/>
              <w:autoSpaceDN/>
              <w:jc w:val="center"/>
              <w:rPr>
                <w:rFonts w:eastAsia="Times New Roman"/>
                <w:b/>
                <w:bCs/>
                <w:color w:val="000000"/>
                <w:sz w:val="20"/>
                <w:szCs w:val="20"/>
                <w:lang w:eastAsia="pt-BR" w:bidi="ar-SA"/>
              </w:rPr>
            </w:pPr>
            <w:r w:rsidRPr="0028500C">
              <w:rPr>
                <w:rFonts w:eastAsia="Times New Roman"/>
                <w:b/>
                <w:bCs/>
                <w:color w:val="000000"/>
                <w:sz w:val="20"/>
                <w:szCs w:val="20"/>
                <w:lang w:eastAsia="pt-BR" w:bidi="ar-SA"/>
              </w:rPr>
              <w:t>Iniciativas</w:t>
            </w:r>
          </w:p>
        </w:tc>
        <w:tc>
          <w:tcPr>
            <w:tcW w:w="2126" w:type="dxa"/>
            <w:tcBorders>
              <w:top w:val="single" w:sz="8" w:space="0" w:color="auto"/>
              <w:left w:val="nil"/>
              <w:bottom w:val="single" w:sz="8" w:space="0" w:color="auto"/>
              <w:right w:val="single" w:sz="8" w:space="0" w:color="auto"/>
            </w:tcBorders>
            <w:shd w:val="clear" w:color="000000" w:fill="D9D9D9"/>
            <w:vAlign w:val="center"/>
            <w:hideMark/>
          </w:tcPr>
          <w:p w14:paraId="58D13FA3" w14:textId="77777777" w:rsidR="0028500C" w:rsidRPr="0028500C" w:rsidRDefault="0028500C" w:rsidP="0028500C">
            <w:pPr>
              <w:widowControl/>
              <w:autoSpaceDE/>
              <w:autoSpaceDN/>
              <w:jc w:val="center"/>
              <w:rPr>
                <w:rFonts w:eastAsia="Times New Roman"/>
                <w:b/>
                <w:bCs/>
                <w:color w:val="000000"/>
                <w:sz w:val="20"/>
                <w:szCs w:val="20"/>
                <w:lang w:eastAsia="pt-BR" w:bidi="ar-SA"/>
              </w:rPr>
            </w:pPr>
            <w:r w:rsidRPr="0028500C">
              <w:rPr>
                <w:rFonts w:eastAsia="Times New Roman"/>
                <w:b/>
                <w:bCs/>
                <w:color w:val="000000"/>
                <w:sz w:val="20"/>
                <w:szCs w:val="20"/>
                <w:lang w:eastAsia="pt-BR" w:bidi="ar-SA"/>
              </w:rPr>
              <w:t>Observações</w:t>
            </w:r>
          </w:p>
        </w:tc>
      </w:tr>
      <w:tr w:rsidR="0028500C" w:rsidRPr="0028500C" w14:paraId="171E2A52" w14:textId="77777777" w:rsidTr="0067629F">
        <w:trPr>
          <w:trHeight w:val="510"/>
        </w:trPr>
        <w:tc>
          <w:tcPr>
            <w:tcW w:w="1611" w:type="dxa"/>
            <w:vMerge w:val="restart"/>
            <w:tcBorders>
              <w:top w:val="nil"/>
              <w:left w:val="single" w:sz="8" w:space="0" w:color="auto"/>
              <w:bottom w:val="single" w:sz="8" w:space="0" w:color="000000"/>
              <w:right w:val="single" w:sz="4" w:space="0" w:color="auto"/>
            </w:tcBorders>
            <w:shd w:val="clear" w:color="auto" w:fill="auto"/>
            <w:vAlign w:val="center"/>
            <w:hideMark/>
          </w:tcPr>
          <w:p w14:paraId="385BB37C" w14:textId="77777777" w:rsidR="0028500C" w:rsidRPr="0028500C" w:rsidRDefault="0028500C" w:rsidP="0028500C">
            <w:pPr>
              <w:widowControl/>
              <w:autoSpaceDE/>
              <w:autoSpaceDN/>
              <w:jc w:val="center"/>
              <w:rPr>
                <w:rFonts w:eastAsia="Times New Roman"/>
                <w:sz w:val="20"/>
                <w:szCs w:val="20"/>
                <w:lang w:eastAsia="pt-BR" w:bidi="ar-SA"/>
              </w:rPr>
            </w:pPr>
            <w:r w:rsidRPr="0028500C">
              <w:rPr>
                <w:rFonts w:eastAsia="Times New Roman"/>
                <w:sz w:val="20"/>
                <w:szCs w:val="20"/>
                <w:lang w:eastAsia="pt-BR" w:bidi="ar-SA"/>
              </w:rPr>
              <w:t>Objetivo 1.1 - Contribuir para a ampliação da oferta de transporte ferroviário de carga e de passageiros, assim como a redução do custo logístico no Brasil</w:t>
            </w:r>
          </w:p>
        </w:tc>
        <w:tc>
          <w:tcPr>
            <w:tcW w:w="1923" w:type="dxa"/>
            <w:tcBorders>
              <w:top w:val="nil"/>
              <w:left w:val="nil"/>
              <w:bottom w:val="single" w:sz="4" w:space="0" w:color="auto"/>
              <w:right w:val="single" w:sz="4" w:space="0" w:color="auto"/>
            </w:tcBorders>
            <w:shd w:val="clear" w:color="auto" w:fill="auto"/>
            <w:vAlign w:val="center"/>
            <w:hideMark/>
          </w:tcPr>
          <w:p w14:paraId="310165B4"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1. Concluir 85% da FIOL II até dezembro de 2022</w:t>
            </w:r>
          </w:p>
        </w:tc>
        <w:tc>
          <w:tcPr>
            <w:tcW w:w="2268" w:type="dxa"/>
            <w:tcBorders>
              <w:top w:val="nil"/>
              <w:left w:val="nil"/>
              <w:bottom w:val="single" w:sz="4" w:space="0" w:color="auto"/>
              <w:right w:val="single" w:sz="4" w:space="0" w:color="auto"/>
            </w:tcBorders>
            <w:shd w:val="clear" w:color="auto" w:fill="auto"/>
            <w:vAlign w:val="center"/>
            <w:hideMark/>
          </w:tcPr>
          <w:p w14:paraId="1DA77313"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1. Concluir 65% da FIOL II até dezembro de 2021</w:t>
            </w:r>
          </w:p>
        </w:tc>
        <w:tc>
          <w:tcPr>
            <w:tcW w:w="1843" w:type="dxa"/>
            <w:tcBorders>
              <w:top w:val="nil"/>
              <w:left w:val="nil"/>
              <w:bottom w:val="single" w:sz="4" w:space="0" w:color="auto"/>
              <w:right w:val="nil"/>
            </w:tcBorders>
            <w:shd w:val="clear" w:color="auto" w:fill="auto"/>
            <w:vAlign w:val="center"/>
            <w:hideMark/>
          </w:tcPr>
          <w:p w14:paraId="3BF65AB9"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1. Contratar lote remanescente até setembro de 2021</w:t>
            </w:r>
          </w:p>
        </w:tc>
        <w:tc>
          <w:tcPr>
            <w:tcW w:w="2126" w:type="dxa"/>
            <w:tcBorders>
              <w:top w:val="nil"/>
              <w:left w:val="single" w:sz="4" w:space="0" w:color="auto"/>
              <w:bottom w:val="single" w:sz="4" w:space="0" w:color="auto"/>
              <w:right w:val="single" w:sz="8" w:space="0" w:color="auto"/>
            </w:tcBorders>
            <w:shd w:val="clear" w:color="auto" w:fill="auto"/>
            <w:vAlign w:val="center"/>
            <w:hideMark/>
          </w:tcPr>
          <w:p w14:paraId="7503353C" w14:textId="77777777" w:rsidR="0028500C" w:rsidRPr="0028500C" w:rsidRDefault="0028500C" w:rsidP="0028500C">
            <w:pPr>
              <w:widowControl/>
              <w:autoSpaceDE/>
              <w:autoSpaceDN/>
              <w:rPr>
                <w:rFonts w:eastAsia="Times New Roman"/>
                <w:color w:val="000000"/>
                <w:sz w:val="18"/>
                <w:szCs w:val="18"/>
                <w:lang w:eastAsia="pt-BR" w:bidi="ar-SA"/>
              </w:rPr>
            </w:pPr>
            <w:r w:rsidRPr="0028500C">
              <w:rPr>
                <w:rFonts w:eastAsia="Times New Roman"/>
                <w:color w:val="000000"/>
                <w:sz w:val="18"/>
                <w:szCs w:val="18"/>
                <w:lang w:eastAsia="pt-BR" w:bidi="ar-SA"/>
              </w:rPr>
              <w:t> </w:t>
            </w:r>
          </w:p>
        </w:tc>
      </w:tr>
      <w:tr w:rsidR="0028500C" w:rsidRPr="0028500C" w14:paraId="46DD51D1" w14:textId="77777777" w:rsidTr="0067629F">
        <w:trPr>
          <w:trHeight w:val="735"/>
        </w:trPr>
        <w:tc>
          <w:tcPr>
            <w:tcW w:w="1611" w:type="dxa"/>
            <w:vMerge/>
            <w:tcBorders>
              <w:top w:val="nil"/>
              <w:left w:val="single" w:sz="8" w:space="0" w:color="auto"/>
              <w:bottom w:val="single" w:sz="8" w:space="0" w:color="000000"/>
              <w:right w:val="single" w:sz="4" w:space="0" w:color="auto"/>
            </w:tcBorders>
            <w:vAlign w:val="center"/>
            <w:hideMark/>
          </w:tcPr>
          <w:p w14:paraId="7B4A5870" w14:textId="77777777" w:rsidR="0028500C" w:rsidRPr="0028500C" w:rsidRDefault="0028500C" w:rsidP="0028500C">
            <w:pPr>
              <w:widowControl/>
              <w:autoSpaceDE/>
              <w:autoSpaceDN/>
              <w:rPr>
                <w:rFonts w:eastAsia="Times New Roman"/>
                <w:sz w:val="20"/>
                <w:szCs w:val="20"/>
                <w:lang w:eastAsia="pt-BR" w:bidi="ar-SA"/>
              </w:rPr>
            </w:pPr>
          </w:p>
        </w:tc>
        <w:tc>
          <w:tcPr>
            <w:tcW w:w="1923" w:type="dxa"/>
            <w:vMerge w:val="restart"/>
            <w:tcBorders>
              <w:top w:val="nil"/>
              <w:left w:val="single" w:sz="4" w:space="0" w:color="auto"/>
              <w:bottom w:val="single" w:sz="4" w:space="0" w:color="000000"/>
              <w:right w:val="single" w:sz="4" w:space="0" w:color="auto"/>
            </w:tcBorders>
            <w:shd w:val="clear" w:color="auto" w:fill="auto"/>
            <w:vAlign w:val="center"/>
            <w:hideMark/>
          </w:tcPr>
          <w:p w14:paraId="6E2FB9EB" w14:textId="77777777" w:rsidR="0028500C" w:rsidRPr="0028500C" w:rsidRDefault="0028500C" w:rsidP="0028500C">
            <w:pPr>
              <w:widowControl/>
              <w:autoSpaceDE/>
              <w:autoSpaceDN/>
              <w:jc w:val="center"/>
              <w:rPr>
                <w:rFonts w:eastAsia="Times New Roman"/>
                <w:color w:val="000000"/>
                <w:sz w:val="20"/>
                <w:szCs w:val="20"/>
                <w:lang w:eastAsia="pt-BR" w:bidi="ar-SA"/>
              </w:rPr>
            </w:pPr>
            <w:r w:rsidRPr="0028500C">
              <w:rPr>
                <w:rFonts w:eastAsia="Times New Roman"/>
                <w:color w:val="000000"/>
                <w:sz w:val="20"/>
                <w:szCs w:val="20"/>
                <w:lang w:eastAsia="pt-BR" w:bidi="ar-SA"/>
              </w:rPr>
              <w:t>2. Participar na execução de 02 novos empreendimentos ferroviários até dezembro de 2022</w:t>
            </w:r>
          </w:p>
        </w:tc>
        <w:tc>
          <w:tcPr>
            <w:tcW w:w="2268" w:type="dxa"/>
            <w:tcBorders>
              <w:top w:val="nil"/>
              <w:left w:val="nil"/>
              <w:bottom w:val="single" w:sz="4" w:space="0" w:color="auto"/>
              <w:right w:val="single" w:sz="4" w:space="0" w:color="auto"/>
            </w:tcBorders>
            <w:shd w:val="clear" w:color="000000" w:fill="C5ADCB"/>
            <w:vAlign w:val="center"/>
            <w:hideMark/>
          </w:tcPr>
          <w:p w14:paraId="37FC68AE"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2.1. Iniciar a execução da FICO</w:t>
            </w:r>
          </w:p>
        </w:tc>
        <w:tc>
          <w:tcPr>
            <w:tcW w:w="1843" w:type="dxa"/>
            <w:tcBorders>
              <w:top w:val="nil"/>
              <w:left w:val="nil"/>
              <w:bottom w:val="single" w:sz="4" w:space="0" w:color="auto"/>
              <w:right w:val="nil"/>
            </w:tcBorders>
            <w:shd w:val="clear" w:color="000000" w:fill="C5ADCB"/>
            <w:vAlign w:val="center"/>
            <w:hideMark/>
          </w:tcPr>
          <w:p w14:paraId="69489BDF"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 </w:t>
            </w:r>
          </w:p>
        </w:tc>
        <w:tc>
          <w:tcPr>
            <w:tcW w:w="2126" w:type="dxa"/>
            <w:tcBorders>
              <w:top w:val="nil"/>
              <w:left w:val="single" w:sz="4" w:space="0" w:color="auto"/>
              <w:bottom w:val="single" w:sz="4" w:space="0" w:color="auto"/>
              <w:right w:val="single" w:sz="8" w:space="0" w:color="auto"/>
            </w:tcBorders>
            <w:shd w:val="clear" w:color="auto" w:fill="auto"/>
            <w:vAlign w:val="bottom"/>
            <w:hideMark/>
          </w:tcPr>
          <w:p w14:paraId="2190B0DA" w14:textId="77777777" w:rsidR="0028500C" w:rsidRPr="0028500C" w:rsidRDefault="0028500C" w:rsidP="0028500C">
            <w:pPr>
              <w:widowControl/>
              <w:autoSpaceDE/>
              <w:autoSpaceDN/>
              <w:rPr>
                <w:rFonts w:eastAsia="Times New Roman"/>
                <w:color w:val="000000"/>
                <w:sz w:val="18"/>
                <w:szCs w:val="18"/>
                <w:lang w:eastAsia="pt-BR" w:bidi="ar-SA"/>
              </w:rPr>
            </w:pPr>
            <w:r w:rsidRPr="0028500C">
              <w:rPr>
                <w:rFonts w:eastAsia="Times New Roman"/>
                <w:color w:val="000000"/>
                <w:sz w:val="18"/>
                <w:szCs w:val="18"/>
                <w:lang w:eastAsia="pt-BR" w:bidi="ar-SA"/>
              </w:rPr>
              <w:t>A meta foi paralisada e agregada a meta 1.1.2.3 a fim de representar melhor os esforços relacionados a construção da FICO</w:t>
            </w:r>
          </w:p>
        </w:tc>
      </w:tr>
      <w:tr w:rsidR="0028500C" w:rsidRPr="0028500C" w14:paraId="0B9175D5" w14:textId="77777777" w:rsidTr="0067629F">
        <w:trPr>
          <w:trHeight w:val="1020"/>
        </w:trPr>
        <w:tc>
          <w:tcPr>
            <w:tcW w:w="1611" w:type="dxa"/>
            <w:vMerge/>
            <w:tcBorders>
              <w:top w:val="nil"/>
              <w:left w:val="single" w:sz="8" w:space="0" w:color="auto"/>
              <w:bottom w:val="single" w:sz="8" w:space="0" w:color="000000"/>
              <w:right w:val="single" w:sz="4" w:space="0" w:color="auto"/>
            </w:tcBorders>
            <w:vAlign w:val="center"/>
            <w:hideMark/>
          </w:tcPr>
          <w:p w14:paraId="3398A8BA" w14:textId="77777777" w:rsidR="0028500C" w:rsidRPr="0028500C" w:rsidRDefault="0028500C" w:rsidP="0028500C">
            <w:pPr>
              <w:widowControl/>
              <w:autoSpaceDE/>
              <w:autoSpaceDN/>
              <w:rPr>
                <w:rFonts w:eastAsia="Times New Roman"/>
                <w:sz w:val="20"/>
                <w:szCs w:val="20"/>
                <w:lang w:eastAsia="pt-BR" w:bidi="ar-SA"/>
              </w:rPr>
            </w:pPr>
          </w:p>
        </w:tc>
        <w:tc>
          <w:tcPr>
            <w:tcW w:w="1923" w:type="dxa"/>
            <w:vMerge/>
            <w:tcBorders>
              <w:top w:val="nil"/>
              <w:left w:val="single" w:sz="4" w:space="0" w:color="auto"/>
              <w:bottom w:val="single" w:sz="4" w:space="0" w:color="000000"/>
              <w:right w:val="single" w:sz="4" w:space="0" w:color="auto"/>
            </w:tcBorders>
            <w:vAlign w:val="center"/>
            <w:hideMark/>
          </w:tcPr>
          <w:p w14:paraId="028DAD55" w14:textId="77777777" w:rsidR="0028500C" w:rsidRPr="0028500C" w:rsidRDefault="0028500C" w:rsidP="0028500C">
            <w:pPr>
              <w:widowControl/>
              <w:autoSpaceDE/>
              <w:autoSpaceDN/>
              <w:rPr>
                <w:rFonts w:eastAsia="Times New Roman"/>
                <w:color w:val="000000"/>
                <w:sz w:val="20"/>
                <w:szCs w:val="20"/>
                <w:lang w:eastAsia="pt-BR" w:bidi="ar-SA"/>
              </w:rPr>
            </w:pPr>
          </w:p>
        </w:tc>
        <w:tc>
          <w:tcPr>
            <w:tcW w:w="2268" w:type="dxa"/>
            <w:tcBorders>
              <w:top w:val="nil"/>
              <w:left w:val="nil"/>
              <w:bottom w:val="single" w:sz="4" w:space="0" w:color="auto"/>
              <w:right w:val="single" w:sz="4" w:space="0" w:color="auto"/>
            </w:tcBorders>
            <w:shd w:val="clear" w:color="000000" w:fill="C5ADCB"/>
            <w:vAlign w:val="center"/>
            <w:hideMark/>
          </w:tcPr>
          <w:p w14:paraId="103F4D7B"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2.2. Finalizar os procedimentos no âmbito da Valec para imissão na posse dos 30 km iniciais da FICO até o final de dezembro de 2021</w:t>
            </w:r>
          </w:p>
        </w:tc>
        <w:tc>
          <w:tcPr>
            <w:tcW w:w="1843" w:type="dxa"/>
            <w:tcBorders>
              <w:top w:val="nil"/>
              <w:left w:val="nil"/>
              <w:bottom w:val="single" w:sz="4" w:space="0" w:color="auto"/>
              <w:right w:val="nil"/>
            </w:tcBorders>
            <w:shd w:val="clear" w:color="000000" w:fill="C5ADCB"/>
            <w:vAlign w:val="center"/>
            <w:hideMark/>
          </w:tcPr>
          <w:p w14:paraId="678C129E"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 </w:t>
            </w:r>
          </w:p>
        </w:tc>
        <w:tc>
          <w:tcPr>
            <w:tcW w:w="2126" w:type="dxa"/>
            <w:tcBorders>
              <w:top w:val="nil"/>
              <w:left w:val="single" w:sz="4" w:space="0" w:color="auto"/>
              <w:bottom w:val="single" w:sz="4" w:space="0" w:color="auto"/>
              <w:right w:val="single" w:sz="8" w:space="0" w:color="auto"/>
            </w:tcBorders>
            <w:shd w:val="clear" w:color="auto" w:fill="auto"/>
            <w:vAlign w:val="center"/>
            <w:hideMark/>
          </w:tcPr>
          <w:p w14:paraId="03B32B51" w14:textId="77777777" w:rsidR="0028500C" w:rsidRPr="0028500C" w:rsidRDefault="0028500C" w:rsidP="0028500C">
            <w:pPr>
              <w:widowControl/>
              <w:autoSpaceDE/>
              <w:autoSpaceDN/>
              <w:rPr>
                <w:rFonts w:eastAsia="Times New Roman"/>
                <w:color w:val="000000"/>
                <w:sz w:val="18"/>
                <w:szCs w:val="18"/>
                <w:lang w:eastAsia="pt-BR" w:bidi="ar-SA"/>
              </w:rPr>
            </w:pPr>
            <w:r w:rsidRPr="0028500C">
              <w:rPr>
                <w:rFonts w:eastAsia="Times New Roman"/>
                <w:color w:val="000000"/>
                <w:sz w:val="18"/>
                <w:szCs w:val="18"/>
                <w:lang w:eastAsia="pt-BR" w:bidi="ar-SA"/>
              </w:rPr>
              <w:t>A meta foi paralisada e agregada a meta 1.1.2.3 a fim de representar melhor os esforços relacionados a construção da FICO</w:t>
            </w:r>
          </w:p>
        </w:tc>
      </w:tr>
      <w:tr w:rsidR="0028500C" w:rsidRPr="0028500C" w14:paraId="56C17BA6" w14:textId="77777777" w:rsidTr="0067629F">
        <w:trPr>
          <w:trHeight w:val="2805"/>
        </w:trPr>
        <w:tc>
          <w:tcPr>
            <w:tcW w:w="1611" w:type="dxa"/>
            <w:vMerge/>
            <w:tcBorders>
              <w:top w:val="nil"/>
              <w:left w:val="single" w:sz="8" w:space="0" w:color="auto"/>
              <w:bottom w:val="single" w:sz="8" w:space="0" w:color="000000"/>
              <w:right w:val="single" w:sz="4" w:space="0" w:color="auto"/>
            </w:tcBorders>
            <w:vAlign w:val="center"/>
            <w:hideMark/>
          </w:tcPr>
          <w:p w14:paraId="666210B8" w14:textId="77777777" w:rsidR="0028500C" w:rsidRPr="0028500C" w:rsidRDefault="0028500C" w:rsidP="0028500C">
            <w:pPr>
              <w:widowControl/>
              <w:autoSpaceDE/>
              <w:autoSpaceDN/>
              <w:rPr>
                <w:rFonts w:eastAsia="Times New Roman"/>
                <w:sz w:val="20"/>
                <w:szCs w:val="20"/>
                <w:lang w:eastAsia="pt-BR" w:bidi="ar-SA"/>
              </w:rPr>
            </w:pPr>
          </w:p>
        </w:tc>
        <w:tc>
          <w:tcPr>
            <w:tcW w:w="1923" w:type="dxa"/>
            <w:vMerge/>
            <w:tcBorders>
              <w:top w:val="nil"/>
              <w:left w:val="single" w:sz="4" w:space="0" w:color="auto"/>
              <w:bottom w:val="single" w:sz="4" w:space="0" w:color="000000"/>
              <w:right w:val="single" w:sz="4" w:space="0" w:color="auto"/>
            </w:tcBorders>
            <w:vAlign w:val="center"/>
            <w:hideMark/>
          </w:tcPr>
          <w:p w14:paraId="5B28405A" w14:textId="77777777" w:rsidR="0028500C" w:rsidRPr="0028500C" w:rsidRDefault="0028500C" w:rsidP="0028500C">
            <w:pPr>
              <w:widowControl/>
              <w:autoSpaceDE/>
              <w:autoSpaceDN/>
              <w:rPr>
                <w:rFonts w:eastAsia="Times New Roman"/>
                <w:color w:val="000000"/>
                <w:sz w:val="20"/>
                <w:szCs w:val="20"/>
                <w:lang w:eastAsia="pt-BR" w:bidi="ar-SA"/>
              </w:rPr>
            </w:pPr>
          </w:p>
        </w:tc>
        <w:tc>
          <w:tcPr>
            <w:tcW w:w="2268" w:type="dxa"/>
            <w:tcBorders>
              <w:top w:val="nil"/>
              <w:left w:val="nil"/>
              <w:bottom w:val="single" w:sz="4" w:space="0" w:color="auto"/>
              <w:right w:val="single" w:sz="4" w:space="0" w:color="auto"/>
            </w:tcBorders>
            <w:shd w:val="clear" w:color="000000" w:fill="FFFF00"/>
            <w:vAlign w:val="center"/>
            <w:hideMark/>
          </w:tcPr>
          <w:p w14:paraId="3239B0E9"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2.3 Viabilizar 100% das ações de governança e de desapropriação para o início da execução da FICO</w:t>
            </w:r>
            <w:r w:rsidRPr="0028500C">
              <w:rPr>
                <w:rFonts w:eastAsia="Times New Roman"/>
                <w:color w:val="000000"/>
                <w:sz w:val="20"/>
                <w:szCs w:val="20"/>
                <w:lang w:eastAsia="pt-BR" w:bidi="ar-SA"/>
              </w:rPr>
              <w:br/>
            </w:r>
            <w:r w:rsidRPr="0028500C">
              <w:rPr>
                <w:rFonts w:eastAsia="Times New Roman"/>
                <w:b/>
                <w:bCs/>
                <w:color w:val="000000"/>
                <w:sz w:val="20"/>
                <w:szCs w:val="20"/>
                <w:lang w:eastAsia="pt-BR" w:bidi="ar-SA"/>
              </w:rPr>
              <w:t xml:space="preserve">Meta 1: </w:t>
            </w:r>
            <w:r w:rsidRPr="0028500C">
              <w:rPr>
                <w:rFonts w:eastAsia="Times New Roman"/>
                <w:color w:val="000000"/>
                <w:sz w:val="20"/>
                <w:szCs w:val="20"/>
                <w:lang w:eastAsia="pt-BR" w:bidi="ar-SA"/>
              </w:rPr>
              <w:t>Viabilizar 100% das ações de governança</w:t>
            </w:r>
            <w:r w:rsidRPr="0028500C">
              <w:rPr>
                <w:rFonts w:eastAsia="Times New Roman"/>
                <w:color w:val="000000"/>
                <w:sz w:val="20"/>
                <w:szCs w:val="20"/>
                <w:lang w:eastAsia="pt-BR" w:bidi="ar-SA"/>
              </w:rPr>
              <w:br/>
            </w:r>
            <w:r w:rsidRPr="0028500C">
              <w:rPr>
                <w:rFonts w:eastAsia="Times New Roman"/>
                <w:b/>
                <w:bCs/>
                <w:color w:val="000000"/>
                <w:sz w:val="20"/>
                <w:szCs w:val="20"/>
                <w:lang w:eastAsia="pt-BR" w:bidi="ar-SA"/>
              </w:rPr>
              <w:t xml:space="preserve"> Meta 2:</w:t>
            </w:r>
            <w:r w:rsidRPr="0028500C">
              <w:rPr>
                <w:rFonts w:eastAsia="Times New Roman"/>
                <w:color w:val="000000"/>
                <w:sz w:val="20"/>
                <w:szCs w:val="20"/>
                <w:lang w:eastAsia="pt-BR" w:bidi="ar-SA"/>
              </w:rPr>
              <w:t xml:space="preserve"> Aprovar 100% dos laudos de desapropriação dos primeiros 30Km1</w:t>
            </w:r>
          </w:p>
        </w:tc>
        <w:tc>
          <w:tcPr>
            <w:tcW w:w="1843" w:type="dxa"/>
            <w:tcBorders>
              <w:top w:val="nil"/>
              <w:left w:val="nil"/>
              <w:bottom w:val="single" w:sz="4" w:space="0" w:color="auto"/>
              <w:right w:val="nil"/>
            </w:tcBorders>
            <w:shd w:val="clear" w:color="000000" w:fill="FFFF00"/>
            <w:vAlign w:val="center"/>
            <w:hideMark/>
          </w:tcPr>
          <w:p w14:paraId="6A44A9EB"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5. I) Aprovar os laudos de desapropriação da FICO dos 30 quilômetros iniciais</w:t>
            </w:r>
            <w:r w:rsidRPr="0028500C">
              <w:rPr>
                <w:rFonts w:eastAsia="Times New Roman"/>
                <w:color w:val="000000"/>
                <w:sz w:val="20"/>
                <w:szCs w:val="20"/>
                <w:lang w:eastAsia="pt-BR" w:bidi="ar-SA"/>
              </w:rPr>
              <w:br/>
              <w:t xml:space="preserve">II) Gerenciar os requisitos estratégicos que impactem na gestão contratual (DIREM): </w:t>
            </w:r>
            <w:r w:rsidRPr="0028500C">
              <w:rPr>
                <w:rFonts w:eastAsia="Times New Roman"/>
                <w:color w:val="000000"/>
                <w:sz w:val="20"/>
                <w:szCs w:val="20"/>
                <w:lang w:eastAsia="pt-BR" w:bidi="ar-SA"/>
              </w:rPr>
              <w:br/>
              <w:t>a) Formalizar o Acordo de Governança VALE -ANTT -Valec</w:t>
            </w:r>
            <w:r w:rsidRPr="0028500C">
              <w:rPr>
                <w:rFonts w:eastAsia="Times New Roman"/>
                <w:color w:val="000000"/>
                <w:sz w:val="20"/>
                <w:szCs w:val="20"/>
                <w:lang w:eastAsia="pt-BR" w:bidi="ar-SA"/>
              </w:rPr>
              <w:br/>
              <w:t xml:space="preserve">b) Aprovar a abertura de escritórios no CONSAD </w:t>
            </w:r>
            <w:r w:rsidRPr="0028500C">
              <w:rPr>
                <w:rFonts w:eastAsia="Times New Roman"/>
                <w:color w:val="000000"/>
                <w:sz w:val="20"/>
                <w:szCs w:val="20"/>
                <w:lang w:eastAsia="pt-BR" w:bidi="ar-SA"/>
              </w:rPr>
              <w:br/>
              <w:t xml:space="preserve">c) Aprovar o REIDI na Receita Federal </w:t>
            </w:r>
            <w:r w:rsidRPr="0028500C">
              <w:rPr>
                <w:rFonts w:eastAsia="Times New Roman"/>
                <w:color w:val="000000"/>
                <w:sz w:val="20"/>
                <w:szCs w:val="20"/>
                <w:lang w:eastAsia="pt-BR" w:bidi="ar-SA"/>
              </w:rPr>
              <w:br/>
            </w:r>
            <w:r w:rsidRPr="0028500C">
              <w:rPr>
                <w:rFonts w:eastAsia="Times New Roman"/>
                <w:color w:val="000000"/>
                <w:sz w:val="20"/>
                <w:szCs w:val="20"/>
                <w:lang w:eastAsia="pt-BR" w:bidi="ar-SA"/>
              </w:rPr>
              <w:lastRenderedPageBreak/>
              <w:t>d) Formalizar o Acordo de Obrigações Recíprocas Valec - VALE</w:t>
            </w:r>
          </w:p>
        </w:tc>
        <w:tc>
          <w:tcPr>
            <w:tcW w:w="2126" w:type="dxa"/>
            <w:tcBorders>
              <w:top w:val="nil"/>
              <w:left w:val="single" w:sz="4" w:space="0" w:color="auto"/>
              <w:bottom w:val="single" w:sz="4" w:space="0" w:color="auto"/>
              <w:right w:val="single" w:sz="8" w:space="0" w:color="auto"/>
            </w:tcBorders>
            <w:shd w:val="clear" w:color="auto" w:fill="auto"/>
            <w:vAlign w:val="center"/>
            <w:hideMark/>
          </w:tcPr>
          <w:p w14:paraId="67377CF4" w14:textId="77777777" w:rsidR="0028500C" w:rsidRPr="0028500C" w:rsidRDefault="0028500C" w:rsidP="0028500C">
            <w:pPr>
              <w:widowControl/>
              <w:autoSpaceDE/>
              <w:autoSpaceDN/>
              <w:rPr>
                <w:rFonts w:eastAsia="Times New Roman"/>
                <w:color w:val="000000"/>
                <w:sz w:val="18"/>
                <w:szCs w:val="18"/>
                <w:lang w:eastAsia="pt-BR" w:bidi="ar-SA"/>
              </w:rPr>
            </w:pPr>
            <w:r w:rsidRPr="0028500C">
              <w:rPr>
                <w:rFonts w:eastAsia="Times New Roman"/>
                <w:color w:val="000000"/>
                <w:sz w:val="18"/>
                <w:szCs w:val="18"/>
                <w:lang w:eastAsia="pt-BR" w:bidi="ar-SA"/>
              </w:rPr>
              <w:lastRenderedPageBreak/>
              <w:t>A comparação “De” “Para” da meta PN 1.1.2.3 e da Iniciativa 1.1.5 está no Anexo do Plano de Negócios 2021, disponível em:  https://www.valec.gov.br/documentos/governanca/Plano_de%20_Negocios_2021_Agosto_2021-v3.3.pdf</w:t>
            </w:r>
          </w:p>
        </w:tc>
      </w:tr>
      <w:tr w:rsidR="0028500C" w:rsidRPr="0028500C" w14:paraId="137A54EB" w14:textId="77777777" w:rsidTr="0067629F">
        <w:trPr>
          <w:trHeight w:val="1020"/>
        </w:trPr>
        <w:tc>
          <w:tcPr>
            <w:tcW w:w="1611" w:type="dxa"/>
            <w:vMerge/>
            <w:tcBorders>
              <w:top w:val="nil"/>
              <w:left w:val="single" w:sz="8" w:space="0" w:color="auto"/>
              <w:bottom w:val="single" w:sz="8" w:space="0" w:color="000000"/>
              <w:right w:val="single" w:sz="4" w:space="0" w:color="auto"/>
            </w:tcBorders>
            <w:vAlign w:val="center"/>
            <w:hideMark/>
          </w:tcPr>
          <w:p w14:paraId="57B1756E" w14:textId="77777777" w:rsidR="0028500C" w:rsidRPr="0028500C" w:rsidRDefault="0028500C" w:rsidP="0028500C">
            <w:pPr>
              <w:widowControl/>
              <w:autoSpaceDE/>
              <w:autoSpaceDN/>
              <w:rPr>
                <w:rFonts w:eastAsia="Times New Roman"/>
                <w:sz w:val="20"/>
                <w:szCs w:val="20"/>
                <w:lang w:eastAsia="pt-BR" w:bidi="ar-SA"/>
              </w:rPr>
            </w:pPr>
          </w:p>
        </w:tc>
        <w:tc>
          <w:tcPr>
            <w:tcW w:w="1923" w:type="dxa"/>
            <w:tcBorders>
              <w:top w:val="nil"/>
              <w:left w:val="nil"/>
              <w:bottom w:val="single" w:sz="4" w:space="0" w:color="auto"/>
              <w:right w:val="single" w:sz="4" w:space="0" w:color="auto"/>
            </w:tcBorders>
            <w:shd w:val="clear" w:color="auto" w:fill="auto"/>
            <w:vAlign w:val="center"/>
            <w:hideMark/>
          </w:tcPr>
          <w:p w14:paraId="4DF2ECE7"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 xml:space="preserve">3. Ter 01 cenário viável para continuidade do empreendimento Nova Transnordestina até dezembro de 2021 </w:t>
            </w:r>
          </w:p>
        </w:tc>
        <w:tc>
          <w:tcPr>
            <w:tcW w:w="2268" w:type="dxa"/>
            <w:tcBorders>
              <w:top w:val="nil"/>
              <w:left w:val="nil"/>
              <w:bottom w:val="single" w:sz="4" w:space="0" w:color="auto"/>
              <w:right w:val="single" w:sz="4" w:space="0" w:color="auto"/>
            </w:tcBorders>
            <w:shd w:val="clear" w:color="auto" w:fill="auto"/>
            <w:vAlign w:val="center"/>
            <w:hideMark/>
          </w:tcPr>
          <w:p w14:paraId="7B7741FD"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3. Ter 01 cenário viável para continuidade do empreendimento Nova Transnordestina até dezembro de 2021</w:t>
            </w:r>
          </w:p>
        </w:tc>
        <w:tc>
          <w:tcPr>
            <w:tcW w:w="1843" w:type="dxa"/>
            <w:tcBorders>
              <w:top w:val="nil"/>
              <w:left w:val="nil"/>
              <w:bottom w:val="single" w:sz="4" w:space="0" w:color="auto"/>
              <w:right w:val="nil"/>
            </w:tcBorders>
            <w:shd w:val="clear" w:color="auto" w:fill="auto"/>
            <w:vAlign w:val="center"/>
            <w:hideMark/>
          </w:tcPr>
          <w:p w14:paraId="292B9294"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3.</w:t>
            </w:r>
            <w:r w:rsidRPr="0028500C">
              <w:rPr>
                <w:rFonts w:eastAsia="Times New Roman"/>
                <w:b/>
                <w:bCs/>
                <w:color w:val="000000"/>
                <w:sz w:val="20"/>
                <w:szCs w:val="20"/>
                <w:lang w:eastAsia="pt-BR" w:bidi="ar-SA"/>
              </w:rPr>
              <w:t xml:space="preserve"> </w:t>
            </w:r>
            <w:r w:rsidRPr="0028500C">
              <w:rPr>
                <w:rFonts w:eastAsia="Times New Roman"/>
                <w:color w:val="000000"/>
                <w:sz w:val="20"/>
                <w:szCs w:val="20"/>
                <w:lang w:eastAsia="pt-BR" w:bidi="ar-SA"/>
              </w:rPr>
              <w:t>Apresentar estudo com cenários alternativos para continuidade das obras da Transnordestina até dezembro de 2021</w:t>
            </w:r>
          </w:p>
        </w:tc>
        <w:tc>
          <w:tcPr>
            <w:tcW w:w="2126" w:type="dxa"/>
            <w:tcBorders>
              <w:top w:val="nil"/>
              <w:left w:val="single" w:sz="4" w:space="0" w:color="auto"/>
              <w:bottom w:val="single" w:sz="4" w:space="0" w:color="auto"/>
              <w:right w:val="single" w:sz="8" w:space="0" w:color="auto"/>
            </w:tcBorders>
            <w:shd w:val="clear" w:color="auto" w:fill="auto"/>
            <w:vAlign w:val="center"/>
            <w:hideMark/>
          </w:tcPr>
          <w:p w14:paraId="07A3016D" w14:textId="77777777" w:rsidR="0028500C" w:rsidRPr="0028500C" w:rsidRDefault="0028500C" w:rsidP="0028500C">
            <w:pPr>
              <w:widowControl/>
              <w:autoSpaceDE/>
              <w:autoSpaceDN/>
              <w:rPr>
                <w:rFonts w:eastAsia="Times New Roman"/>
                <w:color w:val="000000"/>
                <w:sz w:val="18"/>
                <w:szCs w:val="18"/>
                <w:lang w:eastAsia="pt-BR" w:bidi="ar-SA"/>
              </w:rPr>
            </w:pPr>
            <w:r w:rsidRPr="0028500C">
              <w:rPr>
                <w:rFonts w:eastAsia="Times New Roman"/>
                <w:color w:val="000000"/>
                <w:sz w:val="18"/>
                <w:szCs w:val="18"/>
                <w:lang w:eastAsia="pt-BR" w:bidi="ar-SA"/>
              </w:rPr>
              <w:t> </w:t>
            </w:r>
          </w:p>
        </w:tc>
      </w:tr>
      <w:tr w:rsidR="0028500C" w:rsidRPr="0028500C" w14:paraId="18058CCF" w14:textId="77777777" w:rsidTr="0067629F">
        <w:trPr>
          <w:trHeight w:val="1020"/>
        </w:trPr>
        <w:tc>
          <w:tcPr>
            <w:tcW w:w="1611" w:type="dxa"/>
            <w:vMerge/>
            <w:tcBorders>
              <w:top w:val="nil"/>
              <w:left w:val="single" w:sz="8" w:space="0" w:color="auto"/>
              <w:bottom w:val="single" w:sz="8" w:space="0" w:color="000000"/>
              <w:right w:val="single" w:sz="4" w:space="0" w:color="auto"/>
            </w:tcBorders>
            <w:vAlign w:val="center"/>
            <w:hideMark/>
          </w:tcPr>
          <w:p w14:paraId="57187630" w14:textId="77777777" w:rsidR="0028500C" w:rsidRPr="0028500C" w:rsidRDefault="0028500C" w:rsidP="0028500C">
            <w:pPr>
              <w:widowControl/>
              <w:autoSpaceDE/>
              <w:autoSpaceDN/>
              <w:rPr>
                <w:rFonts w:eastAsia="Times New Roman"/>
                <w:sz w:val="20"/>
                <w:szCs w:val="20"/>
                <w:lang w:eastAsia="pt-BR" w:bidi="ar-SA"/>
              </w:rPr>
            </w:pPr>
          </w:p>
        </w:tc>
        <w:tc>
          <w:tcPr>
            <w:tcW w:w="1923" w:type="dxa"/>
            <w:tcBorders>
              <w:top w:val="nil"/>
              <w:left w:val="nil"/>
              <w:bottom w:val="single" w:sz="4" w:space="0" w:color="auto"/>
              <w:right w:val="single" w:sz="4" w:space="0" w:color="auto"/>
            </w:tcBorders>
            <w:shd w:val="clear" w:color="auto" w:fill="auto"/>
            <w:vAlign w:val="center"/>
            <w:hideMark/>
          </w:tcPr>
          <w:p w14:paraId="607AFFD4"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4. Ter 100% dos procedimentos de governança implementados nas participações societárias da Valec até dezembro de 2021</w:t>
            </w:r>
          </w:p>
        </w:tc>
        <w:tc>
          <w:tcPr>
            <w:tcW w:w="2268" w:type="dxa"/>
            <w:tcBorders>
              <w:top w:val="nil"/>
              <w:left w:val="nil"/>
              <w:bottom w:val="single" w:sz="4" w:space="0" w:color="auto"/>
              <w:right w:val="single" w:sz="4" w:space="0" w:color="auto"/>
            </w:tcBorders>
            <w:shd w:val="clear" w:color="auto" w:fill="auto"/>
            <w:vAlign w:val="center"/>
            <w:hideMark/>
          </w:tcPr>
          <w:p w14:paraId="69B55389"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4. Ter 100% dos procedimentos de governança implementados nas participações societárias da Valec até dezembro de 2021</w:t>
            </w:r>
          </w:p>
        </w:tc>
        <w:tc>
          <w:tcPr>
            <w:tcW w:w="1843" w:type="dxa"/>
            <w:tcBorders>
              <w:top w:val="nil"/>
              <w:left w:val="nil"/>
              <w:bottom w:val="single" w:sz="4" w:space="0" w:color="auto"/>
              <w:right w:val="nil"/>
            </w:tcBorders>
            <w:shd w:val="clear" w:color="auto" w:fill="auto"/>
            <w:vAlign w:val="center"/>
            <w:hideMark/>
          </w:tcPr>
          <w:p w14:paraId="6C52A1B5"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4. Implantar um modelo de governança para Participações Societárias até julho de 2021</w:t>
            </w:r>
          </w:p>
        </w:tc>
        <w:tc>
          <w:tcPr>
            <w:tcW w:w="2126" w:type="dxa"/>
            <w:tcBorders>
              <w:top w:val="nil"/>
              <w:left w:val="single" w:sz="4" w:space="0" w:color="auto"/>
              <w:bottom w:val="single" w:sz="4" w:space="0" w:color="auto"/>
              <w:right w:val="single" w:sz="8" w:space="0" w:color="auto"/>
            </w:tcBorders>
            <w:shd w:val="clear" w:color="auto" w:fill="auto"/>
            <w:vAlign w:val="center"/>
            <w:hideMark/>
          </w:tcPr>
          <w:p w14:paraId="39128F05" w14:textId="77777777" w:rsidR="0028500C" w:rsidRPr="0028500C" w:rsidRDefault="0028500C" w:rsidP="0028500C">
            <w:pPr>
              <w:widowControl/>
              <w:autoSpaceDE/>
              <w:autoSpaceDN/>
              <w:rPr>
                <w:rFonts w:eastAsia="Times New Roman"/>
                <w:color w:val="000000"/>
                <w:sz w:val="18"/>
                <w:szCs w:val="18"/>
                <w:lang w:eastAsia="pt-BR" w:bidi="ar-SA"/>
              </w:rPr>
            </w:pPr>
            <w:r w:rsidRPr="0028500C">
              <w:rPr>
                <w:rFonts w:eastAsia="Times New Roman"/>
                <w:color w:val="000000"/>
                <w:sz w:val="18"/>
                <w:szCs w:val="18"/>
                <w:lang w:eastAsia="pt-BR" w:bidi="ar-SA"/>
              </w:rPr>
              <w:t> </w:t>
            </w:r>
          </w:p>
        </w:tc>
      </w:tr>
      <w:tr w:rsidR="0028500C" w:rsidRPr="0028500C" w14:paraId="701AA4D4" w14:textId="77777777" w:rsidTr="0067629F">
        <w:trPr>
          <w:trHeight w:val="1020"/>
        </w:trPr>
        <w:tc>
          <w:tcPr>
            <w:tcW w:w="1611" w:type="dxa"/>
            <w:vMerge/>
            <w:tcBorders>
              <w:top w:val="nil"/>
              <w:left w:val="single" w:sz="8" w:space="0" w:color="auto"/>
              <w:bottom w:val="single" w:sz="8" w:space="0" w:color="000000"/>
              <w:right w:val="single" w:sz="4" w:space="0" w:color="auto"/>
            </w:tcBorders>
            <w:vAlign w:val="center"/>
            <w:hideMark/>
          </w:tcPr>
          <w:p w14:paraId="27F79A72" w14:textId="77777777" w:rsidR="0028500C" w:rsidRPr="0028500C" w:rsidRDefault="0028500C" w:rsidP="0028500C">
            <w:pPr>
              <w:widowControl/>
              <w:autoSpaceDE/>
              <w:autoSpaceDN/>
              <w:rPr>
                <w:rFonts w:eastAsia="Times New Roman"/>
                <w:sz w:val="20"/>
                <w:szCs w:val="20"/>
                <w:lang w:eastAsia="pt-BR" w:bidi="ar-SA"/>
              </w:rPr>
            </w:pPr>
          </w:p>
        </w:tc>
        <w:tc>
          <w:tcPr>
            <w:tcW w:w="1923" w:type="dxa"/>
            <w:tcBorders>
              <w:top w:val="nil"/>
              <w:left w:val="nil"/>
              <w:bottom w:val="single" w:sz="4" w:space="0" w:color="auto"/>
              <w:right w:val="single" w:sz="4" w:space="0" w:color="auto"/>
            </w:tcBorders>
            <w:shd w:val="clear" w:color="000000" w:fill="C5ADCB"/>
            <w:vAlign w:val="center"/>
            <w:hideMark/>
          </w:tcPr>
          <w:p w14:paraId="60ECD88F"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5. Apresentar 01 proposta de fomento para transporte de passageiros até dezembro de 2021</w:t>
            </w:r>
          </w:p>
        </w:tc>
        <w:tc>
          <w:tcPr>
            <w:tcW w:w="2268" w:type="dxa"/>
            <w:tcBorders>
              <w:top w:val="nil"/>
              <w:left w:val="nil"/>
              <w:bottom w:val="single" w:sz="4" w:space="0" w:color="auto"/>
              <w:right w:val="single" w:sz="4" w:space="0" w:color="auto"/>
            </w:tcBorders>
            <w:shd w:val="clear" w:color="000000" w:fill="C5ADCB"/>
            <w:vAlign w:val="center"/>
            <w:hideMark/>
          </w:tcPr>
          <w:p w14:paraId="793CDB49"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 xml:space="preserve">5. Apresentar 01 proposta de fomento para transporte de passageiros até dez 2021 </w:t>
            </w:r>
          </w:p>
        </w:tc>
        <w:tc>
          <w:tcPr>
            <w:tcW w:w="1843" w:type="dxa"/>
            <w:tcBorders>
              <w:top w:val="nil"/>
              <w:left w:val="nil"/>
              <w:bottom w:val="single" w:sz="4" w:space="0" w:color="auto"/>
              <w:right w:val="nil"/>
            </w:tcBorders>
            <w:shd w:val="clear" w:color="000000" w:fill="C5ADCB"/>
            <w:vAlign w:val="center"/>
            <w:hideMark/>
          </w:tcPr>
          <w:p w14:paraId="2EB56A98"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 </w:t>
            </w:r>
          </w:p>
        </w:tc>
        <w:tc>
          <w:tcPr>
            <w:tcW w:w="2126" w:type="dxa"/>
            <w:tcBorders>
              <w:top w:val="nil"/>
              <w:left w:val="single" w:sz="4" w:space="0" w:color="auto"/>
              <w:bottom w:val="single" w:sz="4" w:space="0" w:color="auto"/>
              <w:right w:val="single" w:sz="8" w:space="0" w:color="auto"/>
            </w:tcBorders>
            <w:shd w:val="clear" w:color="auto" w:fill="auto"/>
            <w:vAlign w:val="center"/>
            <w:hideMark/>
          </w:tcPr>
          <w:p w14:paraId="00C7126E" w14:textId="77777777" w:rsidR="0028500C" w:rsidRPr="0028500C" w:rsidRDefault="0028500C" w:rsidP="0028500C">
            <w:pPr>
              <w:widowControl/>
              <w:autoSpaceDE/>
              <w:autoSpaceDN/>
              <w:rPr>
                <w:rFonts w:eastAsia="Times New Roman"/>
                <w:color w:val="000000"/>
                <w:sz w:val="18"/>
                <w:szCs w:val="18"/>
                <w:lang w:eastAsia="pt-BR" w:bidi="ar-SA"/>
              </w:rPr>
            </w:pPr>
            <w:r w:rsidRPr="0028500C">
              <w:rPr>
                <w:rFonts w:eastAsia="Times New Roman"/>
                <w:color w:val="000000"/>
                <w:sz w:val="18"/>
                <w:szCs w:val="18"/>
                <w:lang w:eastAsia="pt-BR" w:bidi="ar-SA"/>
              </w:rPr>
              <w:t>A meta 1.1.5 foi paralisada por redefinição de mérito, sendo substituída pela meta 1.1.7.</w:t>
            </w:r>
          </w:p>
        </w:tc>
      </w:tr>
      <w:tr w:rsidR="0028500C" w:rsidRPr="0028500C" w14:paraId="3864FFD9" w14:textId="77777777" w:rsidTr="0067629F">
        <w:trPr>
          <w:trHeight w:val="1440"/>
        </w:trPr>
        <w:tc>
          <w:tcPr>
            <w:tcW w:w="1611" w:type="dxa"/>
            <w:vMerge/>
            <w:tcBorders>
              <w:top w:val="nil"/>
              <w:left w:val="single" w:sz="8" w:space="0" w:color="auto"/>
              <w:bottom w:val="single" w:sz="8" w:space="0" w:color="000000"/>
              <w:right w:val="single" w:sz="4" w:space="0" w:color="auto"/>
            </w:tcBorders>
            <w:vAlign w:val="center"/>
            <w:hideMark/>
          </w:tcPr>
          <w:p w14:paraId="493252ED" w14:textId="77777777" w:rsidR="0028500C" w:rsidRPr="0028500C" w:rsidRDefault="0028500C" w:rsidP="0028500C">
            <w:pPr>
              <w:widowControl/>
              <w:autoSpaceDE/>
              <w:autoSpaceDN/>
              <w:rPr>
                <w:rFonts w:eastAsia="Times New Roman"/>
                <w:sz w:val="20"/>
                <w:szCs w:val="20"/>
                <w:lang w:eastAsia="pt-BR" w:bidi="ar-SA"/>
              </w:rPr>
            </w:pPr>
          </w:p>
        </w:tc>
        <w:tc>
          <w:tcPr>
            <w:tcW w:w="1923" w:type="dxa"/>
            <w:tcBorders>
              <w:top w:val="nil"/>
              <w:left w:val="nil"/>
              <w:bottom w:val="single" w:sz="4" w:space="0" w:color="auto"/>
              <w:right w:val="single" w:sz="4" w:space="0" w:color="auto"/>
            </w:tcBorders>
            <w:shd w:val="clear" w:color="000000" w:fill="C5ADCB"/>
            <w:vAlign w:val="center"/>
            <w:hideMark/>
          </w:tcPr>
          <w:p w14:paraId="2AA4217F"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6. Garantir 100% da manutenção do trecho FIOL I até assinatura do contrato</w:t>
            </w:r>
          </w:p>
        </w:tc>
        <w:tc>
          <w:tcPr>
            <w:tcW w:w="2268" w:type="dxa"/>
            <w:tcBorders>
              <w:top w:val="nil"/>
              <w:left w:val="nil"/>
              <w:bottom w:val="single" w:sz="4" w:space="0" w:color="auto"/>
              <w:right w:val="single" w:sz="4" w:space="0" w:color="auto"/>
            </w:tcBorders>
            <w:shd w:val="clear" w:color="000000" w:fill="C5ADCB"/>
            <w:vAlign w:val="center"/>
            <w:hideMark/>
          </w:tcPr>
          <w:p w14:paraId="75A5BEFA"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 xml:space="preserve">6. Publicar Edital de Licitação / Iniciar a execução do contrato / 100% de km mantidos </w:t>
            </w:r>
          </w:p>
        </w:tc>
        <w:tc>
          <w:tcPr>
            <w:tcW w:w="1843" w:type="dxa"/>
            <w:tcBorders>
              <w:top w:val="nil"/>
              <w:left w:val="nil"/>
              <w:bottom w:val="single" w:sz="4" w:space="0" w:color="auto"/>
              <w:right w:val="nil"/>
            </w:tcBorders>
            <w:shd w:val="clear" w:color="000000" w:fill="C5ADCB"/>
            <w:vAlign w:val="center"/>
            <w:hideMark/>
          </w:tcPr>
          <w:p w14:paraId="729C85B6"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 </w:t>
            </w:r>
          </w:p>
        </w:tc>
        <w:tc>
          <w:tcPr>
            <w:tcW w:w="2126" w:type="dxa"/>
            <w:tcBorders>
              <w:top w:val="nil"/>
              <w:left w:val="single" w:sz="4" w:space="0" w:color="auto"/>
              <w:bottom w:val="single" w:sz="4" w:space="0" w:color="auto"/>
              <w:right w:val="single" w:sz="8" w:space="0" w:color="auto"/>
            </w:tcBorders>
            <w:shd w:val="clear" w:color="auto" w:fill="auto"/>
            <w:vAlign w:val="center"/>
            <w:hideMark/>
          </w:tcPr>
          <w:p w14:paraId="79C291EC" w14:textId="77777777" w:rsidR="0028500C" w:rsidRPr="0028500C" w:rsidRDefault="0028500C" w:rsidP="0028500C">
            <w:pPr>
              <w:widowControl/>
              <w:autoSpaceDE/>
              <w:autoSpaceDN/>
              <w:rPr>
                <w:rFonts w:eastAsia="Times New Roman"/>
                <w:color w:val="000000"/>
                <w:sz w:val="18"/>
                <w:szCs w:val="18"/>
                <w:lang w:eastAsia="pt-BR" w:bidi="ar-SA"/>
              </w:rPr>
            </w:pPr>
            <w:r w:rsidRPr="0028500C">
              <w:rPr>
                <w:rFonts w:eastAsia="Times New Roman"/>
                <w:color w:val="000000"/>
                <w:sz w:val="18"/>
                <w:szCs w:val="18"/>
                <w:lang w:eastAsia="pt-BR" w:bidi="ar-SA"/>
              </w:rPr>
              <w:t>A meta 1.1.6 fica suspensa em virtude do leilão da FIOL que dispensa a Valec de responsabilidades estratégicas. Ressalta-se que essa meta, no que tange ao ano de 2021, foi concluída antes da sua paralisação no período do PEI 2020-2024</w:t>
            </w:r>
          </w:p>
        </w:tc>
      </w:tr>
      <w:tr w:rsidR="0028500C" w:rsidRPr="0028500C" w14:paraId="55AB45BB" w14:textId="77777777" w:rsidTr="0067629F">
        <w:trPr>
          <w:trHeight w:val="1035"/>
        </w:trPr>
        <w:tc>
          <w:tcPr>
            <w:tcW w:w="1611" w:type="dxa"/>
            <w:vMerge/>
            <w:tcBorders>
              <w:top w:val="nil"/>
              <w:left w:val="single" w:sz="8" w:space="0" w:color="auto"/>
              <w:bottom w:val="single" w:sz="8" w:space="0" w:color="000000"/>
              <w:right w:val="single" w:sz="4" w:space="0" w:color="auto"/>
            </w:tcBorders>
            <w:vAlign w:val="center"/>
            <w:hideMark/>
          </w:tcPr>
          <w:p w14:paraId="15B7FE14" w14:textId="77777777" w:rsidR="0028500C" w:rsidRPr="0028500C" w:rsidRDefault="0028500C" w:rsidP="0028500C">
            <w:pPr>
              <w:widowControl/>
              <w:autoSpaceDE/>
              <w:autoSpaceDN/>
              <w:rPr>
                <w:rFonts w:eastAsia="Times New Roman"/>
                <w:sz w:val="20"/>
                <w:szCs w:val="20"/>
                <w:lang w:eastAsia="pt-BR" w:bidi="ar-SA"/>
              </w:rPr>
            </w:pPr>
          </w:p>
        </w:tc>
        <w:tc>
          <w:tcPr>
            <w:tcW w:w="1923" w:type="dxa"/>
            <w:tcBorders>
              <w:top w:val="nil"/>
              <w:left w:val="nil"/>
              <w:bottom w:val="single" w:sz="8" w:space="0" w:color="auto"/>
              <w:right w:val="single" w:sz="4" w:space="0" w:color="auto"/>
            </w:tcBorders>
            <w:shd w:val="clear" w:color="000000" w:fill="92D050"/>
            <w:vAlign w:val="center"/>
            <w:hideMark/>
          </w:tcPr>
          <w:p w14:paraId="4E9AFB5D"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7. Identificar 6 oportunidades de prestação de serviço de transporte ferroviário de passageiros até dezembro 2022</w:t>
            </w:r>
          </w:p>
        </w:tc>
        <w:tc>
          <w:tcPr>
            <w:tcW w:w="2268" w:type="dxa"/>
            <w:tcBorders>
              <w:top w:val="nil"/>
              <w:left w:val="nil"/>
              <w:bottom w:val="single" w:sz="8" w:space="0" w:color="auto"/>
              <w:right w:val="single" w:sz="4" w:space="0" w:color="auto"/>
            </w:tcBorders>
            <w:shd w:val="clear" w:color="000000" w:fill="92D050"/>
            <w:vAlign w:val="center"/>
            <w:hideMark/>
          </w:tcPr>
          <w:p w14:paraId="2AA9FE2C"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7. Identificar 3 oportunidades de prestação de serviço de transporte ferroviário de passageiros até dezembro 2021</w:t>
            </w:r>
          </w:p>
        </w:tc>
        <w:tc>
          <w:tcPr>
            <w:tcW w:w="1843" w:type="dxa"/>
            <w:tcBorders>
              <w:top w:val="nil"/>
              <w:left w:val="nil"/>
              <w:bottom w:val="single" w:sz="8" w:space="0" w:color="auto"/>
              <w:right w:val="nil"/>
            </w:tcBorders>
            <w:shd w:val="clear" w:color="000000" w:fill="92D050"/>
            <w:vAlign w:val="center"/>
            <w:hideMark/>
          </w:tcPr>
          <w:p w14:paraId="56889A3A"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6. Identificar oportunidades de transporte ferroviário de passageiros</w:t>
            </w:r>
          </w:p>
        </w:tc>
        <w:tc>
          <w:tcPr>
            <w:tcW w:w="2126" w:type="dxa"/>
            <w:tcBorders>
              <w:top w:val="nil"/>
              <w:left w:val="single" w:sz="4" w:space="0" w:color="auto"/>
              <w:bottom w:val="single" w:sz="8" w:space="0" w:color="auto"/>
              <w:right w:val="single" w:sz="8" w:space="0" w:color="auto"/>
            </w:tcBorders>
            <w:shd w:val="clear" w:color="auto" w:fill="auto"/>
            <w:vAlign w:val="center"/>
            <w:hideMark/>
          </w:tcPr>
          <w:p w14:paraId="51917E68" w14:textId="77777777" w:rsidR="0028500C" w:rsidRPr="0028500C" w:rsidRDefault="0028500C" w:rsidP="0028500C">
            <w:pPr>
              <w:widowControl/>
              <w:autoSpaceDE/>
              <w:autoSpaceDN/>
              <w:rPr>
                <w:rFonts w:eastAsia="Times New Roman"/>
                <w:color w:val="000000"/>
                <w:sz w:val="18"/>
                <w:szCs w:val="18"/>
                <w:lang w:eastAsia="pt-BR" w:bidi="ar-SA"/>
              </w:rPr>
            </w:pPr>
            <w:r w:rsidRPr="0028500C">
              <w:rPr>
                <w:rFonts w:eastAsia="Times New Roman"/>
                <w:color w:val="000000"/>
                <w:sz w:val="18"/>
                <w:szCs w:val="18"/>
                <w:lang w:eastAsia="pt-BR" w:bidi="ar-SA"/>
              </w:rPr>
              <w:t> </w:t>
            </w:r>
          </w:p>
        </w:tc>
      </w:tr>
      <w:tr w:rsidR="0028500C" w:rsidRPr="0028500C" w14:paraId="1324D60F" w14:textId="77777777" w:rsidTr="0067629F">
        <w:trPr>
          <w:trHeight w:val="1530"/>
        </w:trPr>
        <w:tc>
          <w:tcPr>
            <w:tcW w:w="1611" w:type="dxa"/>
            <w:vMerge w:val="restart"/>
            <w:tcBorders>
              <w:top w:val="nil"/>
              <w:left w:val="single" w:sz="8" w:space="0" w:color="auto"/>
              <w:bottom w:val="single" w:sz="8" w:space="0" w:color="000000"/>
              <w:right w:val="single" w:sz="4" w:space="0" w:color="auto"/>
            </w:tcBorders>
            <w:shd w:val="clear" w:color="auto" w:fill="auto"/>
            <w:vAlign w:val="center"/>
            <w:hideMark/>
          </w:tcPr>
          <w:p w14:paraId="269EEAA1" w14:textId="77777777" w:rsidR="0028500C" w:rsidRPr="0028500C" w:rsidRDefault="0028500C" w:rsidP="0028500C">
            <w:pPr>
              <w:widowControl/>
              <w:autoSpaceDE/>
              <w:autoSpaceDN/>
              <w:jc w:val="center"/>
              <w:rPr>
                <w:rFonts w:eastAsia="Times New Roman"/>
                <w:color w:val="000000"/>
                <w:sz w:val="20"/>
                <w:szCs w:val="20"/>
                <w:lang w:eastAsia="pt-BR" w:bidi="ar-SA"/>
              </w:rPr>
            </w:pPr>
            <w:r w:rsidRPr="0028500C">
              <w:rPr>
                <w:rFonts w:eastAsia="Times New Roman"/>
                <w:color w:val="000000"/>
                <w:sz w:val="20"/>
                <w:szCs w:val="20"/>
                <w:lang w:eastAsia="pt-BR" w:bidi="ar-SA"/>
              </w:rPr>
              <w:t>Objetivo 1.2 - Buscar reconhecimento como empresa pública</w:t>
            </w:r>
          </w:p>
        </w:tc>
        <w:tc>
          <w:tcPr>
            <w:tcW w:w="1923" w:type="dxa"/>
            <w:tcBorders>
              <w:top w:val="nil"/>
              <w:left w:val="nil"/>
              <w:bottom w:val="single" w:sz="4" w:space="0" w:color="auto"/>
              <w:right w:val="single" w:sz="4" w:space="0" w:color="auto"/>
            </w:tcBorders>
            <w:shd w:val="clear" w:color="auto" w:fill="auto"/>
            <w:vAlign w:val="center"/>
            <w:hideMark/>
          </w:tcPr>
          <w:p w14:paraId="399BF835"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 xml:space="preserve">1. Ampliar o alcance nas redes sociais até dezembro de 2024: Ingressar no Facebook – Instagram – 40.000 seguidores; Twitter: </w:t>
            </w:r>
            <w:r w:rsidRPr="0028500C">
              <w:rPr>
                <w:rFonts w:eastAsia="Times New Roman"/>
                <w:color w:val="000000"/>
                <w:sz w:val="20"/>
                <w:szCs w:val="20"/>
                <w:lang w:eastAsia="pt-BR" w:bidi="ar-SA"/>
              </w:rPr>
              <w:lastRenderedPageBreak/>
              <w:t>40.000 seguidores; e LinkedIn - 30.000 seguidores</w:t>
            </w:r>
          </w:p>
        </w:tc>
        <w:tc>
          <w:tcPr>
            <w:tcW w:w="2268" w:type="dxa"/>
            <w:tcBorders>
              <w:top w:val="nil"/>
              <w:left w:val="nil"/>
              <w:bottom w:val="single" w:sz="4" w:space="0" w:color="auto"/>
              <w:right w:val="single" w:sz="4" w:space="0" w:color="auto"/>
            </w:tcBorders>
            <w:shd w:val="clear" w:color="auto" w:fill="auto"/>
            <w:vAlign w:val="center"/>
            <w:hideMark/>
          </w:tcPr>
          <w:p w14:paraId="2F8DDB4D"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lastRenderedPageBreak/>
              <w:t xml:space="preserve">1. Ampliar o alcance nas redes sociais até dez/2021: Facebook: 2000 seguidores; Instagram: 10.000 seguidores; Twitter: 10.000 seguidores; e </w:t>
            </w:r>
            <w:r w:rsidRPr="0028500C">
              <w:rPr>
                <w:rFonts w:eastAsia="Times New Roman"/>
                <w:color w:val="000000"/>
                <w:sz w:val="20"/>
                <w:szCs w:val="20"/>
                <w:lang w:eastAsia="pt-BR" w:bidi="ar-SA"/>
              </w:rPr>
              <w:lastRenderedPageBreak/>
              <w:t>Linkedin: 10.000 seguidores</w:t>
            </w:r>
          </w:p>
        </w:tc>
        <w:tc>
          <w:tcPr>
            <w:tcW w:w="1843" w:type="dxa"/>
            <w:tcBorders>
              <w:top w:val="nil"/>
              <w:left w:val="nil"/>
              <w:bottom w:val="single" w:sz="4" w:space="0" w:color="auto"/>
              <w:right w:val="nil"/>
            </w:tcBorders>
            <w:shd w:val="clear" w:color="auto" w:fill="auto"/>
            <w:vAlign w:val="center"/>
            <w:hideMark/>
          </w:tcPr>
          <w:p w14:paraId="7022EED6"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lastRenderedPageBreak/>
              <w:t>1. Implementar metodologia para monitoramento e melhoria da imagem institucional até julho de 2021</w:t>
            </w:r>
          </w:p>
        </w:tc>
        <w:tc>
          <w:tcPr>
            <w:tcW w:w="2126" w:type="dxa"/>
            <w:tcBorders>
              <w:top w:val="nil"/>
              <w:left w:val="single" w:sz="4" w:space="0" w:color="auto"/>
              <w:bottom w:val="single" w:sz="4" w:space="0" w:color="auto"/>
              <w:right w:val="single" w:sz="8" w:space="0" w:color="auto"/>
            </w:tcBorders>
            <w:shd w:val="clear" w:color="auto" w:fill="auto"/>
            <w:vAlign w:val="center"/>
            <w:hideMark/>
          </w:tcPr>
          <w:p w14:paraId="07318E18" w14:textId="77777777" w:rsidR="0028500C" w:rsidRPr="0028500C" w:rsidRDefault="0028500C" w:rsidP="0028500C">
            <w:pPr>
              <w:widowControl/>
              <w:autoSpaceDE/>
              <w:autoSpaceDN/>
              <w:rPr>
                <w:rFonts w:eastAsia="Times New Roman"/>
                <w:color w:val="000000"/>
                <w:sz w:val="18"/>
                <w:szCs w:val="18"/>
                <w:lang w:eastAsia="pt-BR" w:bidi="ar-SA"/>
              </w:rPr>
            </w:pPr>
            <w:r w:rsidRPr="0028500C">
              <w:rPr>
                <w:rFonts w:eastAsia="Times New Roman"/>
                <w:color w:val="000000"/>
                <w:sz w:val="18"/>
                <w:szCs w:val="18"/>
                <w:lang w:eastAsia="pt-BR" w:bidi="ar-SA"/>
              </w:rPr>
              <w:t> </w:t>
            </w:r>
          </w:p>
        </w:tc>
      </w:tr>
      <w:tr w:rsidR="0028500C" w:rsidRPr="0028500C" w14:paraId="7B0E261A" w14:textId="77777777" w:rsidTr="0067629F">
        <w:trPr>
          <w:trHeight w:val="765"/>
        </w:trPr>
        <w:tc>
          <w:tcPr>
            <w:tcW w:w="1611" w:type="dxa"/>
            <w:vMerge/>
            <w:tcBorders>
              <w:top w:val="nil"/>
              <w:left w:val="single" w:sz="8" w:space="0" w:color="auto"/>
              <w:bottom w:val="single" w:sz="8" w:space="0" w:color="000000"/>
              <w:right w:val="single" w:sz="4" w:space="0" w:color="auto"/>
            </w:tcBorders>
            <w:vAlign w:val="center"/>
            <w:hideMark/>
          </w:tcPr>
          <w:p w14:paraId="0734BECA" w14:textId="77777777" w:rsidR="0028500C" w:rsidRPr="0028500C" w:rsidRDefault="0028500C" w:rsidP="0028500C">
            <w:pPr>
              <w:widowControl/>
              <w:autoSpaceDE/>
              <w:autoSpaceDN/>
              <w:rPr>
                <w:rFonts w:eastAsia="Times New Roman"/>
                <w:color w:val="000000"/>
                <w:sz w:val="20"/>
                <w:szCs w:val="20"/>
                <w:lang w:eastAsia="pt-BR" w:bidi="ar-SA"/>
              </w:rPr>
            </w:pPr>
          </w:p>
        </w:tc>
        <w:tc>
          <w:tcPr>
            <w:tcW w:w="1923" w:type="dxa"/>
            <w:tcBorders>
              <w:top w:val="nil"/>
              <w:left w:val="nil"/>
              <w:bottom w:val="single" w:sz="4" w:space="0" w:color="auto"/>
              <w:right w:val="single" w:sz="4" w:space="0" w:color="auto"/>
            </w:tcBorders>
            <w:shd w:val="clear" w:color="auto" w:fill="auto"/>
            <w:vAlign w:val="center"/>
            <w:hideMark/>
          </w:tcPr>
          <w:p w14:paraId="0D880DD9"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2. Participar como convidado protagonista em 12 eventos e/ou seminários por ano</w:t>
            </w:r>
          </w:p>
        </w:tc>
        <w:tc>
          <w:tcPr>
            <w:tcW w:w="2268" w:type="dxa"/>
            <w:tcBorders>
              <w:top w:val="nil"/>
              <w:left w:val="nil"/>
              <w:bottom w:val="single" w:sz="4" w:space="0" w:color="auto"/>
              <w:right w:val="single" w:sz="4" w:space="0" w:color="auto"/>
            </w:tcBorders>
            <w:shd w:val="clear" w:color="auto" w:fill="auto"/>
            <w:vAlign w:val="center"/>
            <w:hideMark/>
          </w:tcPr>
          <w:p w14:paraId="3787F5BB"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2. Participar como convidado protagonista em 12 eventos e/ou seminários</w:t>
            </w:r>
          </w:p>
        </w:tc>
        <w:tc>
          <w:tcPr>
            <w:tcW w:w="1843" w:type="dxa"/>
            <w:tcBorders>
              <w:top w:val="nil"/>
              <w:left w:val="nil"/>
              <w:bottom w:val="single" w:sz="4" w:space="0" w:color="auto"/>
              <w:right w:val="nil"/>
            </w:tcBorders>
            <w:shd w:val="clear" w:color="auto" w:fill="auto"/>
            <w:vAlign w:val="center"/>
            <w:hideMark/>
          </w:tcPr>
          <w:p w14:paraId="75EACDBD"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1. Implementar metodologia para monitoramento e melhoria da imagem institucional até julho de 2021</w:t>
            </w:r>
          </w:p>
        </w:tc>
        <w:tc>
          <w:tcPr>
            <w:tcW w:w="2126" w:type="dxa"/>
            <w:tcBorders>
              <w:top w:val="nil"/>
              <w:left w:val="single" w:sz="4" w:space="0" w:color="auto"/>
              <w:bottom w:val="single" w:sz="4" w:space="0" w:color="auto"/>
              <w:right w:val="single" w:sz="8" w:space="0" w:color="auto"/>
            </w:tcBorders>
            <w:shd w:val="clear" w:color="auto" w:fill="auto"/>
            <w:vAlign w:val="center"/>
            <w:hideMark/>
          </w:tcPr>
          <w:p w14:paraId="4BE3BE73" w14:textId="77777777" w:rsidR="0028500C" w:rsidRPr="0028500C" w:rsidRDefault="0028500C" w:rsidP="0028500C">
            <w:pPr>
              <w:widowControl/>
              <w:autoSpaceDE/>
              <w:autoSpaceDN/>
              <w:rPr>
                <w:rFonts w:eastAsia="Times New Roman"/>
                <w:color w:val="000000"/>
                <w:sz w:val="18"/>
                <w:szCs w:val="18"/>
                <w:lang w:eastAsia="pt-BR" w:bidi="ar-SA"/>
              </w:rPr>
            </w:pPr>
            <w:r w:rsidRPr="0028500C">
              <w:rPr>
                <w:rFonts w:eastAsia="Times New Roman"/>
                <w:color w:val="000000"/>
                <w:sz w:val="18"/>
                <w:szCs w:val="18"/>
                <w:lang w:eastAsia="pt-BR" w:bidi="ar-SA"/>
              </w:rPr>
              <w:t> </w:t>
            </w:r>
          </w:p>
        </w:tc>
      </w:tr>
      <w:tr w:rsidR="0028500C" w:rsidRPr="0028500C" w14:paraId="4454DF0A" w14:textId="77777777" w:rsidTr="0067629F">
        <w:trPr>
          <w:trHeight w:val="765"/>
        </w:trPr>
        <w:tc>
          <w:tcPr>
            <w:tcW w:w="1611" w:type="dxa"/>
            <w:vMerge/>
            <w:tcBorders>
              <w:top w:val="nil"/>
              <w:left w:val="single" w:sz="8" w:space="0" w:color="auto"/>
              <w:bottom w:val="single" w:sz="8" w:space="0" w:color="000000"/>
              <w:right w:val="single" w:sz="4" w:space="0" w:color="auto"/>
            </w:tcBorders>
            <w:vAlign w:val="center"/>
            <w:hideMark/>
          </w:tcPr>
          <w:p w14:paraId="68D8BBF6" w14:textId="77777777" w:rsidR="0028500C" w:rsidRPr="0028500C" w:rsidRDefault="0028500C" w:rsidP="0028500C">
            <w:pPr>
              <w:widowControl/>
              <w:autoSpaceDE/>
              <w:autoSpaceDN/>
              <w:rPr>
                <w:rFonts w:eastAsia="Times New Roman"/>
                <w:color w:val="000000"/>
                <w:sz w:val="20"/>
                <w:szCs w:val="20"/>
                <w:lang w:eastAsia="pt-BR" w:bidi="ar-SA"/>
              </w:rPr>
            </w:pPr>
          </w:p>
        </w:tc>
        <w:tc>
          <w:tcPr>
            <w:tcW w:w="1923" w:type="dxa"/>
            <w:tcBorders>
              <w:top w:val="nil"/>
              <w:left w:val="nil"/>
              <w:bottom w:val="single" w:sz="4" w:space="0" w:color="auto"/>
              <w:right w:val="single" w:sz="4" w:space="0" w:color="auto"/>
            </w:tcBorders>
            <w:shd w:val="clear" w:color="auto" w:fill="auto"/>
            <w:vAlign w:val="center"/>
            <w:hideMark/>
          </w:tcPr>
          <w:p w14:paraId="5DAFCAC5"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3. Promover 4 eventos presenciais ou online por ano</w:t>
            </w:r>
          </w:p>
        </w:tc>
        <w:tc>
          <w:tcPr>
            <w:tcW w:w="2268" w:type="dxa"/>
            <w:tcBorders>
              <w:top w:val="nil"/>
              <w:left w:val="nil"/>
              <w:bottom w:val="single" w:sz="4" w:space="0" w:color="auto"/>
              <w:right w:val="single" w:sz="4" w:space="0" w:color="auto"/>
            </w:tcBorders>
            <w:shd w:val="clear" w:color="auto" w:fill="auto"/>
            <w:vAlign w:val="center"/>
            <w:hideMark/>
          </w:tcPr>
          <w:p w14:paraId="3C02D1D1"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3. Promover 4 eventos presenciais ou online em 2021</w:t>
            </w:r>
          </w:p>
        </w:tc>
        <w:tc>
          <w:tcPr>
            <w:tcW w:w="1843" w:type="dxa"/>
            <w:tcBorders>
              <w:top w:val="nil"/>
              <w:left w:val="nil"/>
              <w:bottom w:val="single" w:sz="4" w:space="0" w:color="auto"/>
              <w:right w:val="nil"/>
            </w:tcBorders>
            <w:shd w:val="clear" w:color="auto" w:fill="auto"/>
            <w:vAlign w:val="center"/>
            <w:hideMark/>
          </w:tcPr>
          <w:p w14:paraId="53380821"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1. Implementar metodologia para monitoramento e melhoria da imagem institucional até julho de 2021</w:t>
            </w:r>
          </w:p>
        </w:tc>
        <w:tc>
          <w:tcPr>
            <w:tcW w:w="2126" w:type="dxa"/>
            <w:tcBorders>
              <w:top w:val="nil"/>
              <w:left w:val="single" w:sz="4" w:space="0" w:color="auto"/>
              <w:bottom w:val="single" w:sz="4" w:space="0" w:color="auto"/>
              <w:right w:val="single" w:sz="8" w:space="0" w:color="auto"/>
            </w:tcBorders>
            <w:shd w:val="clear" w:color="auto" w:fill="auto"/>
            <w:vAlign w:val="center"/>
            <w:hideMark/>
          </w:tcPr>
          <w:p w14:paraId="279CC596" w14:textId="77777777" w:rsidR="0028500C" w:rsidRPr="0028500C" w:rsidRDefault="0028500C" w:rsidP="0028500C">
            <w:pPr>
              <w:widowControl/>
              <w:autoSpaceDE/>
              <w:autoSpaceDN/>
              <w:rPr>
                <w:rFonts w:eastAsia="Times New Roman"/>
                <w:color w:val="000000"/>
                <w:sz w:val="18"/>
                <w:szCs w:val="18"/>
                <w:lang w:eastAsia="pt-BR" w:bidi="ar-SA"/>
              </w:rPr>
            </w:pPr>
            <w:r w:rsidRPr="0028500C">
              <w:rPr>
                <w:rFonts w:eastAsia="Times New Roman"/>
                <w:color w:val="000000"/>
                <w:sz w:val="18"/>
                <w:szCs w:val="18"/>
                <w:lang w:eastAsia="pt-BR" w:bidi="ar-SA"/>
              </w:rPr>
              <w:t> </w:t>
            </w:r>
          </w:p>
        </w:tc>
      </w:tr>
      <w:tr w:rsidR="0028500C" w:rsidRPr="0028500C" w14:paraId="50CF5071" w14:textId="77777777" w:rsidTr="0067629F">
        <w:trPr>
          <w:trHeight w:val="780"/>
        </w:trPr>
        <w:tc>
          <w:tcPr>
            <w:tcW w:w="1611" w:type="dxa"/>
            <w:vMerge/>
            <w:tcBorders>
              <w:top w:val="nil"/>
              <w:left w:val="single" w:sz="8" w:space="0" w:color="auto"/>
              <w:bottom w:val="single" w:sz="8" w:space="0" w:color="000000"/>
              <w:right w:val="single" w:sz="4" w:space="0" w:color="auto"/>
            </w:tcBorders>
            <w:vAlign w:val="center"/>
            <w:hideMark/>
          </w:tcPr>
          <w:p w14:paraId="06FD4A6B" w14:textId="77777777" w:rsidR="0028500C" w:rsidRPr="0028500C" w:rsidRDefault="0028500C" w:rsidP="0028500C">
            <w:pPr>
              <w:widowControl/>
              <w:autoSpaceDE/>
              <w:autoSpaceDN/>
              <w:rPr>
                <w:rFonts w:eastAsia="Times New Roman"/>
                <w:color w:val="000000"/>
                <w:sz w:val="20"/>
                <w:szCs w:val="20"/>
                <w:lang w:eastAsia="pt-BR" w:bidi="ar-SA"/>
              </w:rPr>
            </w:pPr>
          </w:p>
        </w:tc>
        <w:tc>
          <w:tcPr>
            <w:tcW w:w="1923" w:type="dxa"/>
            <w:tcBorders>
              <w:top w:val="nil"/>
              <w:left w:val="nil"/>
              <w:bottom w:val="single" w:sz="8" w:space="0" w:color="auto"/>
              <w:right w:val="single" w:sz="4" w:space="0" w:color="auto"/>
            </w:tcBorders>
            <w:shd w:val="clear" w:color="auto" w:fill="auto"/>
            <w:vAlign w:val="center"/>
            <w:hideMark/>
          </w:tcPr>
          <w:p w14:paraId="3E1C9ECC"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4. Promover a inserção anual em 05 pautas nas principais mídias especializadas</w:t>
            </w:r>
          </w:p>
        </w:tc>
        <w:tc>
          <w:tcPr>
            <w:tcW w:w="2268" w:type="dxa"/>
            <w:tcBorders>
              <w:top w:val="nil"/>
              <w:left w:val="nil"/>
              <w:bottom w:val="single" w:sz="8" w:space="0" w:color="auto"/>
              <w:right w:val="single" w:sz="4" w:space="0" w:color="auto"/>
            </w:tcBorders>
            <w:shd w:val="clear" w:color="auto" w:fill="auto"/>
            <w:vAlign w:val="center"/>
            <w:hideMark/>
          </w:tcPr>
          <w:p w14:paraId="6B04CD3A"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 xml:space="preserve">4. Promover a inserção anual em 05 pautas nas principais mídias especializadas  </w:t>
            </w:r>
          </w:p>
        </w:tc>
        <w:tc>
          <w:tcPr>
            <w:tcW w:w="1843" w:type="dxa"/>
            <w:tcBorders>
              <w:top w:val="nil"/>
              <w:left w:val="nil"/>
              <w:bottom w:val="nil"/>
              <w:right w:val="nil"/>
            </w:tcBorders>
            <w:shd w:val="clear" w:color="auto" w:fill="auto"/>
            <w:vAlign w:val="center"/>
            <w:hideMark/>
          </w:tcPr>
          <w:p w14:paraId="32421119"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1. Implementar metodologia para monitoramento e melhoria da imagem institucional até julho de 2021</w:t>
            </w:r>
          </w:p>
        </w:tc>
        <w:tc>
          <w:tcPr>
            <w:tcW w:w="2126" w:type="dxa"/>
            <w:tcBorders>
              <w:top w:val="nil"/>
              <w:left w:val="single" w:sz="4" w:space="0" w:color="auto"/>
              <w:bottom w:val="single" w:sz="4" w:space="0" w:color="auto"/>
              <w:right w:val="single" w:sz="8" w:space="0" w:color="auto"/>
            </w:tcBorders>
            <w:shd w:val="clear" w:color="auto" w:fill="auto"/>
            <w:vAlign w:val="center"/>
            <w:hideMark/>
          </w:tcPr>
          <w:p w14:paraId="2B96BCA2" w14:textId="77777777" w:rsidR="0028500C" w:rsidRPr="0028500C" w:rsidRDefault="0028500C" w:rsidP="0028500C">
            <w:pPr>
              <w:widowControl/>
              <w:autoSpaceDE/>
              <w:autoSpaceDN/>
              <w:rPr>
                <w:rFonts w:eastAsia="Times New Roman"/>
                <w:color w:val="000000"/>
                <w:sz w:val="18"/>
                <w:szCs w:val="18"/>
                <w:lang w:eastAsia="pt-BR" w:bidi="ar-SA"/>
              </w:rPr>
            </w:pPr>
            <w:r w:rsidRPr="0028500C">
              <w:rPr>
                <w:rFonts w:eastAsia="Times New Roman"/>
                <w:color w:val="000000"/>
                <w:sz w:val="18"/>
                <w:szCs w:val="18"/>
                <w:lang w:eastAsia="pt-BR" w:bidi="ar-SA"/>
              </w:rPr>
              <w:t> </w:t>
            </w:r>
          </w:p>
        </w:tc>
      </w:tr>
      <w:tr w:rsidR="0028500C" w:rsidRPr="0028500C" w14:paraId="5AD03B0A" w14:textId="77777777" w:rsidTr="0067629F">
        <w:trPr>
          <w:trHeight w:val="1020"/>
        </w:trPr>
        <w:tc>
          <w:tcPr>
            <w:tcW w:w="1611" w:type="dxa"/>
            <w:vMerge w:val="restart"/>
            <w:tcBorders>
              <w:top w:val="nil"/>
              <w:left w:val="single" w:sz="8" w:space="0" w:color="auto"/>
              <w:bottom w:val="single" w:sz="4" w:space="0" w:color="auto"/>
              <w:right w:val="single" w:sz="4" w:space="0" w:color="auto"/>
            </w:tcBorders>
            <w:shd w:val="clear" w:color="auto" w:fill="auto"/>
            <w:vAlign w:val="center"/>
            <w:hideMark/>
          </w:tcPr>
          <w:p w14:paraId="3C4DE4BB" w14:textId="77777777" w:rsidR="0028500C" w:rsidRPr="0028500C" w:rsidRDefault="0028500C" w:rsidP="0028500C">
            <w:pPr>
              <w:widowControl/>
              <w:autoSpaceDE/>
              <w:autoSpaceDN/>
              <w:jc w:val="center"/>
              <w:rPr>
                <w:rFonts w:eastAsia="Times New Roman"/>
                <w:color w:val="000000"/>
                <w:sz w:val="20"/>
                <w:szCs w:val="20"/>
                <w:lang w:eastAsia="pt-BR" w:bidi="ar-SA"/>
              </w:rPr>
            </w:pPr>
            <w:r w:rsidRPr="0028500C">
              <w:rPr>
                <w:rFonts w:eastAsia="Times New Roman"/>
                <w:color w:val="000000"/>
                <w:sz w:val="20"/>
                <w:szCs w:val="20"/>
                <w:lang w:eastAsia="pt-BR" w:bidi="ar-SA"/>
              </w:rPr>
              <w:t>Objetivo 2.1 - Desenvolver produtos/serviços visando geração de receitas e fomentar pesquisa de mercado na área logística</w:t>
            </w:r>
          </w:p>
        </w:tc>
        <w:tc>
          <w:tcPr>
            <w:tcW w:w="1923" w:type="dxa"/>
            <w:tcBorders>
              <w:top w:val="nil"/>
              <w:left w:val="nil"/>
              <w:bottom w:val="single" w:sz="4" w:space="0" w:color="auto"/>
              <w:right w:val="single" w:sz="4" w:space="0" w:color="auto"/>
            </w:tcBorders>
            <w:shd w:val="clear" w:color="auto" w:fill="auto"/>
            <w:vAlign w:val="center"/>
            <w:hideMark/>
          </w:tcPr>
          <w:p w14:paraId="134CA012"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1. Atingir o faturamento de R$17 milhões de receita operacional a partir de junho de 2020 até dezembro de 2022</w:t>
            </w:r>
          </w:p>
        </w:tc>
        <w:tc>
          <w:tcPr>
            <w:tcW w:w="2268" w:type="dxa"/>
            <w:tcBorders>
              <w:top w:val="nil"/>
              <w:left w:val="nil"/>
              <w:bottom w:val="single" w:sz="4" w:space="0" w:color="auto"/>
              <w:right w:val="single" w:sz="4" w:space="0" w:color="auto"/>
            </w:tcBorders>
            <w:shd w:val="clear" w:color="auto" w:fill="auto"/>
            <w:vAlign w:val="center"/>
            <w:hideMark/>
          </w:tcPr>
          <w:p w14:paraId="7DA5869C"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1. Atingir o faturamento de R$6 milhões de receita operacional até dezembro de 2021</w:t>
            </w:r>
          </w:p>
        </w:tc>
        <w:tc>
          <w:tcPr>
            <w:tcW w:w="1843" w:type="dxa"/>
            <w:tcBorders>
              <w:top w:val="single" w:sz="8" w:space="0" w:color="auto"/>
              <w:left w:val="nil"/>
              <w:bottom w:val="nil"/>
              <w:right w:val="nil"/>
            </w:tcBorders>
            <w:shd w:val="clear" w:color="000000" w:fill="92D050"/>
            <w:vAlign w:val="center"/>
            <w:hideMark/>
          </w:tcPr>
          <w:p w14:paraId="522A1817"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5. Firmar e executar contratos comerciais</w:t>
            </w:r>
            <w:r w:rsidRPr="0028500C">
              <w:rPr>
                <w:rFonts w:eastAsia="Times New Roman"/>
                <w:color w:val="000000"/>
                <w:sz w:val="20"/>
                <w:szCs w:val="20"/>
                <w:lang w:eastAsia="pt-BR" w:bidi="ar-SA"/>
              </w:rPr>
              <w:br/>
              <w:t>6. Promover a delegação de terminais ou áreas</w:t>
            </w:r>
            <w:r w:rsidRPr="0028500C">
              <w:rPr>
                <w:rFonts w:eastAsia="Times New Roman"/>
                <w:color w:val="000000"/>
                <w:sz w:val="20"/>
                <w:szCs w:val="20"/>
                <w:lang w:eastAsia="pt-BR" w:bidi="ar-SA"/>
              </w:rPr>
              <w:br/>
              <w:t>12. Obter receita das outorgas ferroviárias</w:t>
            </w:r>
          </w:p>
        </w:tc>
        <w:tc>
          <w:tcPr>
            <w:tcW w:w="2126"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33EB094A" w14:textId="77777777" w:rsidR="0028500C" w:rsidRPr="0028500C" w:rsidRDefault="0028500C" w:rsidP="0028500C">
            <w:pPr>
              <w:widowControl/>
              <w:autoSpaceDE/>
              <w:autoSpaceDN/>
              <w:rPr>
                <w:rFonts w:eastAsia="Times New Roman"/>
                <w:color w:val="000000"/>
                <w:sz w:val="18"/>
                <w:szCs w:val="18"/>
                <w:lang w:eastAsia="pt-BR" w:bidi="ar-SA"/>
              </w:rPr>
            </w:pPr>
            <w:r w:rsidRPr="0028500C">
              <w:rPr>
                <w:rFonts w:eastAsia="Times New Roman"/>
                <w:color w:val="000000"/>
                <w:sz w:val="18"/>
                <w:szCs w:val="18"/>
                <w:lang w:eastAsia="pt-BR" w:bidi="ar-SA"/>
              </w:rPr>
              <w:t> </w:t>
            </w:r>
          </w:p>
        </w:tc>
      </w:tr>
      <w:tr w:rsidR="0028500C" w:rsidRPr="0028500C" w14:paraId="4CE56088" w14:textId="77777777" w:rsidTr="0067629F">
        <w:trPr>
          <w:trHeight w:val="1440"/>
        </w:trPr>
        <w:tc>
          <w:tcPr>
            <w:tcW w:w="1611" w:type="dxa"/>
            <w:vMerge/>
            <w:tcBorders>
              <w:top w:val="nil"/>
              <w:left w:val="single" w:sz="8" w:space="0" w:color="auto"/>
              <w:bottom w:val="single" w:sz="4" w:space="0" w:color="auto"/>
              <w:right w:val="single" w:sz="4" w:space="0" w:color="auto"/>
            </w:tcBorders>
            <w:vAlign w:val="center"/>
            <w:hideMark/>
          </w:tcPr>
          <w:p w14:paraId="0175E2B3" w14:textId="77777777" w:rsidR="0028500C" w:rsidRPr="0028500C" w:rsidRDefault="0028500C" w:rsidP="0028500C">
            <w:pPr>
              <w:widowControl/>
              <w:autoSpaceDE/>
              <w:autoSpaceDN/>
              <w:rPr>
                <w:rFonts w:eastAsia="Times New Roman"/>
                <w:color w:val="000000"/>
                <w:sz w:val="20"/>
                <w:szCs w:val="20"/>
                <w:lang w:eastAsia="pt-BR" w:bidi="ar-SA"/>
              </w:rPr>
            </w:pPr>
          </w:p>
        </w:tc>
        <w:tc>
          <w:tcPr>
            <w:tcW w:w="1923" w:type="dxa"/>
            <w:tcBorders>
              <w:top w:val="nil"/>
              <w:left w:val="nil"/>
              <w:bottom w:val="single" w:sz="4" w:space="0" w:color="auto"/>
              <w:right w:val="single" w:sz="4" w:space="0" w:color="auto"/>
            </w:tcBorders>
            <w:shd w:val="clear" w:color="auto" w:fill="auto"/>
            <w:vAlign w:val="center"/>
            <w:hideMark/>
          </w:tcPr>
          <w:p w14:paraId="2286AE5E"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2. Lançar 9 novos produtos para o mercado até dezembro de 2022</w:t>
            </w:r>
          </w:p>
        </w:tc>
        <w:tc>
          <w:tcPr>
            <w:tcW w:w="2268" w:type="dxa"/>
            <w:tcBorders>
              <w:top w:val="nil"/>
              <w:left w:val="nil"/>
              <w:bottom w:val="single" w:sz="4" w:space="0" w:color="auto"/>
              <w:right w:val="single" w:sz="4" w:space="0" w:color="auto"/>
            </w:tcBorders>
            <w:shd w:val="clear" w:color="auto" w:fill="auto"/>
            <w:vAlign w:val="center"/>
            <w:hideMark/>
          </w:tcPr>
          <w:p w14:paraId="23DC0E9D"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2. Lançar 4 novos produtos para o mercado até dezembro de 2021</w:t>
            </w:r>
          </w:p>
        </w:tc>
        <w:tc>
          <w:tcPr>
            <w:tcW w:w="1843" w:type="dxa"/>
            <w:tcBorders>
              <w:top w:val="single" w:sz="4" w:space="0" w:color="auto"/>
              <w:left w:val="nil"/>
              <w:bottom w:val="single" w:sz="4" w:space="0" w:color="auto"/>
              <w:right w:val="single" w:sz="4" w:space="0" w:color="auto"/>
            </w:tcBorders>
            <w:shd w:val="clear" w:color="000000" w:fill="FFFF00"/>
            <w:vAlign w:val="center"/>
            <w:hideMark/>
          </w:tcPr>
          <w:p w14:paraId="4C29606F"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1. Implementar o Funil de Inovação</w:t>
            </w:r>
            <w:r w:rsidRPr="0028500C">
              <w:rPr>
                <w:rFonts w:eastAsia="Times New Roman"/>
                <w:color w:val="000000"/>
                <w:sz w:val="20"/>
                <w:szCs w:val="20"/>
                <w:lang w:eastAsia="pt-BR" w:bidi="ar-SA"/>
              </w:rPr>
              <w:br/>
              <w:t>2. Estruturar e lançar produtos comerciais</w:t>
            </w:r>
          </w:p>
        </w:tc>
        <w:tc>
          <w:tcPr>
            <w:tcW w:w="2126" w:type="dxa"/>
            <w:tcBorders>
              <w:top w:val="nil"/>
              <w:left w:val="nil"/>
              <w:bottom w:val="single" w:sz="4" w:space="0" w:color="auto"/>
              <w:right w:val="single" w:sz="8" w:space="0" w:color="auto"/>
            </w:tcBorders>
            <w:shd w:val="clear" w:color="auto" w:fill="auto"/>
            <w:vAlign w:val="center"/>
            <w:hideMark/>
          </w:tcPr>
          <w:p w14:paraId="6A6557C7" w14:textId="77777777" w:rsidR="0028500C" w:rsidRPr="0028500C" w:rsidRDefault="0028500C" w:rsidP="0028500C">
            <w:pPr>
              <w:widowControl/>
              <w:autoSpaceDE/>
              <w:autoSpaceDN/>
              <w:rPr>
                <w:rFonts w:eastAsia="Times New Roman"/>
                <w:color w:val="000000"/>
                <w:sz w:val="18"/>
                <w:szCs w:val="18"/>
                <w:lang w:eastAsia="pt-BR" w:bidi="ar-SA"/>
              </w:rPr>
            </w:pPr>
            <w:r w:rsidRPr="0028500C">
              <w:rPr>
                <w:rFonts w:eastAsia="Times New Roman"/>
                <w:color w:val="000000"/>
                <w:sz w:val="18"/>
                <w:szCs w:val="18"/>
                <w:lang w:eastAsia="pt-BR" w:bidi="ar-SA"/>
              </w:rPr>
              <w:t>As comparações “De” “Para” da iniciativa 2.1.2 está no Anexo do Plano de Negócios 2021, disponível em:  https://www.valec.gov.br/documentos/governanca/Plano_de%20_Negocios_2021_Agosto_2021-v3.3.pdf</w:t>
            </w:r>
          </w:p>
        </w:tc>
      </w:tr>
      <w:tr w:rsidR="0028500C" w:rsidRPr="0028500C" w14:paraId="01270EEE" w14:textId="77777777" w:rsidTr="0067629F">
        <w:trPr>
          <w:trHeight w:val="765"/>
        </w:trPr>
        <w:tc>
          <w:tcPr>
            <w:tcW w:w="1611" w:type="dxa"/>
            <w:vMerge/>
            <w:tcBorders>
              <w:top w:val="nil"/>
              <w:left w:val="single" w:sz="8" w:space="0" w:color="auto"/>
              <w:bottom w:val="single" w:sz="4" w:space="0" w:color="auto"/>
              <w:right w:val="single" w:sz="4" w:space="0" w:color="auto"/>
            </w:tcBorders>
            <w:vAlign w:val="center"/>
            <w:hideMark/>
          </w:tcPr>
          <w:p w14:paraId="16B5292F" w14:textId="77777777" w:rsidR="0028500C" w:rsidRPr="0028500C" w:rsidRDefault="0028500C" w:rsidP="0028500C">
            <w:pPr>
              <w:widowControl/>
              <w:autoSpaceDE/>
              <w:autoSpaceDN/>
              <w:rPr>
                <w:rFonts w:eastAsia="Times New Roman"/>
                <w:color w:val="000000"/>
                <w:sz w:val="20"/>
                <w:szCs w:val="20"/>
                <w:lang w:eastAsia="pt-BR" w:bidi="ar-SA"/>
              </w:rPr>
            </w:pPr>
          </w:p>
        </w:tc>
        <w:tc>
          <w:tcPr>
            <w:tcW w:w="1923" w:type="dxa"/>
            <w:tcBorders>
              <w:top w:val="nil"/>
              <w:left w:val="nil"/>
              <w:bottom w:val="single" w:sz="4" w:space="0" w:color="auto"/>
              <w:right w:val="single" w:sz="4" w:space="0" w:color="auto"/>
            </w:tcBorders>
            <w:shd w:val="clear" w:color="auto" w:fill="auto"/>
            <w:vAlign w:val="center"/>
            <w:hideMark/>
          </w:tcPr>
          <w:p w14:paraId="3EF9B981"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3. Delegar 9 terminais ou áreas até dezembro de 2022</w:t>
            </w:r>
          </w:p>
        </w:tc>
        <w:tc>
          <w:tcPr>
            <w:tcW w:w="2268" w:type="dxa"/>
            <w:tcBorders>
              <w:top w:val="nil"/>
              <w:left w:val="nil"/>
              <w:bottom w:val="single" w:sz="4" w:space="0" w:color="auto"/>
              <w:right w:val="single" w:sz="4" w:space="0" w:color="auto"/>
            </w:tcBorders>
            <w:shd w:val="clear" w:color="auto" w:fill="auto"/>
            <w:vAlign w:val="center"/>
            <w:hideMark/>
          </w:tcPr>
          <w:p w14:paraId="0D4E6401"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3. Delegar 3 terminais ou áreas até dezembro de 2021</w:t>
            </w:r>
          </w:p>
        </w:tc>
        <w:tc>
          <w:tcPr>
            <w:tcW w:w="1843" w:type="dxa"/>
            <w:tcBorders>
              <w:top w:val="nil"/>
              <w:left w:val="nil"/>
              <w:bottom w:val="single" w:sz="4" w:space="0" w:color="auto"/>
              <w:right w:val="single" w:sz="4" w:space="0" w:color="auto"/>
            </w:tcBorders>
            <w:shd w:val="clear" w:color="000000" w:fill="92D050"/>
            <w:vAlign w:val="center"/>
            <w:hideMark/>
          </w:tcPr>
          <w:p w14:paraId="135F418C"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6. Promover a delegação de terminais ou áreas</w:t>
            </w:r>
          </w:p>
        </w:tc>
        <w:tc>
          <w:tcPr>
            <w:tcW w:w="2126" w:type="dxa"/>
            <w:tcBorders>
              <w:top w:val="nil"/>
              <w:left w:val="nil"/>
              <w:bottom w:val="single" w:sz="4" w:space="0" w:color="auto"/>
              <w:right w:val="single" w:sz="8" w:space="0" w:color="auto"/>
            </w:tcBorders>
            <w:shd w:val="clear" w:color="auto" w:fill="auto"/>
            <w:vAlign w:val="center"/>
            <w:hideMark/>
          </w:tcPr>
          <w:p w14:paraId="486260C4" w14:textId="77777777" w:rsidR="0028500C" w:rsidRPr="0028500C" w:rsidRDefault="0028500C" w:rsidP="0028500C">
            <w:pPr>
              <w:widowControl/>
              <w:autoSpaceDE/>
              <w:autoSpaceDN/>
              <w:rPr>
                <w:rFonts w:eastAsia="Times New Roman"/>
                <w:color w:val="000000"/>
                <w:sz w:val="18"/>
                <w:szCs w:val="18"/>
                <w:lang w:eastAsia="pt-BR" w:bidi="ar-SA"/>
              </w:rPr>
            </w:pPr>
            <w:r w:rsidRPr="0028500C">
              <w:rPr>
                <w:rFonts w:eastAsia="Times New Roman"/>
                <w:color w:val="000000"/>
                <w:sz w:val="18"/>
                <w:szCs w:val="18"/>
                <w:lang w:eastAsia="pt-BR" w:bidi="ar-SA"/>
              </w:rPr>
              <w:t> </w:t>
            </w:r>
          </w:p>
        </w:tc>
      </w:tr>
      <w:tr w:rsidR="0028500C" w:rsidRPr="0028500C" w14:paraId="645F047D" w14:textId="77777777" w:rsidTr="0067629F">
        <w:trPr>
          <w:trHeight w:val="765"/>
        </w:trPr>
        <w:tc>
          <w:tcPr>
            <w:tcW w:w="1611" w:type="dxa"/>
            <w:vMerge/>
            <w:tcBorders>
              <w:top w:val="nil"/>
              <w:left w:val="single" w:sz="8" w:space="0" w:color="auto"/>
              <w:bottom w:val="single" w:sz="4" w:space="0" w:color="auto"/>
              <w:right w:val="single" w:sz="4" w:space="0" w:color="auto"/>
            </w:tcBorders>
            <w:vAlign w:val="center"/>
            <w:hideMark/>
          </w:tcPr>
          <w:p w14:paraId="52747E20" w14:textId="77777777" w:rsidR="0028500C" w:rsidRPr="0028500C" w:rsidRDefault="0028500C" w:rsidP="0028500C">
            <w:pPr>
              <w:widowControl/>
              <w:autoSpaceDE/>
              <w:autoSpaceDN/>
              <w:rPr>
                <w:rFonts w:eastAsia="Times New Roman"/>
                <w:color w:val="000000"/>
                <w:sz w:val="20"/>
                <w:szCs w:val="20"/>
                <w:lang w:eastAsia="pt-BR" w:bidi="ar-SA"/>
              </w:rPr>
            </w:pPr>
          </w:p>
        </w:tc>
        <w:tc>
          <w:tcPr>
            <w:tcW w:w="1923" w:type="dxa"/>
            <w:tcBorders>
              <w:top w:val="nil"/>
              <w:left w:val="nil"/>
              <w:bottom w:val="single" w:sz="4" w:space="0" w:color="auto"/>
              <w:right w:val="single" w:sz="4" w:space="0" w:color="auto"/>
            </w:tcBorders>
            <w:shd w:val="clear" w:color="auto" w:fill="auto"/>
            <w:vAlign w:val="center"/>
            <w:hideMark/>
          </w:tcPr>
          <w:p w14:paraId="5A177E45"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4. Pesquisar 10 segmentos de mercado até dezembro de 2022</w:t>
            </w:r>
          </w:p>
        </w:tc>
        <w:tc>
          <w:tcPr>
            <w:tcW w:w="2268" w:type="dxa"/>
            <w:tcBorders>
              <w:top w:val="nil"/>
              <w:left w:val="nil"/>
              <w:bottom w:val="single" w:sz="4" w:space="0" w:color="auto"/>
              <w:right w:val="single" w:sz="4" w:space="0" w:color="auto"/>
            </w:tcBorders>
            <w:shd w:val="clear" w:color="auto" w:fill="auto"/>
            <w:vAlign w:val="center"/>
            <w:hideMark/>
          </w:tcPr>
          <w:p w14:paraId="525410E8"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4. Pesquisar 4 segmentos de mercado até dezembro de 2021</w:t>
            </w:r>
          </w:p>
        </w:tc>
        <w:tc>
          <w:tcPr>
            <w:tcW w:w="1843" w:type="dxa"/>
            <w:tcBorders>
              <w:top w:val="nil"/>
              <w:left w:val="nil"/>
              <w:bottom w:val="single" w:sz="4" w:space="0" w:color="auto"/>
              <w:right w:val="single" w:sz="4" w:space="0" w:color="auto"/>
            </w:tcBorders>
            <w:shd w:val="clear" w:color="000000" w:fill="92D050"/>
            <w:vAlign w:val="center"/>
            <w:hideMark/>
          </w:tcPr>
          <w:p w14:paraId="7E196713"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7. Mapear e realizar pesquisa nos nichos de mercado de interesse da Valec</w:t>
            </w:r>
          </w:p>
        </w:tc>
        <w:tc>
          <w:tcPr>
            <w:tcW w:w="2126" w:type="dxa"/>
            <w:tcBorders>
              <w:top w:val="nil"/>
              <w:left w:val="nil"/>
              <w:bottom w:val="single" w:sz="4" w:space="0" w:color="auto"/>
              <w:right w:val="single" w:sz="8" w:space="0" w:color="auto"/>
            </w:tcBorders>
            <w:shd w:val="clear" w:color="auto" w:fill="auto"/>
            <w:vAlign w:val="center"/>
            <w:hideMark/>
          </w:tcPr>
          <w:p w14:paraId="2F943917" w14:textId="77777777" w:rsidR="0028500C" w:rsidRPr="0028500C" w:rsidRDefault="0028500C" w:rsidP="0028500C">
            <w:pPr>
              <w:widowControl/>
              <w:autoSpaceDE/>
              <w:autoSpaceDN/>
              <w:rPr>
                <w:rFonts w:eastAsia="Times New Roman"/>
                <w:color w:val="000000"/>
                <w:sz w:val="18"/>
                <w:szCs w:val="18"/>
                <w:lang w:eastAsia="pt-BR" w:bidi="ar-SA"/>
              </w:rPr>
            </w:pPr>
            <w:r w:rsidRPr="0028500C">
              <w:rPr>
                <w:rFonts w:eastAsia="Times New Roman"/>
                <w:color w:val="000000"/>
                <w:sz w:val="18"/>
                <w:szCs w:val="18"/>
                <w:lang w:eastAsia="pt-BR" w:bidi="ar-SA"/>
              </w:rPr>
              <w:t> </w:t>
            </w:r>
          </w:p>
        </w:tc>
      </w:tr>
      <w:tr w:rsidR="0028500C" w:rsidRPr="0028500C" w14:paraId="489DCCED" w14:textId="77777777" w:rsidTr="0067629F">
        <w:trPr>
          <w:trHeight w:val="1785"/>
        </w:trPr>
        <w:tc>
          <w:tcPr>
            <w:tcW w:w="1611" w:type="dxa"/>
            <w:vMerge/>
            <w:tcBorders>
              <w:top w:val="nil"/>
              <w:left w:val="single" w:sz="8" w:space="0" w:color="auto"/>
              <w:bottom w:val="single" w:sz="4" w:space="0" w:color="auto"/>
              <w:right w:val="single" w:sz="4" w:space="0" w:color="auto"/>
            </w:tcBorders>
            <w:vAlign w:val="center"/>
            <w:hideMark/>
          </w:tcPr>
          <w:p w14:paraId="2C3C2726" w14:textId="77777777" w:rsidR="0028500C" w:rsidRPr="0028500C" w:rsidRDefault="0028500C" w:rsidP="0028500C">
            <w:pPr>
              <w:widowControl/>
              <w:autoSpaceDE/>
              <w:autoSpaceDN/>
              <w:rPr>
                <w:rFonts w:eastAsia="Times New Roman"/>
                <w:color w:val="000000"/>
                <w:sz w:val="20"/>
                <w:szCs w:val="20"/>
                <w:lang w:eastAsia="pt-BR" w:bidi="ar-SA"/>
              </w:rPr>
            </w:pPr>
          </w:p>
        </w:tc>
        <w:tc>
          <w:tcPr>
            <w:tcW w:w="1923" w:type="dxa"/>
            <w:tcBorders>
              <w:top w:val="nil"/>
              <w:left w:val="nil"/>
              <w:bottom w:val="single" w:sz="4" w:space="0" w:color="auto"/>
              <w:right w:val="single" w:sz="4" w:space="0" w:color="auto"/>
            </w:tcBorders>
            <w:shd w:val="clear" w:color="auto" w:fill="auto"/>
            <w:vAlign w:val="center"/>
            <w:hideMark/>
          </w:tcPr>
          <w:p w14:paraId="1AB69A53"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5. Implantar 100% do Documento de Transporte Eletrônico (DTE) até junho de 2022</w:t>
            </w:r>
          </w:p>
        </w:tc>
        <w:tc>
          <w:tcPr>
            <w:tcW w:w="2268" w:type="dxa"/>
            <w:tcBorders>
              <w:top w:val="nil"/>
              <w:left w:val="nil"/>
              <w:bottom w:val="single" w:sz="4" w:space="0" w:color="auto"/>
              <w:right w:val="single" w:sz="4" w:space="0" w:color="auto"/>
            </w:tcBorders>
            <w:shd w:val="clear" w:color="000000" w:fill="C5ADCB"/>
            <w:vAlign w:val="center"/>
            <w:hideMark/>
          </w:tcPr>
          <w:p w14:paraId="6A4B1A7F"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 xml:space="preserve">5. Desenvolver estudos e instrumentos para subsidiar a implantação do DTe até junho de 2022 </w:t>
            </w:r>
          </w:p>
        </w:tc>
        <w:tc>
          <w:tcPr>
            <w:tcW w:w="1843" w:type="dxa"/>
            <w:tcBorders>
              <w:top w:val="nil"/>
              <w:left w:val="nil"/>
              <w:bottom w:val="single" w:sz="4" w:space="0" w:color="auto"/>
              <w:right w:val="single" w:sz="4" w:space="0" w:color="auto"/>
            </w:tcBorders>
            <w:shd w:val="clear" w:color="000000" w:fill="C5ADCB"/>
            <w:vAlign w:val="center"/>
            <w:hideMark/>
          </w:tcPr>
          <w:p w14:paraId="5E446AC1" w14:textId="77777777" w:rsidR="0028500C" w:rsidRPr="0028500C" w:rsidRDefault="0028500C" w:rsidP="0028500C">
            <w:pPr>
              <w:widowControl/>
              <w:autoSpaceDE/>
              <w:autoSpaceDN/>
              <w:rPr>
                <w:rFonts w:eastAsia="Times New Roman"/>
                <w:sz w:val="20"/>
                <w:szCs w:val="20"/>
                <w:lang w:eastAsia="pt-BR" w:bidi="ar-SA"/>
              </w:rPr>
            </w:pPr>
            <w:r w:rsidRPr="0028500C">
              <w:rPr>
                <w:rFonts w:eastAsia="Times New Roman"/>
                <w:sz w:val="20"/>
                <w:szCs w:val="20"/>
                <w:lang w:eastAsia="pt-BR" w:bidi="ar-SA"/>
              </w:rPr>
              <w:t>9. Estruturar a modelagem para concessão do Dte</w:t>
            </w:r>
            <w:r w:rsidRPr="0028500C">
              <w:rPr>
                <w:rFonts w:eastAsia="Times New Roman"/>
                <w:sz w:val="20"/>
                <w:szCs w:val="20"/>
                <w:lang w:eastAsia="pt-BR" w:bidi="ar-SA"/>
              </w:rPr>
              <w:br/>
              <w:t>10. Desenvolver inteligência de mercado para o Dte</w:t>
            </w:r>
            <w:r w:rsidRPr="0028500C">
              <w:rPr>
                <w:rFonts w:eastAsia="Times New Roman"/>
                <w:sz w:val="20"/>
                <w:szCs w:val="20"/>
                <w:lang w:eastAsia="pt-BR" w:bidi="ar-SA"/>
              </w:rPr>
              <w:br/>
              <w:t>11. Acordo de Cooperação Técnica com MInfra</w:t>
            </w:r>
          </w:p>
        </w:tc>
        <w:tc>
          <w:tcPr>
            <w:tcW w:w="2126" w:type="dxa"/>
            <w:tcBorders>
              <w:top w:val="nil"/>
              <w:left w:val="nil"/>
              <w:bottom w:val="single" w:sz="4" w:space="0" w:color="auto"/>
              <w:right w:val="single" w:sz="8" w:space="0" w:color="auto"/>
            </w:tcBorders>
            <w:shd w:val="clear" w:color="auto" w:fill="auto"/>
            <w:vAlign w:val="center"/>
            <w:hideMark/>
          </w:tcPr>
          <w:p w14:paraId="01C0482E" w14:textId="77777777" w:rsidR="0028500C" w:rsidRPr="0028500C" w:rsidRDefault="0028500C" w:rsidP="0028500C">
            <w:pPr>
              <w:widowControl/>
              <w:autoSpaceDE/>
              <w:autoSpaceDN/>
              <w:rPr>
                <w:rFonts w:eastAsia="Times New Roman"/>
                <w:color w:val="000000"/>
                <w:sz w:val="18"/>
                <w:szCs w:val="18"/>
                <w:lang w:eastAsia="pt-BR" w:bidi="ar-SA"/>
              </w:rPr>
            </w:pPr>
            <w:r w:rsidRPr="0028500C">
              <w:rPr>
                <w:rFonts w:eastAsia="Times New Roman"/>
                <w:color w:val="000000"/>
                <w:sz w:val="18"/>
                <w:szCs w:val="18"/>
                <w:lang w:eastAsia="pt-BR" w:bidi="ar-SA"/>
              </w:rPr>
              <w:t>A meta 2.1.5 e as iniciativas 2.1.9, 2.1.10 e 2.1.11 foram paralisadas tendo em vista a orientação do MInfra de que o projeto seja conduzido pelo SERPRO.</w:t>
            </w:r>
          </w:p>
        </w:tc>
      </w:tr>
      <w:tr w:rsidR="0028500C" w:rsidRPr="0028500C" w14:paraId="36FBAD79" w14:textId="77777777" w:rsidTr="0067629F">
        <w:trPr>
          <w:trHeight w:val="765"/>
        </w:trPr>
        <w:tc>
          <w:tcPr>
            <w:tcW w:w="1611" w:type="dxa"/>
            <w:vMerge/>
            <w:tcBorders>
              <w:top w:val="nil"/>
              <w:left w:val="single" w:sz="8" w:space="0" w:color="auto"/>
              <w:bottom w:val="single" w:sz="4" w:space="0" w:color="auto"/>
              <w:right w:val="single" w:sz="4" w:space="0" w:color="auto"/>
            </w:tcBorders>
            <w:vAlign w:val="center"/>
            <w:hideMark/>
          </w:tcPr>
          <w:p w14:paraId="68CB6D20" w14:textId="77777777" w:rsidR="0028500C" w:rsidRPr="0028500C" w:rsidRDefault="0028500C" w:rsidP="0028500C">
            <w:pPr>
              <w:widowControl/>
              <w:autoSpaceDE/>
              <w:autoSpaceDN/>
              <w:rPr>
                <w:rFonts w:eastAsia="Times New Roman"/>
                <w:color w:val="000000"/>
                <w:sz w:val="20"/>
                <w:szCs w:val="20"/>
                <w:lang w:eastAsia="pt-BR" w:bidi="ar-SA"/>
              </w:rPr>
            </w:pPr>
          </w:p>
        </w:tc>
        <w:tc>
          <w:tcPr>
            <w:tcW w:w="1923" w:type="dxa"/>
            <w:tcBorders>
              <w:top w:val="nil"/>
              <w:left w:val="nil"/>
              <w:bottom w:val="single" w:sz="4" w:space="0" w:color="auto"/>
              <w:right w:val="single" w:sz="4" w:space="0" w:color="auto"/>
            </w:tcBorders>
            <w:shd w:val="clear" w:color="auto" w:fill="auto"/>
            <w:vAlign w:val="center"/>
            <w:hideMark/>
          </w:tcPr>
          <w:p w14:paraId="5F264AFA"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6. Promover 05 benchmarkings de mercado até dezembro de 2021</w:t>
            </w:r>
          </w:p>
        </w:tc>
        <w:tc>
          <w:tcPr>
            <w:tcW w:w="2268" w:type="dxa"/>
            <w:tcBorders>
              <w:top w:val="nil"/>
              <w:left w:val="nil"/>
              <w:bottom w:val="single" w:sz="4" w:space="0" w:color="auto"/>
              <w:right w:val="single" w:sz="4" w:space="0" w:color="auto"/>
            </w:tcBorders>
            <w:shd w:val="clear" w:color="auto" w:fill="auto"/>
            <w:vAlign w:val="center"/>
            <w:hideMark/>
          </w:tcPr>
          <w:p w14:paraId="5B17374E"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6. Promover 05 benchmarkings de mercado até dezembro de 2021</w:t>
            </w:r>
          </w:p>
        </w:tc>
        <w:tc>
          <w:tcPr>
            <w:tcW w:w="1843" w:type="dxa"/>
            <w:tcBorders>
              <w:top w:val="nil"/>
              <w:left w:val="nil"/>
              <w:bottom w:val="single" w:sz="4" w:space="0" w:color="auto"/>
              <w:right w:val="single" w:sz="4" w:space="0" w:color="auto"/>
            </w:tcBorders>
            <w:shd w:val="clear" w:color="auto" w:fill="auto"/>
            <w:vAlign w:val="center"/>
            <w:hideMark/>
          </w:tcPr>
          <w:p w14:paraId="24B1870D"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8. Mapear e realizar benchmarking com empresas públicas que possuam aderência à realidade da Valec</w:t>
            </w:r>
          </w:p>
        </w:tc>
        <w:tc>
          <w:tcPr>
            <w:tcW w:w="2126" w:type="dxa"/>
            <w:tcBorders>
              <w:top w:val="nil"/>
              <w:left w:val="nil"/>
              <w:bottom w:val="single" w:sz="4" w:space="0" w:color="auto"/>
              <w:right w:val="single" w:sz="8" w:space="0" w:color="auto"/>
            </w:tcBorders>
            <w:shd w:val="clear" w:color="auto" w:fill="auto"/>
            <w:vAlign w:val="center"/>
            <w:hideMark/>
          </w:tcPr>
          <w:p w14:paraId="4996BDC9" w14:textId="77777777" w:rsidR="0028500C" w:rsidRPr="0028500C" w:rsidRDefault="0028500C" w:rsidP="0028500C">
            <w:pPr>
              <w:widowControl/>
              <w:autoSpaceDE/>
              <w:autoSpaceDN/>
              <w:rPr>
                <w:rFonts w:eastAsia="Times New Roman"/>
                <w:color w:val="000000"/>
                <w:sz w:val="18"/>
                <w:szCs w:val="18"/>
                <w:lang w:eastAsia="pt-BR" w:bidi="ar-SA"/>
              </w:rPr>
            </w:pPr>
            <w:r w:rsidRPr="0028500C">
              <w:rPr>
                <w:rFonts w:eastAsia="Times New Roman"/>
                <w:color w:val="000000"/>
                <w:sz w:val="18"/>
                <w:szCs w:val="18"/>
                <w:lang w:eastAsia="pt-BR" w:bidi="ar-SA"/>
              </w:rPr>
              <w:t> </w:t>
            </w:r>
          </w:p>
        </w:tc>
      </w:tr>
      <w:tr w:rsidR="0028500C" w:rsidRPr="0028500C" w14:paraId="6AC4EEAB" w14:textId="77777777" w:rsidTr="0067629F">
        <w:trPr>
          <w:trHeight w:val="780"/>
        </w:trPr>
        <w:tc>
          <w:tcPr>
            <w:tcW w:w="1611" w:type="dxa"/>
            <w:vMerge/>
            <w:tcBorders>
              <w:top w:val="nil"/>
              <w:left w:val="single" w:sz="8" w:space="0" w:color="auto"/>
              <w:bottom w:val="single" w:sz="4" w:space="0" w:color="auto"/>
              <w:right w:val="single" w:sz="4" w:space="0" w:color="auto"/>
            </w:tcBorders>
            <w:vAlign w:val="center"/>
            <w:hideMark/>
          </w:tcPr>
          <w:p w14:paraId="703AD28C" w14:textId="77777777" w:rsidR="0028500C" w:rsidRPr="0028500C" w:rsidRDefault="0028500C" w:rsidP="0028500C">
            <w:pPr>
              <w:widowControl/>
              <w:autoSpaceDE/>
              <w:autoSpaceDN/>
              <w:rPr>
                <w:rFonts w:eastAsia="Times New Roman"/>
                <w:color w:val="000000"/>
                <w:sz w:val="20"/>
                <w:szCs w:val="20"/>
                <w:lang w:eastAsia="pt-BR" w:bidi="ar-SA"/>
              </w:rPr>
            </w:pPr>
          </w:p>
        </w:tc>
        <w:tc>
          <w:tcPr>
            <w:tcW w:w="1923" w:type="dxa"/>
            <w:tcBorders>
              <w:top w:val="nil"/>
              <w:left w:val="nil"/>
              <w:bottom w:val="nil"/>
              <w:right w:val="single" w:sz="4" w:space="0" w:color="auto"/>
            </w:tcBorders>
            <w:shd w:val="clear" w:color="000000" w:fill="C5ADCB"/>
            <w:vAlign w:val="center"/>
            <w:hideMark/>
          </w:tcPr>
          <w:p w14:paraId="1BAC2BAA"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7. Implantar 100% do Documento de Transporte Eletrônico (DTE) até junho de 2022</w:t>
            </w:r>
          </w:p>
        </w:tc>
        <w:tc>
          <w:tcPr>
            <w:tcW w:w="2268" w:type="dxa"/>
            <w:tcBorders>
              <w:top w:val="nil"/>
              <w:left w:val="nil"/>
              <w:bottom w:val="nil"/>
              <w:right w:val="single" w:sz="4" w:space="0" w:color="auto"/>
            </w:tcBorders>
            <w:shd w:val="clear" w:color="000000" w:fill="C5ADCB"/>
            <w:vAlign w:val="center"/>
            <w:hideMark/>
          </w:tcPr>
          <w:p w14:paraId="3713D454"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 xml:space="preserve">7. Realizar operação assistida do Documento de Transporte Eletrônico (DTe) até dezembro de 2021 </w:t>
            </w:r>
          </w:p>
        </w:tc>
        <w:tc>
          <w:tcPr>
            <w:tcW w:w="1843" w:type="dxa"/>
            <w:tcBorders>
              <w:top w:val="nil"/>
              <w:left w:val="nil"/>
              <w:bottom w:val="nil"/>
              <w:right w:val="nil"/>
            </w:tcBorders>
            <w:shd w:val="clear" w:color="000000" w:fill="C5ADCB"/>
            <w:vAlign w:val="center"/>
            <w:hideMark/>
          </w:tcPr>
          <w:p w14:paraId="0EC55D81"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 </w:t>
            </w:r>
          </w:p>
        </w:tc>
        <w:tc>
          <w:tcPr>
            <w:tcW w:w="2126" w:type="dxa"/>
            <w:tcBorders>
              <w:top w:val="nil"/>
              <w:left w:val="single" w:sz="4" w:space="0" w:color="auto"/>
              <w:bottom w:val="single" w:sz="4" w:space="0" w:color="auto"/>
              <w:right w:val="single" w:sz="8" w:space="0" w:color="auto"/>
            </w:tcBorders>
            <w:shd w:val="clear" w:color="auto" w:fill="auto"/>
            <w:vAlign w:val="center"/>
            <w:hideMark/>
          </w:tcPr>
          <w:p w14:paraId="44A0E02D" w14:textId="77777777" w:rsidR="0028500C" w:rsidRPr="0028500C" w:rsidRDefault="0028500C" w:rsidP="0028500C">
            <w:pPr>
              <w:widowControl/>
              <w:autoSpaceDE/>
              <w:autoSpaceDN/>
              <w:rPr>
                <w:rFonts w:eastAsia="Times New Roman"/>
                <w:color w:val="000000"/>
                <w:sz w:val="18"/>
                <w:szCs w:val="18"/>
                <w:lang w:eastAsia="pt-BR" w:bidi="ar-SA"/>
              </w:rPr>
            </w:pPr>
            <w:r w:rsidRPr="0028500C">
              <w:rPr>
                <w:rFonts w:eastAsia="Times New Roman"/>
                <w:color w:val="000000"/>
                <w:sz w:val="18"/>
                <w:szCs w:val="18"/>
                <w:lang w:eastAsia="pt-BR" w:bidi="ar-SA"/>
              </w:rPr>
              <w:t>A meta 2.1.7 foi paralisada tendo em vista a orientação do MInfra de que o projeto seja conduzido pelo SERPRO.</w:t>
            </w:r>
          </w:p>
        </w:tc>
      </w:tr>
      <w:tr w:rsidR="0028500C" w:rsidRPr="0028500C" w14:paraId="278B7C57" w14:textId="77777777" w:rsidTr="0067629F">
        <w:trPr>
          <w:trHeight w:val="1440"/>
        </w:trPr>
        <w:tc>
          <w:tcPr>
            <w:tcW w:w="1611"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20050B89" w14:textId="77777777" w:rsidR="0028500C" w:rsidRPr="0028500C" w:rsidRDefault="0028500C" w:rsidP="0028500C">
            <w:pPr>
              <w:widowControl/>
              <w:autoSpaceDE/>
              <w:autoSpaceDN/>
              <w:jc w:val="center"/>
              <w:rPr>
                <w:rFonts w:eastAsia="Times New Roman"/>
                <w:color w:val="000000"/>
                <w:sz w:val="20"/>
                <w:szCs w:val="20"/>
                <w:lang w:eastAsia="pt-BR" w:bidi="ar-SA"/>
              </w:rPr>
            </w:pPr>
            <w:r w:rsidRPr="0028500C">
              <w:rPr>
                <w:rFonts w:eastAsia="Times New Roman"/>
                <w:color w:val="000000"/>
                <w:sz w:val="20"/>
                <w:szCs w:val="20"/>
                <w:lang w:eastAsia="pt-BR" w:bidi="ar-SA"/>
              </w:rPr>
              <w:t>Objetivo 2.2 - Promover melhoria contínua em estudos, projetos e obras para o sistema ferroviário</w:t>
            </w:r>
          </w:p>
        </w:tc>
        <w:tc>
          <w:tcPr>
            <w:tcW w:w="1923" w:type="dxa"/>
            <w:tcBorders>
              <w:top w:val="single" w:sz="8" w:space="0" w:color="auto"/>
              <w:left w:val="nil"/>
              <w:bottom w:val="single" w:sz="4" w:space="0" w:color="auto"/>
              <w:right w:val="single" w:sz="4" w:space="0" w:color="auto"/>
            </w:tcBorders>
            <w:shd w:val="clear" w:color="000000" w:fill="FFFF00"/>
            <w:vAlign w:val="center"/>
            <w:hideMark/>
          </w:tcPr>
          <w:p w14:paraId="7C985285"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1. Firmar 05 parcerias com instituições renomadas para cooperação técnica e internalização de conhecimento até julho de 2022</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7AA2AAA7"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1. 03 parcerias com instituições renomadas para cooperação técnica e internalização de conhecimento até dezembro de 2021</w:t>
            </w:r>
          </w:p>
        </w:tc>
        <w:tc>
          <w:tcPr>
            <w:tcW w:w="1843" w:type="dxa"/>
            <w:tcBorders>
              <w:top w:val="single" w:sz="8" w:space="0" w:color="auto"/>
              <w:left w:val="nil"/>
              <w:bottom w:val="single" w:sz="4" w:space="0" w:color="auto"/>
              <w:right w:val="nil"/>
            </w:tcBorders>
            <w:shd w:val="clear" w:color="000000" w:fill="92D050"/>
            <w:vAlign w:val="center"/>
            <w:hideMark/>
          </w:tcPr>
          <w:p w14:paraId="4D79D010"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9. Firmar parcerias com instituições renomadas para cooperação técnica e internalização de conhecimento até julho de 2022</w:t>
            </w:r>
          </w:p>
        </w:tc>
        <w:tc>
          <w:tcPr>
            <w:tcW w:w="2126"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552FD858" w14:textId="77777777" w:rsidR="0028500C" w:rsidRPr="0028500C" w:rsidRDefault="0028500C" w:rsidP="0028500C">
            <w:pPr>
              <w:widowControl/>
              <w:autoSpaceDE/>
              <w:autoSpaceDN/>
              <w:rPr>
                <w:rFonts w:eastAsia="Times New Roman"/>
                <w:color w:val="000000"/>
                <w:sz w:val="18"/>
                <w:szCs w:val="18"/>
                <w:lang w:eastAsia="pt-BR" w:bidi="ar-SA"/>
              </w:rPr>
            </w:pPr>
            <w:r w:rsidRPr="0028500C">
              <w:rPr>
                <w:rFonts w:eastAsia="Times New Roman"/>
                <w:color w:val="000000"/>
                <w:sz w:val="18"/>
                <w:szCs w:val="18"/>
                <w:lang w:eastAsia="pt-BR" w:bidi="ar-SA"/>
              </w:rPr>
              <w:t>A comparação “De” “Para” da meta 2.2.1 está no Anexo do Plano de Negócios 2021, disponível em:  https://www.valec.gov.br/documentos/governanca/Plano_de%20_Negocios_2021_Agosto_2021-v3.3.pdf</w:t>
            </w:r>
          </w:p>
        </w:tc>
      </w:tr>
      <w:tr w:rsidR="0028500C" w:rsidRPr="0028500C" w14:paraId="2D8B1A30" w14:textId="77777777" w:rsidTr="0067629F">
        <w:trPr>
          <w:trHeight w:val="3360"/>
        </w:trPr>
        <w:tc>
          <w:tcPr>
            <w:tcW w:w="1611" w:type="dxa"/>
            <w:vMerge/>
            <w:tcBorders>
              <w:top w:val="single" w:sz="8" w:space="0" w:color="auto"/>
              <w:left w:val="single" w:sz="8" w:space="0" w:color="auto"/>
              <w:bottom w:val="single" w:sz="8" w:space="0" w:color="000000"/>
              <w:right w:val="single" w:sz="4" w:space="0" w:color="auto"/>
            </w:tcBorders>
            <w:vAlign w:val="center"/>
            <w:hideMark/>
          </w:tcPr>
          <w:p w14:paraId="2D2DDD50" w14:textId="77777777" w:rsidR="0028500C" w:rsidRPr="0028500C" w:rsidRDefault="0028500C" w:rsidP="0028500C">
            <w:pPr>
              <w:widowControl/>
              <w:autoSpaceDE/>
              <w:autoSpaceDN/>
              <w:rPr>
                <w:rFonts w:eastAsia="Times New Roman"/>
                <w:color w:val="000000"/>
                <w:sz w:val="20"/>
                <w:szCs w:val="20"/>
                <w:lang w:eastAsia="pt-BR" w:bidi="ar-SA"/>
              </w:rPr>
            </w:pPr>
          </w:p>
        </w:tc>
        <w:tc>
          <w:tcPr>
            <w:tcW w:w="1923" w:type="dxa"/>
            <w:tcBorders>
              <w:top w:val="nil"/>
              <w:left w:val="nil"/>
              <w:bottom w:val="single" w:sz="4" w:space="0" w:color="auto"/>
              <w:right w:val="single" w:sz="4" w:space="0" w:color="auto"/>
            </w:tcBorders>
            <w:shd w:val="clear" w:color="000000" w:fill="FFFF00"/>
            <w:vAlign w:val="center"/>
            <w:hideMark/>
          </w:tcPr>
          <w:p w14:paraId="53901962"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2. Modernizar 100% dos normativos até 2024</w:t>
            </w:r>
          </w:p>
        </w:tc>
        <w:tc>
          <w:tcPr>
            <w:tcW w:w="2268" w:type="dxa"/>
            <w:tcBorders>
              <w:top w:val="nil"/>
              <w:left w:val="nil"/>
              <w:bottom w:val="single" w:sz="4" w:space="0" w:color="auto"/>
              <w:right w:val="single" w:sz="4" w:space="0" w:color="auto"/>
            </w:tcBorders>
            <w:shd w:val="clear" w:color="000000" w:fill="FFFF00"/>
            <w:vAlign w:val="center"/>
            <w:hideMark/>
          </w:tcPr>
          <w:p w14:paraId="5A2A9DD7"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 xml:space="preserve">2. “100% das etapas de contratação da ABNT finalizadas”, “5 normativos técnicos revisados” e “100% normativos disponibilizados” </w:t>
            </w:r>
          </w:p>
        </w:tc>
        <w:tc>
          <w:tcPr>
            <w:tcW w:w="1843" w:type="dxa"/>
            <w:tcBorders>
              <w:top w:val="nil"/>
              <w:left w:val="nil"/>
              <w:bottom w:val="single" w:sz="4" w:space="0" w:color="auto"/>
              <w:right w:val="nil"/>
            </w:tcBorders>
            <w:shd w:val="clear" w:color="000000" w:fill="FFFF00"/>
            <w:vAlign w:val="center"/>
            <w:hideMark/>
          </w:tcPr>
          <w:p w14:paraId="2FF627C2"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1. Estruturação da gestão de normativos, que inclui: produção de normativos, gestão de repositório, disponibilização ao público</w:t>
            </w:r>
            <w:r w:rsidRPr="0028500C">
              <w:rPr>
                <w:rFonts w:eastAsia="Times New Roman"/>
                <w:color w:val="000000"/>
                <w:sz w:val="20"/>
                <w:szCs w:val="20"/>
                <w:lang w:eastAsia="pt-BR" w:bidi="ar-SA"/>
              </w:rPr>
              <w:br/>
              <w:t xml:space="preserve">3. Contratar a ABNT para apoio à modernização e revisão dos normativos técnicos até 2021; Aprovar a revisão da Política Ambiental e Territorial da Valec; Lançar o Guia de Compras Públicas Sustentáveis até dezembro de 2021 </w:t>
            </w:r>
          </w:p>
        </w:tc>
        <w:tc>
          <w:tcPr>
            <w:tcW w:w="2126" w:type="dxa"/>
            <w:tcBorders>
              <w:top w:val="nil"/>
              <w:left w:val="single" w:sz="4" w:space="0" w:color="auto"/>
              <w:bottom w:val="single" w:sz="4" w:space="0" w:color="auto"/>
              <w:right w:val="single" w:sz="8" w:space="0" w:color="auto"/>
            </w:tcBorders>
            <w:shd w:val="clear" w:color="auto" w:fill="auto"/>
            <w:vAlign w:val="center"/>
            <w:hideMark/>
          </w:tcPr>
          <w:p w14:paraId="11601179" w14:textId="77777777" w:rsidR="0028500C" w:rsidRPr="0028500C" w:rsidRDefault="0028500C" w:rsidP="0028500C">
            <w:pPr>
              <w:widowControl/>
              <w:autoSpaceDE/>
              <w:autoSpaceDN/>
              <w:rPr>
                <w:rFonts w:eastAsia="Times New Roman"/>
                <w:color w:val="000000"/>
                <w:sz w:val="18"/>
                <w:szCs w:val="18"/>
                <w:lang w:eastAsia="pt-BR" w:bidi="ar-SA"/>
              </w:rPr>
            </w:pPr>
            <w:r w:rsidRPr="0028500C">
              <w:rPr>
                <w:rFonts w:eastAsia="Times New Roman"/>
                <w:color w:val="000000"/>
                <w:sz w:val="18"/>
                <w:szCs w:val="18"/>
                <w:lang w:eastAsia="pt-BR" w:bidi="ar-SA"/>
              </w:rPr>
              <w:t>Implementar a nova Política Ambiental e Territorial da Valec com a revisão dos instrumentos legais e normativos, bem como, considerando as Diretrizes Socioambientais do Ministério da Infraestrutura (Portaria 05/2020) e o Índice de Desempenho Ambiental – IDA, da Agência Nacional de Transportes Terrestres – ANTT. // A comparação “De” “Para” da meta 2.2.2 está no Anexo do Plano de Negócios 2021, disponível em:  https://www.valec.gov.br/documentos/governanca/Plano_de%20_Negocios_2021_Agosto_2021-v3.3.pdf</w:t>
            </w:r>
          </w:p>
        </w:tc>
      </w:tr>
      <w:tr w:rsidR="0028500C" w:rsidRPr="0028500C" w14:paraId="30BD660D" w14:textId="77777777" w:rsidTr="0067629F">
        <w:trPr>
          <w:trHeight w:val="1440"/>
        </w:trPr>
        <w:tc>
          <w:tcPr>
            <w:tcW w:w="1611" w:type="dxa"/>
            <w:vMerge/>
            <w:tcBorders>
              <w:top w:val="single" w:sz="8" w:space="0" w:color="auto"/>
              <w:left w:val="single" w:sz="8" w:space="0" w:color="auto"/>
              <w:bottom w:val="single" w:sz="8" w:space="0" w:color="000000"/>
              <w:right w:val="single" w:sz="4" w:space="0" w:color="auto"/>
            </w:tcBorders>
            <w:vAlign w:val="center"/>
            <w:hideMark/>
          </w:tcPr>
          <w:p w14:paraId="4C786500" w14:textId="77777777" w:rsidR="0028500C" w:rsidRPr="0028500C" w:rsidRDefault="0028500C" w:rsidP="0028500C">
            <w:pPr>
              <w:widowControl/>
              <w:autoSpaceDE/>
              <w:autoSpaceDN/>
              <w:rPr>
                <w:rFonts w:eastAsia="Times New Roman"/>
                <w:color w:val="000000"/>
                <w:sz w:val="20"/>
                <w:szCs w:val="20"/>
                <w:lang w:eastAsia="pt-BR" w:bidi="ar-SA"/>
              </w:rPr>
            </w:pPr>
          </w:p>
        </w:tc>
        <w:tc>
          <w:tcPr>
            <w:tcW w:w="1923" w:type="dxa"/>
            <w:tcBorders>
              <w:top w:val="nil"/>
              <w:left w:val="nil"/>
              <w:bottom w:val="single" w:sz="4" w:space="0" w:color="auto"/>
              <w:right w:val="single" w:sz="4" w:space="0" w:color="auto"/>
            </w:tcBorders>
            <w:shd w:val="clear" w:color="auto" w:fill="auto"/>
            <w:vAlign w:val="center"/>
            <w:hideMark/>
          </w:tcPr>
          <w:p w14:paraId="41C7885E"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3. 100% dos empreendimentos gerenciados em metodologia BIM até dezembro de 2024</w:t>
            </w:r>
          </w:p>
        </w:tc>
        <w:tc>
          <w:tcPr>
            <w:tcW w:w="2268" w:type="dxa"/>
            <w:tcBorders>
              <w:top w:val="nil"/>
              <w:left w:val="nil"/>
              <w:bottom w:val="single" w:sz="4" w:space="0" w:color="auto"/>
              <w:right w:val="single" w:sz="4" w:space="0" w:color="auto"/>
            </w:tcBorders>
            <w:shd w:val="clear" w:color="000000" w:fill="FFFF00"/>
            <w:vAlign w:val="center"/>
            <w:hideMark/>
          </w:tcPr>
          <w:p w14:paraId="1EC7500C"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3. Finalizar 100% das etapas para Implantação do BIM na Valec</w:t>
            </w:r>
          </w:p>
        </w:tc>
        <w:tc>
          <w:tcPr>
            <w:tcW w:w="1843" w:type="dxa"/>
            <w:tcBorders>
              <w:top w:val="nil"/>
              <w:left w:val="nil"/>
              <w:bottom w:val="single" w:sz="4" w:space="0" w:color="auto"/>
              <w:right w:val="nil"/>
            </w:tcBorders>
            <w:shd w:val="clear" w:color="000000" w:fill="FFFF00"/>
            <w:vAlign w:val="center"/>
            <w:hideMark/>
          </w:tcPr>
          <w:p w14:paraId="5F56A44A"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5. Aprovar o Plano de Implantação do BIM na Valec; Capacitar 100% dos analistas/técnicos que atuam com BIM; Elaborar Projeto Piloto modelado em BIM</w:t>
            </w:r>
          </w:p>
        </w:tc>
        <w:tc>
          <w:tcPr>
            <w:tcW w:w="2126" w:type="dxa"/>
            <w:tcBorders>
              <w:top w:val="nil"/>
              <w:left w:val="single" w:sz="4" w:space="0" w:color="auto"/>
              <w:bottom w:val="single" w:sz="4" w:space="0" w:color="auto"/>
              <w:right w:val="single" w:sz="8" w:space="0" w:color="auto"/>
            </w:tcBorders>
            <w:shd w:val="clear" w:color="auto" w:fill="auto"/>
            <w:vAlign w:val="center"/>
            <w:hideMark/>
          </w:tcPr>
          <w:p w14:paraId="19E9931C" w14:textId="77777777" w:rsidR="0028500C" w:rsidRPr="0028500C" w:rsidRDefault="0028500C" w:rsidP="0028500C">
            <w:pPr>
              <w:widowControl/>
              <w:autoSpaceDE/>
              <w:autoSpaceDN/>
              <w:rPr>
                <w:rFonts w:eastAsia="Times New Roman"/>
                <w:color w:val="000000"/>
                <w:sz w:val="18"/>
                <w:szCs w:val="18"/>
                <w:lang w:eastAsia="pt-BR" w:bidi="ar-SA"/>
              </w:rPr>
            </w:pPr>
            <w:r w:rsidRPr="0028500C">
              <w:rPr>
                <w:rFonts w:eastAsia="Times New Roman"/>
                <w:color w:val="000000"/>
                <w:sz w:val="18"/>
                <w:szCs w:val="18"/>
                <w:lang w:eastAsia="pt-BR" w:bidi="ar-SA"/>
              </w:rPr>
              <w:t>A comparação “De” “Para” da meta 2.2.3 está no Anexo do Plano de Negócios 2021, disponível em:  https://www.valec.gov.br/documentos/governanca/Plano_de%20_Negocios_2021_Agosto_2021-v3.3.pdf</w:t>
            </w:r>
          </w:p>
        </w:tc>
      </w:tr>
      <w:tr w:rsidR="0028500C" w:rsidRPr="0028500C" w14:paraId="534EE448" w14:textId="77777777" w:rsidTr="0067629F">
        <w:trPr>
          <w:trHeight w:val="1020"/>
        </w:trPr>
        <w:tc>
          <w:tcPr>
            <w:tcW w:w="1611" w:type="dxa"/>
            <w:vMerge/>
            <w:tcBorders>
              <w:top w:val="single" w:sz="8" w:space="0" w:color="auto"/>
              <w:left w:val="single" w:sz="8" w:space="0" w:color="auto"/>
              <w:bottom w:val="single" w:sz="8" w:space="0" w:color="000000"/>
              <w:right w:val="single" w:sz="4" w:space="0" w:color="auto"/>
            </w:tcBorders>
            <w:vAlign w:val="center"/>
            <w:hideMark/>
          </w:tcPr>
          <w:p w14:paraId="6D00C222" w14:textId="77777777" w:rsidR="0028500C" w:rsidRPr="0028500C" w:rsidRDefault="0028500C" w:rsidP="0028500C">
            <w:pPr>
              <w:widowControl/>
              <w:autoSpaceDE/>
              <w:autoSpaceDN/>
              <w:rPr>
                <w:rFonts w:eastAsia="Times New Roman"/>
                <w:color w:val="000000"/>
                <w:sz w:val="20"/>
                <w:szCs w:val="20"/>
                <w:lang w:eastAsia="pt-BR" w:bidi="ar-SA"/>
              </w:rPr>
            </w:pPr>
          </w:p>
        </w:tc>
        <w:tc>
          <w:tcPr>
            <w:tcW w:w="1923" w:type="dxa"/>
            <w:tcBorders>
              <w:top w:val="nil"/>
              <w:left w:val="nil"/>
              <w:bottom w:val="single" w:sz="4" w:space="0" w:color="auto"/>
              <w:right w:val="single" w:sz="4" w:space="0" w:color="auto"/>
            </w:tcBorders>
            <w:shd w:val="clear" w:color="auto" w:fill="auto"/>
            <w:vAlign w:val="center"/>
            <w:hideMark/>
          </w:tcPr>
          <w:p w14:paraId="51248225"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4. 100% dos analistas/técnicos que atuam com BIM capacitados até dezembro de 2021</w:t>
            </w:r>
          </w:p>
        </w:tc>
        <w:tc>
          <w:tcPr>
            <w:tcW w:w="2268" w:type="dxa"/>
            <w:tcBorders>
              <w:top w:val="nil"/>
              <w:left w:val="nil"/>
              <w:bottom w:val="single" w:sz="4" w:space="0" w:color="auto"/>
              <w:right w:val="single" w:sz="4" w:space="0" w:color="auto"/>
            </w:tcBorders>
            <w:shd w:val="clear" w:color="auto" w:fill="auto"/>
            <w:vAlign w:val="center"/>
            <w:hideMark/>
          </w:tcPr>
          <w:p w14:paraId="00A19F96"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4. 100 % dos analistas/técnicos que atuam com BIM capacitados até dezembro de 2021</w:t>
            </w:r>
          </w:p>
        </w:tc>
        <w:tc>
          <w:tcPr>
            <w:tcW w:w="1843" w:type="dxa"/>
            <w:tcBorders>
              <w:top w:val="nil"/>
              <w:left w:val="nil"/>
              <w:bottom w:val="single" w:sz="4" w:space="0" w:color="auto"/>
              <w:right w:val="nil"/>
            </w:tcBorders>
            <w:shd w:val="clear" w:color="auto" w:fill="auto"/>
            <w:vAlign w:val="center"/>
            <w:hideMark/>
          </w:tcPr>
          <w:p w14:paraId="5373DE4F"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6. Realizar pelo menos quatro treinamentos em gestão ambiental e sustentabilidade, gestão territorial, geoprocessamento e/ou BIM</w:t>
            </w:r>
          </w:p>
        </w:tc>
        <w:tc>
          <w:tcPr>
            <w:tcW w:w="2126" w:type="dxa"/>
            <w:tcBorders>
              <w:top w:val="nil"/>
              <w:left w:val="single" w:sz="4" w:space="0" w:color="auto"/>
              <w:bottom w:val="single" w:sz="4" w:space="0" w:color="auto"/>
              <w:right w:val="single" w:sz="8" w:space="0" w:color="auto"/>
            </w:tcBorders>
            <w:shd w:val="clear" w:color="auto" w:fill="auto"/>
            <w:vAlign w:val="center"/>
            <w:hideMark/>
          </w:tcPr>
          <w:p w14:paraId="1F246BF9" w14:textId="77777777" w:rsidR="0028500C" w:rsidRPr="0028500C" w:rsidRDefault="0028500C" w:rsidP="0028500C">
            <w:pPr>
              <w:widowControl/>
              <w:autoSpaceDE/>
              <w:autoSpaceDN/>
              <w:rPr>
                <w:rFonts w:eastAsia="Times New Roman"/>
                <w:color w:val="000000"/>
                <w:sz w:val="18"/>
                <w:szCs w:val="18"/>
                <w:lang w:eastAsia="pt-BR" w:bidi="ar-SA"/>
              </w:rPr>
            </w:pPr>
            <w:r w:rsidRPr="0028500C">
              <w:rPr>
                <w:rFonts w:eastAsia="Times New Roman"/>
                <w:color w:val="000000"/>
                <w:sz w:val="18"/>
                <w:szCs w:val="18"/>
                <w:lang w:eastAsia="pt-BR" w:bidi="ar-SA"/>
              </w:rPr>
              <w:t> </w:t>
            </w:r>
          </w:p>
        </w:tc>
      </w:tr>
      <w:tr w:rsidR="0028500C" w:rsidRPr="0028500C" w14:paraId="6889E45D" w14:textId="77777777" w:rsidTr="0067629F">
        <w:trPr>
          <w:trHeight w:val="780"/>
        </w:trPr>
        <w:tc>
          <w:tcPr>
            <w:tcW w:w="1611" w:type="dxa"/>
            <w:vMerge/>
            <w:tcBorders>
              <w:top w:val="single" w:sz="8" w:space="0" w:color="auto"/>
              <w:left w:val="single" w:sz="8" w:space="0" w:color="auto"/>
              <w:bottom w:val="single" w:sz="8" w:space="0" w:color="000000"/>
              <w:right w:val="single" w:sz="4" w:space="0" w:color="auto"/>
            </w:tcBorders>
            <w:vAlign w:val="center"/>
            <w:hideMark/>
          </w:tcPr>
          <w:p w14:paraId="14987A2C" w14:textId="77777777" w:rsidR="0028500C" w:rsidRPr="0028500C" w:rsidRDefault="0028500C" w:rsidP="0028500C">
            <w:pPr>
              <w:widowControl/>
              <w:autoSpaceDE/>
              <w:autoSpaceDN/>
              <w:rPr>
                <w:rFonts w:eastAsia="Times New Roman"/>
                <w:color w:val="000000"/>
                <w:sz w:val="20"/>
                <w:szCs w:val="20"/>
                <w:lang w:eastAsia="pt-BR" w:bidi="ar-SA"/>
              </w:rPr>
            </w:pPr>
          </w:p>
        </w:tc>
        <w:tc>
          <w:tcPr>
            <w:tcW w:w="1923" w:type="dxa"/>
            <w:tcBorders>
              <w:top w:val="nil"/>
              <w:left w:val="nil"/>
              <w:bottom w:val="single" w:sz="8" w:space="0" w:color="auto"/>
              <w:right w:val="single" w:sz="4" w:space="0" w:color="auto"/>
            </w:tcBorders>
            <w:shd w:val="clear" w:color="000000" w:fill="92D050"/>
            <w:vAlign w:val="center"/>
            <w:hideMark/>
          </w:tcPr>
          <w:p w14:paraId="38939F8F"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5. Implantar Portal Corporativo de Banco de Conhecimento até dez/2021</w:t>
            </w:r>
          </w:p>
        </w:tc>
        <w:tc>
          <w:tcPr>
            <w:tcW w:w="2268" w:type="dxa"/>
            <w:tcBorders>
              <w:top w:val="nil"/>
              <w:left w:val="nil"/>
              <w:bottom w:val="single" w:sz="8" w:space="0" w:color="auto"/>
              <w:right w:val="single" w:sz="4" w:space="0" w:color="auto"/>
            </w:tcBorders>
            <w:shd w:val="clear" w:color="000000" w:fill="92D050"/>
            <w:vAlign w:val="center"/>
            <w:hideMark/>
          </w:tcPr>
          <w:p w14:paraId="125D05EC"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5. Implantar Portal Corporativo de Banco de Conhecimento até dez/2021</w:t>
            </w:r>
          </w:p>
        </w:tc>
        <w:tc>
          <w:tcPr>
            <w:tcW w:w="1843" w:type="dxa"/>
            <w:tcBorders>
              <w:top w:val="nil"/>
              <w:left w:val="nil"/>
              <w:bottom w:val="single" w:sz="8" w:space="0" w:color="auto"/>
              <w:right w:val="nil"/>
            </w:tcBorders>
            <w:shd w:val="clear" w:color="auto" w:fill="auto"/>
            <w:vAlign w:val="center"/>
            <w:hideMark/>
          </w:tcPr>
          <w:p w14:paraId="15B8E177"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4. Portal Corporativo de Banco de Conhecimento até julho de 2021</w:t>
            </w:r>
          </w:p>
        </w:tc>
        <w:tc>
          <w:tcPr>
            <w:tcW w:w="2126" w:type="dxa"/>
            <w:tcBorders>
              <w:top w:val="nil"/>
              <w:left w:val="single" w:sz="4" w:space="0" w:color="auto"/>
              <w:bottom w:val="single" w:sz="8" w:space="0" w:color="auto"/>
              <w:right w:val="single" w:sz="8" w:space="0" w:color="auto"/>
            </w:tcBorders>
            <w:shd w:val="clear" w:color="auto" w:fill="auto"/>
            <w:vAlign w:val="center"/>
            <w:hideMark/>
          </w:tcPr>
          <w:p w14:paraId="70AE4494" w14:textId="77777777" w:rsidR="0028500C" w:rsidRPr="0028500C" w:rsidRDefault="0028500C" w:rsidP="0028500C">
            <w:pPr>
              <w:widowControl/>
              <w:autoSpaceDE/>
              <w:autoSpaceDN/>
              <w:rPr>
                <w:rFonts w:eastAsia="Times New Roman"/>
                <w:color w:val="000000"/>
                <w:sz w:val="18"/>
                <w:szCs w:val="18"/>
                <w:lang w:eastAsia="pt-BR" w:bidi="ar-SA"/>
              </w:rPr>
            </w:pPr>
            <w:r w:rsidRPr="0028500C">
              <w:rPr>
                <w:rFonts w:eastAsia="Times New Roman"/>
                <w:color w:val="000000"/>
                <w:sz w:val="18"/>
                <w:szCs w:val="18"/>
                <w:lang w:eastAsia="pt-BR" w:bidi="ar-SA"/>
              </w:rPr>
              <w:t> </w:t>
            </w:r>
          </w:p>
        </w:tc>
      </w:tr>
      <w:tr w:rsidR="0028500C" w:rsidRPr="0028500C" w14:paraId="08004B35" w14:textId="77777777" w:rsidTr="0067629F">
        <w:trPr>
          <w:trHeight w:val="1020"/>
        </w:trPr>
        <w:tc>
          <w:tcPr>
            <w:tcW w:w="1611" w:type="dxa"/>
            <w:vMerge w:val="restart"/>
            <w:tcBorders>
              <w:top w:val="nil"/>
              <w:left w:val="single" w:sz="8" w:space="0" w:color="auto"/>
              <w:bottom w:val="single" w:sz="4" w:space="0" w:color="auto"/>
              <w:right w:val="single" w:sz="4" w:space="0" w:color="auto"/>
            </w:tcBorders>
            <w:shd w:val="clear" w:color="auto" w:fill="auto"/>
            <w:vAlign w:val="center"/>
            <w:hideMark/>
          </w:tcPr>
          <w:p w14:paraId="0D0AB4B5" w14:textId="77777777" w:rsidR="0028500C" w:rsidRPr="0028500C" w:rsidRDefault="0028500C" w:rsidP="0028500C">
            <w:pPr>
              <w:widowControl/>
              <w:autoSpaceDE/>
              <w:autoSpaceDN/>
              <w:jc w:val="center"/>
              <w:rPr>
                <w:rFonts w:eastAsia="Times New Roman"/>
                <w:color w:val="000000"/>
                <w:sz w:val="20"/>
                <w:szCs w:val="20"/>
                <w:lang w:eastAsia="pt-BR" w:bidi="ar-SA"/>
              </w:rPr>
            </w:pPr>
            <w:r w:rsidRPr="0028500C">
              <w:rPr>
                <w:rFonts w:eastAsia="Times New Roman"/>
                <w:color w:val="000000"/>
                <w:sz w:val="20"/>
                <w:szCs w:val="20"/>
                <w:lang w:eastAsia="pt-BR" w:bidi="ar-SA"/>
              </w:rPr>
              <w:t>Objetivo 2.3 - Otimizar a gestão de custos e gastos</w:t>
            </w:r>
          </w:p>
        </w:tc>
        <w:tc>
          <w:tcPr>
            <w:tcW w:w="1923" w:type="dxa"/>
            <w:tcBorders>
              <w:top w:val="nil"/>
              <w:left w:val="nil"/>
              <w:bottom w:val="single" w:sz="4" w:space="0" w:color="auto"/>
              <w:right w:val="single" w:sz="4" w:space="0" w:color="auto"/>
            </w:tcBorders>
            <w:shd w:val="clear" w:color="auto" w:fill="auto"/>
            <w:vAlign w:val="center"/>
            <w:hideMark/>
          </w:tcPr>
          <w:p w14:paraId="6EC32CF6"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1. Ampliar orçamento da Valec via emenda/articulação em 10% da proposta original</w:t>
            </w:r>
          </w:p>
        </w:tc>
        <w:tc>
          <w:tcPr>
            <w:tcW w:w="2268" w:type="dxa"/>
            <w:tcBorders>
              <w:top w:val="nil"/>
              <w:left w:val="nil"/>
              <w:bottom w:val="single" w:sz="4" w:space="0" w:color="auto"/>
              <w:right w:val="single" w:sz="4" w:space="0" w:color="auto"/>
            </w:tcBorders>
            <w:shd w:val="clear" w:color="auto" w:fill="auto"/>
            <w:vAlign w:val="center"/>
            <w:hideMark/>
          </w:tcPr>
          <w:p w14:paraId="50A0D5D3"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1. Ampliar orçamento da Valec em 10% da proposta original (proposta de orçamento encaminhada ao Congresso Nacional)</w:t>
            </w:r>
          </w:p>
        </w:tc>
        <w:tc>
          <w:tcPr>
            <w:tcW w:w="1843" w:type="dxa"/>
            <w:tcBorders>
              <w:top w:val="nil"/>
              <w:left w:val="nil"/>
              <w:bottom w:val="single" w:sz="4" w:space="0" w:color="auto"/>
              <w:right w:val="nil"/>
            </w:tcBorders>
            <w:shd w:val="clear" w:color="auto" w:fill="auto"/>
            <w:vAlign w:val="center"/>
            <w:hideMark/>
          </w:tcPr>
          <w:p w14:paraId="4537CE41"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5. Definir e implementar estratégia orçamentária no Congresso Nacional</w:t>
            </w:r>
          </w:p>
        </w:tc>
        <w:tc>
          <w:tcPr>
            <w:tcW w:w="2126" w:type="dxa"/>
            <w:tcBorders>
              <w:top w:val="nil"/>
              <w:left w:val="single" w:sz="4" w:space="0" w:color="auto"/>
              <w:bottom w:val="single" w:sz="4" w:space="0" w:color="auto"/>
              <w:right w:val="single" w:sz="8" w:space="0" w:color="auto"/>
            </w:tcBorders>
            <w:shd w:val="clear" w:color="auto" w:fill="auto"/>
            <w:vAlign w:val="center"/>
            <w:hideMark/>
          </w:tcPr>
          <w:p w14:paraId="08F05BD9" w14:textId="77777777" w:rsidR="0028500C" w:rsidRPr="0028500C" w:rsidRDefault="0028500C" w:rsidP="0028500C">
            <w:pPr>
              <w:widowControl/>
              <w:autoSpaceDE/>
              <w:autoSpaceDN/>
              <w:rPr>
                <w:rFonts w:eastAsia="Times New Roman"/>
                <w:color w:val="000000"/>
                <w:sz w:val="18"/>
                <w:szCs w:val="18"/>
                <w:lang w:eastAsia="pt-BR" w:bidi="ar-SA"/>
              </w:rPr>
            </w:pPr>
            <w:r w:rsidRPr="0028500C">
              <w:rPr>
                <w:rFonts w:eastAsia="Times New Roman"/>
                <w:color w:val="000000"/>
                <w:sz w:val="18"/>
                <w:szCs w:val="18"/>
                <w:lang w:eastAsia="pt-BR" w:bidi="ar-SA"/>
              </w:rPr>
              <w:t> </w:t>
            </w:r>
          </w:p>
        </w:tc>
      </w:tr>
      <w:tr w:rsidR="0028500C" w:rsidRPr="0028500C" w14:paraId="2E0C36FE" w14:textId="77777777" w:rsidTr="0067629F">
        <w:trPr>
          <w:trHeight w:val="1275"/>
        </w:trPr>
        <w:tc>
          <w:tcPr>
            <w:tcW w:w="1611" w:type="dxa"/>
            <w:vMerge/>
            <w:tcBorders>
              <w:top w:val="nil"/>
              <w:left w:val="single" w:sz="8" w:space="0" w:color="auto"/>
              <w:bottom w:val="single" w:sz="4" w:space="0" w:color="auto"/>
              <w:right w:val="single" w:sz="4" w:space="0" w:color="auto"/>
            </w:tcBorders>
            <w:vAlign w:val="center"/>
            <w:hideMark/>
          </w:tcPr>
          <w:p w14:paraId="0E51ECA6" w14:textId="77777777" w:rsidR="0028500C" w:rsidRPr="0028500C" w:rsidRDefault="0028500C" w:rsidP="0028500C">
            <w:pPr>
              <w:widowControl/>
              <w:autoSpaceDE/>
              <w:autoSpaceDN/>
              <w:rPr>
                <w:rFonts w:eastAsia="Times New Roman"/>
                <w:color w:val="000000"/>
                <w:sz w:val="20"/>
                <w:szCs w:val="20"/>
                <w:lang w:eastAsia="pt-BR" w:bidi="ar-SA"/>
              </w:rPr>
            </w:pPr>
          </w:p>
        </w:tc>
        <w:tc>
          <w:tcPr>
            <w:tcW w:w="1923" w:type="dxa"/>
            <w:tcBorders>
              <w:top w:val="nil"/>
              <w:left w:val="nil"/>
              <w:bottom w:val="single" w:sz="4" w:space="0" w:color="auto"/>
              <w:right w:val="single" w:sz="4" w:space="0" w:color="auto"/>
            </w:tcBorders>
            <w:shd w:val="clear" w:color="auto" w:fill="auto"/>
            <w:vAlign w:val="center"/>
            <w:hideMark/>
          </w:tcPr>
          <w:p w14:paraId="77F05F36"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2. Reduzir despesa de custeio em R$ 6 milhões (anualizados), com base de comparação do orçamento de 2019, até março de 2021</w:t>
            </w:r>
          </w:p>
        </w:tc>
        <w:tc>
          <w:tcPr>
            <w:tcW w:w="2268" w:type="dxa"/>
            <w:tcBorders>
              <w:top w:val="nil"/>
              <w:left w:val="nil"/>
              <w:bottom w:val="single" w:sz="4" w:space="0" w:color="auto"/>
              <w:right w:val="single" w:sz="4" w:space="0" w:color="auto"/>
            </w:tcBorders>
            <w:shd w:val="clear" w:color="auto" w:fill="auto"/>
            <w:vAlign w:val="center"/>
            <w:hideMark/>
          </w:tcPr>
          <w:p w14:paraId="5B81A2B0" w14:textId="69CF919E"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2. (Concluído em 2020) Reduzir despesa de custeio em R$ 6 milhões (anualizados), com base de comparação do orçamento de 2019, até março de 2021</w:t>
            </w:r>
          </w:p>
        </w:tc>
        <w:tc>
          <w:tcPr>
            <w:tcW w:w="1843" w:type="dxa"/>
            <w:tcBorders>
              <w:top w:val="nil"/>
              <w:left w:val="nil"/>
              <w:bottom w:val="nil"/>
              <w:right w:val="nil"/>
            </w:tcBorders>
            <w:shd w:val="clear" w:color="auto" w:fill="auto"/>
            <w:vAlign w:val="bottom"/>
            <w:hideMark/>
          </w:tcPr>
          <w:p w14:paraId="174B0E62" w14:textId="77777777" w:rsidR="0028500C" w:rsidRPr="0028500C" w:rsidRDefault="0028500C" w:rsidP="0028500C">
            <w:pPr>
              <w:widowControl/>
              <w:autoSpaceDE/>
              <w:autoSpaceDN/>
              <w:rPr>
                <w:rFonts w:eastAsia="Times New Roman"/>
                <w:color w:val="000000"/>
                <w:sz w:val="20"/>
                <w:szCs w:val="20"/>
                <w:lang w:eastAsia="pt-BR" w:bidi="ar-SA"/>
              </w:rPr>
            </w:pPr>
          </w:p>
        </w:tc>
        <w:tc>
          <w:tcPr>
            <w:tcW w:w="2126" w:type="dxa"/>
            <w:tcBorders>
              <w:top w:val="nil"/>
              <w:left w:val="single" w:sz="4" w:space="0" w:color="auto"/>
              <w:bottom w:val="single" w:sz="4" w:space="0" w:color="auto"/>
              <w:right w:val="single" w:sz="8" w:space="0" w:color="auto"/>
            </w:tcBorders>
            <w:shd w:val="clear" w:color="auto" w:fill="auto"/>
            <w:vAlign w:val="center"/>
            <w:hideMark/>
          </w:tcPr>
          <w:p w14:paraId="35739447" w14:textId="77777777" w:rsidR="0028500C" w:rsidRPr="0028500C" w:rsidRDefault="0028500C" w:rsidP="0028500C">
            <w:pPr>
              <w:widowControl/>
              <w:autoSpaceDE/>
              <w:autoSpaceDN/>
              <w:rPr>
                <w:rFonts w:eastAsia="Times New Roman"/>
                <w:color w:val="000000"/>
                <w:sz w:val="18"/>
                <w:szCs w:val="18"/>
                <w:lang w:eastAsia="pt-BR" w:bidi="ar-SA"/>
              </w:rPr>
            </w:pPr>
            <w:r w:rsidRPr="0028500C">
              <w:rPr>
                <w:rFonts w:eastAsia="Times New Roman"/>
                <w:color w:val="000000"/>
                <w:sz w:val="18"/>
                <w:szCs w:val="18"/>
                <w:lang w:eastAsia="pt-BR" w:bidi="ar-SA"/>
              </w:rPr>
              <w:t> </w:t>
            </w:r>
          </w:p>
        </w:tc>
      </w:tr>
      <w:tr w:rsidR="0028500C" w:rsidRPr="0028500C" w14:paraId="0DB9B749" w14:textId="77777777" w:rsidTr="0067629F">
        <w:trPr>
          <w:trHeight w:val="765"/>
        </w:trPr>
        <w:tc>
          <w:tcPr>
            <w:tcW w:w="1611" w:type="dxa"/>
            <w:vMerge/>
            <w:tcBorders>
              <w:top w:val="nil"/>
              <w:left w:val="single" w:sz="8" w:space="0" w:color="auto"/>
              <w:bottom w:val="single" w:sz="4" w:space="0" w:color="auto"/>
              <w:right w:val="single" w:sz="4" w:space="0" w:color="auto"/>
            </w:tcBorders>
            <w:vAlign w:val="center"/>
            <w:hideMark/>
          </w:tcPr>
          <w:p w14:paraId="25A687E4" w14:textId="77777777" w:rsidR="0028500C" w:rsidRPr="0028500C" w:rsidRDefault="0028500C" w:rsidP="0028500C">
            <w:pPr>
              <w:widowControl/>
              <w:autoSpaceDE/>
              <w:autoSpaceDN/>
              <w:rPr>
                <w:rFonts w:eastAsia="Times New Roman"/>
                <w:color w:val="000000"/>
                <w:sz w:val="20"/>
                <w:szCs w:val="20"/>
                <w:lang w:eastAsia="pt-BR" w:bidi="ar-SA"/>
              </w:rPr>
            </w:pPr>
          </w:p>
        </w:tc>
        <w:tc>
          <w:tcPr>
            <w:tcW w:w="1923" w:type="dxa"/>
            <w:tcBorders>
              <w:top w:val="nil"/>
              <w:left w:val="nil"/>
              <w:bottom w:val="single" w:sz="4" w:space="0" w:color="auto"/>
              <w:right w:val="single" w:sz="4" w:space="0" w:color="auto"/>
            </w:tcBorders>
            <w:shd w:val="clear" w:color="auto" w:fill="auto"/>
            <w:vAlign w:val="center"/>
            <w:hideMark/>
          </w:tcPr>
          <w:p w14:paraId="00B7F299"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3. Reduzir nível de dependência da Valec em 15% até dezembro de 2022</w:t>
            </w:r>
          </w:p>
        </w:tc>
        <w:tc>
          <w:tcPr>
            <w:tcW w:w="2268" w:type="dxa"/>
            <w:tcBorders>
              <w:top w:val="nil"/>
              <w:left w:val="nil"/>
              <w:bottom w:val="single" w:sz="4" w:space="0" w:color="auto"/>
              <w:right w:val="single" w:sz="4" w:space="0" w:color="auto"/>
            </w:tcBorders>
            <w:shd w:val="clear" w:color="auto" w:fill="auto"/>
            <w:vAlign w:val="center"/>
            <w:hideMark/>
          </w:tcPr>
          <w:p w14:paraId="2BE296F9"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3. Reduzir nível de dependência da Valec em 10% até dezembro de 2021</w:t>
            </w:r>
          </w:p>
        </w:tc>
        <w:tc>
          <w:tcPr>
            <w:tcW w:w="1843" w:type="dxa"/>
            <w:tcBorders>
              <w:top w:val="single" w:sz="4" w:space="0" w:color="auto"/>
              <w:left w:val="nil"/>
              <w:bottom w:val="single" w:sz="4" w:space="0" w:color="auto"/>
              <w:right w:val="nil"/>
            </w:tcBorders>
            <w:shd w:val="clear" w:color="auto" w:fill="auto"/>
            <w:vAlign w:val="center"/>
            <w:hideMark/>
          </w:tcPr>
          <w:p w14:paraId="2EC69B90"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2.1.5. Firmar e executar contratos comerciais</w:t>
            </w:r>
            <w:r w:rsidRPr="0028500C">
              <w:rPr>
                <w:rFonts w:eastAsia="Times New Roman"/>
                <w:color w:val="000000"/>
                <w:sz w:val="20"/>
                <w:szCs w:val="20"/>
                <w:lang w:eastAsia="pt-BR" w:bidi="ar-SA"/>
              </w:rPr>
              <w:br/>
              <w:t>2.1.6. Promover a delegação de terminais ou áreas</w:t>
            </w:r>
          </w:p>
        </w:tc>
        <w:tc>
          <w:tcPr>
            <w:tcW w:w="2126" w:type="dxa"/>
            <w:tcBorders>
              <w:top w:val="nil"/>
              <w:left w:val="single" w:sz="4" w:space="0" w:color="auto"/>
              <w:bottom w:val="single" w:sz="4" w:space="0" w:color="auto"/>
              <w:right w:val="single" w:sz="8" w:space="0" w:color="auto"/>
            </w:tcBorders>
            <w:shd w:val="clear" w:color="auto" w:fill="auto"/>
            <w:vAlign w:val="center"/>
            <w:hideMark/>
          </w:tcPr>
          <w:p w14:paraId="144A9EC5" w14:textId="77777777" w:rsidR="0028500C" w:rsidRPr="0028500C" w:rsidRDefault="0028500C" w:rsidP="0028500C">
            <w:pPr>
              <w:widowControl/>
              <w:autoSpaceDE/>
              <w:autoSpaceDN/>
              <w:rPr>
                <w:rFonts w:eastAsia="Times New Roman"/>
                <w:color w:val="000000"/>
                <w:sz w:val="18"/>
                <w:szCs w:val="18"/>
                <w:lang w:eastAsia="pt-BR" w:bidi="ar-SA"/>
              </w:rPr>
            </w:pPr>
            <w:r w:rsidRPr="0028500C">
              <w:rPr>
                <w:rFonts w:eastAsia="Times New Roman"/>
                <w:color w:val="000000"/>
                <w:sz w:val="18"/>
                <w:szCs w:val="18"/>
                <w:lang w:eastAsia="pt-BR" w:bidi="ar-SA"/>
              </w:rPr>
              <w:t> </w:t>
            </w:r>
          </w:p>
        </w:tc>
      </w:tr>
      <w:tr w:rsidR="0028500C" w:rsidRPr="0028500C" w14:paraId="0A791D58" w14:textId="77777777" w:rsidTr="0067629F">
        <w:trPr>
          <w:trHeight w:val="780"/>
        </w:trPr>
        <w:tc>
          <w:tcPr>
            <w:tcW w:w="1611" w:type="dxa"/>
            <w:vMerge/>
            <w:tcBorders>
              <w:top w:val="nil"/>
              <w:left w:val="single" w:sz="8" w:space="0" w:color="auto"/>
              <w:bottom w:val="single" w:sz="4" w:space="0" w:color="auto"/>
              <w:right w:val="single" w:sz="4" w:space="0" w:color="auto"/>
            </w:tcBorders>
            <w:vAlign w:val="center"/>
            <w:hideMark/>
          </w:tcPr>
          <w:p w14:paraId="28B920D5" w14:textId="77777777" w:rsidR="0028500C" w:rsidRPr="0028500C" w:rsidRDefault="0028500C" w:rsidP="0028500C">
            <w:pPr>
              <w:widowControl/>
              <w:autoSpaceDE/>
              <w:autoSpaceDN/>
              <w:rPr>
                <w:rFonts w:eastAsia="Times New Roman"/>
                <w:color w:val="000000"/>
                <w:sz w:val="20"/>
                <w:szCs w:val="20"/>
                <w:lang w:eastAsia="pt-BR" w:bidi="ar-SA"/>
              </w:rPr>
            </w:pPr>
          </w:p>
        </w:tc>
        <w:tc>
          <w:tcPr>
            <w:tcW w:w="1923" w:type="dxa"/>
            <w:tcBorders>
              <w:top w:val="nil"/>
              <w:left w:val="nil"/>
              <w:bottom w:val="nil"/>
              <w:right w:val="single" w:sz="4" w:space="0" w:color="auto"/>
            </w:tcBorders>
            <w:shd w:val="clear" w:color="auto" w:fill="auto"/>
            <w:vAlign w:val="center"/>
            <w:hideMark/>
          </w:tcPr>
          <w:p w14:paraId="612D5B23"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4. Manter o crescimento da despesa abaixo da inflação até dezembro de 2024</w:t>
            </w:r>
          </w:p>
        </w:tc>
        <w:tc>
          <w:tcPr>
            <w:tcW w:w="2268" w:type="dxa"/>
            <w:tcBorders>
              <w:top w:val="nil"/>
              <w:left w:val="nil"/>
              <w:bottom w:val="nil"/>
              <w:right w:val="single" w:sz="4" w:space="0" w:color="auto"/>
            </w:tcBorders>
            <w:shd w:val="clear" w:color="auto" w:fill="auto"/>
            <w:vAlign w:val="center"/>
            <w:hideMark/>
          </w:tcPr>
          <w:p w14:paraId="240E4869"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4. Atingir a despesa mensal de funcionamento em R$ 1 milhão (sem gasto de TI) até março de 2021</w:t>
            </w:r>
          </w:p>
        </w:tc>
        <w:tc>
          <w:tcPr>
            <w:tcW w:w="1843" w:type="dxa"/>
            <w:tcBorders>
              <w:top w:val="nil"/>
              <w:left w:val="nil"/>
              <w:bottom w:val="nil"/>
              <w:right w:val="nil"/>
            </w:tcBorders>
            <w:shd w:val="clear" w:color="auto" w:fill="auto"/>
            <w:vAlign w:val="center"/>
            <w:hideMark/>
          </w:tcPr>
          <w:p w14:paraId="52FCBB83"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Sem iniciativas</w:t>
            </w:r>
          </w:p>
        </w:tc>
        <w:tc>
          <w:tcPr>
            <w:tcW w:w="2126" w:type="dxa"/>
            <w:tcBorders>
              <w:top w:val="nil"/>
              <w:left w:val="single" w:sz="4" w:space="0" w:color="auto"/>
              <w:bottom w:val="nil"/>
              <w:right w:val="single" w:sz="8" w:space="0" w:color="auto"/>
            </w:tcBorders>
            <w:shd w:val="clear" w:color="auto" w:fill="auto"/>
            <w:vAlign w:val="center"/>
            <w:hideMark/>
          </w:tcPr>
          <w:p w14:paraId="44B2627D" w14:textId="77777777" w:rsidR="0028500C" w:rsidRPr="0028500C" w:rsidRDefault="0028500C" w:rsidP="0028500C">
            <w:pPr>
              <w:widowControl/>
              <w:autoSpaceDE/>
              <w:autoSpaceDN/>
              <w:rPr>
                <w:rFonts w:eastAsia="Times New Roman"/>
                <w:color w:val="000000"/>
                <w:sz w:val="18"/>
                <w:szCs w:val="18"/>
                <w:lang w:eastAsia="pt-BR" w:bidi="ar-SA"/>
              </w:rPr>
            </w:pPr>
            <w:r w:rsidRPr="0028500C">
              <w:rPr>
                <w:rFonts w:eastAsia="Times New Roman"/>
                <w:color w:val="000000"/>
                <w:sz w:val="18"/>
                <w:szCs w:val="18"/>
                <w:lang w:eastAsia="pt-BR" w:bidi="ar-SA"/>
              </w:rPr>
              <w:t> </w:t>
            </w:r>
          </w:p>
        </w:tc>
      </w:tr>
      <w:tr w:rsidR="0028500C" w:rsidRPr="0028500C" w14:paraId="4BED4094" w14:textId="77777777" w:rsidTr="0067629F">
        <w:trPr>
          <w:trHeight w:val="960"/>
        </w:trPr>
        <w:tc>
          <w:tcPr>
            <w:tcW w:w="1611"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63677AD4" w14:textId="77777777" w:rsidR="0028500C" w:rsidRPr="0028500C" w:rsidRDefault="0028500C" w:rsidP="0028500C">
            <w:pPr>
              <w:widowControl/>
              <w:autoSpaceDE/>
              <w:autoSpaceDN/>
              <w:jc w:val="center"/>
              <w:rPr>
                <w:rFonts w:eastAsia="Times New Roman"/>
                <w:color w:val="000000"/>
                <w:sz w:val="20"/>
                <w:szCs w:val="20"/>
                <w:lang w:eastAsia="pt-BR" w:bidi="ar-SA"/>
              </w:rPr>
            </w:pPr>
            <w:r w:rsidRPr="0028500C">
              <w:rPr>
                <w:rFonts w:eastAsia="Times New Roman"/>
                <w:color w:val="000000"/>
                <w:sz w:val="20"/>
                <w:szCs w:val="20"/>
                <w:lang w:eastAsia="pt-BR" w:bidi="ar-SA"/>
              </w:rPr>
              <w:t xml:space="preserve">Objetivo 3.1 - Modernizar a infraestrutura de TI, visando utilizá-la como instrumento de inovação para </w:t>
            </w:r>
            <w:r w:rsidRPr="0028500C">
              <w:rPr>
                <w:rFonts w:eastAsia="Times New Roman"/>
                <w:color w:val="000000"/>
                <w:sz w:val="20"/>
                <w:szCs w:val="20"/>
                <w:lang w:eastAsia="pt-BR" w:bidi="ar-SA"/>
              </w:rPr>
              <w:lastRenderedPageBreak/>
              <w:t>tomada de decisão</w:t>
            </w:r>
          </w:p>
        </w:tc>
        <w:tc>
          <w:tcPr>
            <w:tcW w:w="1923" w:type="dxa"/>
            <w:tcBorders>
              <w:top w:val="single" w:sz="8" w:space="0" w:color="auto"/>
              <w:left w:val="nil"/>
              <w:bottom w:val="single" w:sz="4" w:space="0" w:color="auto"/>
              <w:right w:val="single" w:sz="4" w:space="0" w:color="auto"/>
            </w:tcBorders>
            <w:shd w:val="clear" w:color="auto" w:fill="auto"/>
            <w:vAlign w:val="center"/>
            <w:hideMark/>
          </w:tcPr>
          <w:p w14:paraId="13E00A42"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lastRenderedPageBreak/>
              <w:t>1. Assegurar a disponibilidade da Infraestrutura dos serviços de TIC em 99,97% até dezembro de 2021</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14F64764"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1. Assegurar a disponibilidade da Infraestrutura dos serviços de TIC em 99.97% até dezembro de 2021</w:t>
            </w:r>
          </w:p>
        </w:tc>
        <w:tc>
          <w:tcPr>
            <w:tcW w:w="1843" w:type="dxa"/>
            <w:tcBorders>
              <w:top w:val="single" w:sz="8" w:space="0" w:color="auto"/>
              <w:left w:val="nil"/>
              <w:bottom w:val="single" w:sz="4" w:space="0" w:color="auto"/>
              <w:right w:val="single" w:sz="4" w:space="0" w:color="auto"/>
            </w:tcBorders>
            <w:shd w:val="clear" w:color="auto" w:fill="auto"/>
            <w:vAlign w:val="center"/>
            <w:hideMark/>
          </w:tcPr>
          <w:p w14:paraId="471D90C2"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Sem iniciativas</w:t>
            </w:r>
          </w:p>
        </w:tc>
        <w:tc>
          <w:tcPr>
            <w:tcW w:w="2126" w:type="dxa"/>
            <w:tcBorders>
              <w:top w:val="single" w:sz="8" w:space="0" w:color="auto"/>
              <w:left w:val="nil"/>
              <w:bottom w:val="single" w:sz="4" w:space="0" w:color="auto"/>
              <w:right w:val="single" w:sz="8" w:space="0" w:color="auto"/>
            </w:tcBorders>
            <w:shd w:val="clear" w:color="auto" w:fill="auto"/>
            <w:vAlign w:val="center"/>
            <w:hideMark/>
          </w:tcPr>
          <w:p w14:paraId="54473C9D" w14:textId="77777777" w:rsidR="0028500C" w:rsidRPr="0028500C" w:rsidRDefault="0028500C" w:rsidP="0028500C">
            <w:pPr>
              <w:widowControl/>
              <w:autoSpaceDE/>
              <w:autoSpaceDN/>
              <w:rPr>
                <w:rFonts w:eastAsia="Times New Roman"/>
                <w:color w:val="000000"/>
                <w:sz w:val="18"/>
                <w:szCs w:val="18"/>
                <w:lang w:eastAsia="pt-BR" w:bidi="ar-SA"/>
              </w:rPr>
            </w:pPr>
            <w:r w:rsidRPr="0028500C">
              <w:rPr>
                <w:rFonts w:eastAsia="Times New Roman"/>
                <w:color w:val="000000"/>
                <w:sz w:val="18"/>
                <w:szCs w:val="18"/>
                <w:lang w:eastAsia="pt-BR" w:bidi="ar-SA"/>
              </w:rPr>
              <w:t>Considerando paradas de manutenção, emergências nacionais, falhas de hardware, dentre outros, operar 100% do tempo seria inexequível.</w:t>
            </w:r>
          </w:p>
        </w:tc>
      </w:tr>
      <w:tr w:rsidR="0028500C" w:rsidRPr="0028500C" w14:paraId="0D29927D" w14:textId="77777777" w:rsidTr="0067629F">
        <w:trPr>
          <w:trHeight w:val="510"/>
        </w:trPr>
        <w:tc>
          <w:tcPr>
            <w:tcW w:w="1611" w:type="dxa"/>
            <w:vMerge/>
            <w:tcBorders>
              <w:top w:val="single" w:sz="8" w:space="0" w:color="auto"/>
              <w:left w:val="single" w:sz="8" w:space="0" w:color="auto"/>
              <w:bottom w:val="single" w:sz="8" w:space="0" w:color="000000"/>
              <w:right w:val="single" w:sz="4" w:space="0" w:color="auto"/>
            </w:tcBorders>
            <w:vAlign w:val="center"/>
            <w:hideMark/>
          </w:tcPr>
          <w:p w14:paraId="67D35D08" w14:textId="77777777" w:rsidR="0028500C" w:rsidRPr="0028500C" w:rsidRDefault="0028500C" w:rsidP="0028500C">
            <w:pPr>
              <w:widowControl/>
              <w:autoSpaceDE/>
              <w:autoSpaceDN/>
              <w:rPr>
                <w:rFonts w:eastAsia="Times New Roman"/>
                <w:color w:val="000000"/>
                <w:sz w:val="20"/>
                <w:szCs w:val="20"/>
                <w:lang w:eastAsia="pt-BR" w:bidi="ar-SA"/>
              </w:rPr>
            </w:pPr>
          </w:p>
        </w:tc>
        <w:tc>
          <w:tcPr>
            <w:tcW w:w="1923" w:type="dxa"/>
            <w:tcBorders>
              <w:top w:val="nil"/>
              <w:left w:val="nil"/>
              <w:bottom w:val="single" w:sz="4" w:space="0" w:color="auto"/>
              <w:right w:val="single" w:sz="4" w:space="0" w:color="auto"/>
            </w:tcBorders>
            <w:shd w:val="clear" w:color="auto" w:fill="auto"/>
            <w:vAlign w:val="center"/>
            <w:hideMark/>
          </w:tcPr>
          <w:p w14:paraId="32A4F1FF"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2. Executar 100% do PDTI vigente</w:t>
            </w:r>
          </w:p>
        </w:tc>
        <w:tc>
          <w:tcPr>
            <w:tcW w:w="2268" w:type="dxa"/>
            <w:tcBorders>
              <w:top w:val="nil"/>
              <w:left w:val="nil"/>
              <w:bottom w:val="single" w:sz="4" w:space="0" w:color="auto"/>
              <w:right w:val="single" w:sz="4" w:space="0" w:color="auto"/>
            </w:tcBorders>
            <w:shd w:val="clear" w:color="auto" w:fill="auto"/>
            <w:vAlign w:val="center"/>
            <w:hideMark/>
          </w:tcPr>
          <w:p w14:paraId="7CE4814D"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2. Executar 100% do PDTI 2020-2021 até dez 2021</w:t>
            </w:r>
          </w:p>
        </w:tc>
        <w:tc>
          <w:tcPr>
            <w:tcW w:w="1843" w:type="dxa"/>
            <w:tcBorders>
              <w:top w:val="nil"/>
              <w:left w:val="nil"/>
              <w:bottom w:val="single" w:sz="4" w:space="0" w:color="auto"/>
              <w:right w:val="single" w:sz="4" w:space="0" w:color="auto"/>
            </w:tcBorders>
            <w:shd w:val="clear" w:color="auto" w:fill="auto"/>
            <w:vAlign w:val="center"/>
            <w:hideMark/>
          </w:tcPr>
          <w:p w14:paraId="6541539E"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Sem iniciativas</w:t>
            </w:r>
          </w:p>
        </w:tc>
        <w:tc>
          <w:tcPr>
            <w:tcW w:w="2126" w:type="dxa"/>
            <w:tcBorders>
              <w:top w:val="nil"/>
              <w:left w:val="nil"/>
              <w:bottom w:val="single" w:sz="4" w:space="0" w:color="auto"/>
              <w:right w:val="single" w:sz="8" w:space="0" w:color="auto"/>
            </w:tcBorders>
            <w:shd w:val="clear" w:color="auto" w:fill="auto"/>
            <w:vAlign w:val="center"/>
            <w:hideMark/>
          </w:tcPr>
          <w:p w14:paraId="1631BCED" w14:textId="77777777" w:rsidR="0028500C" w:rsidRPr="0028500C" w:rsidRDefault="0028500C" w:rsidP="0028500C">
            <w:pPr>
              <w:widowControl/>
              <w:autoSpaceDE/>
              <w:autoSpaceDN/>
              <w:rPr>
                <w:rFonts w:eastAsia="Times New Roman"/>
                <w:color w:val="000000"/>
                <w:sz w:val="18"/>
                <w:szCs w:val="18"/>
                <w:lang w:eastAsia="pt-BR" w:bidi="ar-SA"/>
              </w:rPr>
            </w:pPr>
            <w:r w:rsidRPr="0028500C">
              <w:rPr>
                <w:rFonts w:eastAsia="Times New Roman"/>
                <w:color w:val="000000"/>
                <w:sz w:val="18"/>
                <w:szCs w:val="18"/>
                <w:lang w:eastAsia="pt-BR" w:bidi="ar-SA"/>
              </w:rPr>
              <w:t> </w:t>
            </w:r>
          </w:p>
        </w:tc>
      </w:tr>
      <w:tr w:rsidR="0028500C" w:rsidRPr="0028500C" w14:paraId="5C4E7014" w14:textId="77777777" w:rsidTr="0067629F">
        <w:trPr>
          <w:trHeight w:val="510"/>
        </w:trPr>
        <w:tc>
          <w:tcPr>
            <w:tcW w:w="1611" w:type="dxa"/>
            <w:vMerge/>
            <w:tcBorders>
              <w:top w:val="single" w:sz="8" w:space="0" w:color="auto"/>
              <w:left w:val="single" w:sz="8" w:space="0" w:color="auto"/>
              <w:bottom w:val="single" w:sz="8" w:space="0" w:color="000000"/>
              <w:right w:val="single" w:sz="4" w:space="0" w:color="auto"/>
            </w:tcBorders>
            <w:vAlign w:val="center"/>
            <w:hideMark/>
          </w:tcPr>
          <w:p w14:paraId="0EE57657" w14:textId="77777777" w:rsidR="0028500C" w:rsidRPr="0028500C" w:rsidRDefault="0028500C" w:rsidP="0028500C">
            <w:pPr>
              <w:widowControl/>
              <w:autoSpaceDE/>
              <w:autoSpaceDN/>
              <w:rPr>
                <w:rFonts w:eastAsia="Times New Roman"/>
                <w:color w:val="000000"/>
                <w:sz w:val="20"/>
                <w:szCs w:val="20"/>
                <w:lang w:eastAsia="pt-BR" w:bidi="ar-SA"/>
              </w:rPr>
            </w:pPr>
          </w:p>
        </w:tc>
        <w:tc>
          <w:tcPr>
            <w:tcW w:w="1923" w:type="dxa"/>
            <w:tcBorders>
              <w:top w:val="nil"/>
              <w:left w:val="nil"/>
              <w:bottom w:val="single" w:sz="4" w:space="0" w:color="auto"/>
              <w:right w:val="single" w:sz="4" w:space="0" w:color="auto"/>
            </w:tcBorders>
            <w:shd w:val="clear" w:color="auto" w:fill="auto"/>
            <w:vAlign w:val="center"/>
            <w:hideMark/>
          </w:tcPr>
          <w:p w14:paraId="13F9B289"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3. Renovar 100% do parque tecnológico até dezembro de 2024</w:t>
            </w:r>
          </w:p>
        </w:tc>
        <w:tc>
          <w:tcPr>
            <w:tcW w:w="2268" w:type="dxa"/>
            <w:tcBorders>
              <w:top w:val="nil"/>
              <w:left w:val="nil"/>
              <w:bottom w:val="single" w:sz="4" w:space="0" w:color="auto"/>
              <w:right w:val="single" w:sz="4" w:space="0" w:color="auto"/>
            </w:tcBorders>
            <w:shd w:val="clear" w:color="auto" w:fill="auto"/>
            <w:vAlign w:val="center"/>
            <w:hideMark/>
          </w:tcPr>
          <w:p w14:paraId="6D42FDD2"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3. Renovar 25% do parque tecnológico até dezembro de 2021</w:t>
            </w:r>
          </w:p>
        </w:tc>
        <w:tc>
          <w:tcPr>
            <w:tcW w:w="1843" w:type="dxa"/>
            <w:tcBorders>
              <w:top w:val="nil"/>
              <w:left w:val="nil"/>
              <w:bottom w:val="single" w:sz="4" w:space="0" w:color="auto"/>
              <w:right w:val="single" w:sz="4" w:space="0" w:color="auto"/>
            </w:tcBorders>
            <w:shd w:val="clear" w:color="auto" w:fill="auto"/>
            <w:vAlign w:val="center"/>
            <w:hideMark/>
          </w:tcPr>
          <w:p w14:paraId="3E104924"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Sem iniciativas</w:t>
            </w:r>
          </w:p>
        </w:tc>
        <w:tc>
          <w:tcPr>
            <w:tcW w:w="2126" w:type="dxa"/>
            <w:tcBorders>
              <w:top w:val="nil"/>
              <w:left w:val="nil"/>
              <w:bottom w:val="single" w:sz="4" w:space="0" w:color="auto"/>
              <w:right w:val="single" w:sz="8" w:space="0" w:color="auto"/>
            </w:tcBorders>
            <w:shd w:val="clear" w:color="auto" w:fill="auto"/>
            <w:vAlign w:val="center"/>
            <w:hideMark/>
          </w:tcPr>
          <w:p w14:paraId="11D2BAA1" w14:textId="77777777" w:rsidR="0028500C" w:rsidRPr="0028500C" w:rsidRDefault="0028500C" w:rsidP="0028500C">
            <w:pPr>
              <w:widowControl/>
              <w:autoSpaceDE/>
              <w:autoSpaceDN/>
              <w:rPr>
                <w:rFonts w:eastAsia="Times New Roman"/>
                <w:color w:val="000000"/>
                <w:sz w:val="18"/>
                <w:szCs w:val="18"/>
                <w:lang w:eastAsia="pt-BR" w:bidi="ar-SA"/>
              </w:rPr>
            </w:pPr>
            <w:r w:rsidRPr="0028500C">
              <w:rPr>
                <w:rFonts w:eastAsia="Times New Roman"/>
                <w:color w:val="000000"/>
                <w:sz w:val="18"/>
                <w:szCs w:val="18"/>
                <w:lang w:eastAsia="pt-BR" w:bidi="ar-SA"/>
              </w:rPr>
              <w:t> </w:t>
            </w:r>
          </w:p>
        </w:tc>
      </w:tr>
      <w:tr w:rsidR="0028500C" w:rsidRPr="0028500C" w14:paraId="17980239" w14:textId="77777777" w:rsidTr="0067629F">
        <w:trPr>
          <w:trHeight w:val="765"/>
        </w:trPr>
        <w:tc>
          <w:tcPr>
            <w:tcW w:w="1611" w:type="dxa"/>
            <w:vMerge/>
            <w:tcBorders>
              <w:top w:val="single" w:sz="8" w:space="0" w:color="auto"/>
              <w:left w:val="single" w:sz="8" w:space="0" w:color="auto"/>
              <w:bottom w:val="single" w:sz="8" w:space="0" w:color="000000"/>
              <w:right w:val="single" w:sz="4" w:space="0" w:color="auto"/>
            </w:tcBorders>
            <w:vAlign w:val="center"/>
            <w:hideMark/>
          </w:tcPr>
          <w:p w14:paraId="482E94F1" w14:textId="77777777" w:rsidR="0028500C" w:rsidRPr="0028500C" w:rsidRDefault="0028500C" w:rsidP="0028500C">
            <w:pPr>
              <w:widowControl/>
              <w:autoSpaceDE/>
              <w:autoSpaceDN/>
              <w:rPr>
                <w:rFonts w:eastAsia="Times New Roman"/>
                <w:color w:val="000000"/>
                <w:sz w:val="20"/>
                <w:szCs w:val="20"/>
                <w:lang w:eastAsia="pt-BR" w:bidi="ar-SA"/>
              </w:rPr>
            </w:pPr>
          </w:p>
        </w:tc>
        <w:tc>
          <w:tcPr>
            <w:tcW w:w="1923" w:type="dxa"/>
            <w:tcBorders>
              <w:top w:val="nil"/>
              <w:left w:val="nil"/>
              <w:bottom w:val="single" w:sz="4" w:space="0" w:color="auto"/>
              <w:right w:val="single" w:sz="4" w:space="0" w:color="auto"/>
            </w:tcBorders>
            <w:shd w:val="clear" w:color="auto" w:fill="auto"/>
            <w:vAlign w:val="center"/>
            <w:hideMark/>
          </w:tcPr>
          <w:p w14:paraId="3E14CE0C"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4. Manter no mínimo 20% disponível de reserva de espaço em disco</w:t>
            </w:r>
          </w:p>
        </w:tc>
        <w:tc>
          <w:tcPr>
            <w:tcW w:w="2268" w:type="dxa"/>
            <w:tcBorders>
              <w:top w:val="nil"/>
              <w:left w:val="nil"/>
              <w:bottom w:val="single" w:sz="4" w:space="0" w:color="auto"/>
              <w:right w:val="single" w:sz="4" w:space="0" w:color="auto"/>
            </w:tcBorders>
            <w:shd w:val="clear" w:color="auto" w:fill="auto"/>
            <w:vAlign w:val="center"/>
            <w:hideMark/>
          </w:tcPr>
          <w:p w14:paraId="3F317CCC"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4. Manter no mínimo 20% disponível de reserva de espaço em disco</w:t>
            </w:r>
          </w:p>
        </w:tc>
        <w:tc>
          <w:tcPr>
            <w:tcW w:w="1843" w:type="dxa"/>
            <w:tcBorders>
              <w:top w:val="nil"/>
              <w:left w:val="nil"/>
              <w:bottom w:val="single" w:sz="4" w:space="0" w:color="auto"/>
              <w:right w:val="single" w:sz="4" w:space="0" w:color="auto"/>
            </w:tcBorders>
            <w:shd w:val="clear" w:color="auto" w:fill="auto"/>
            <w:vAlign w:val="center"/>
            <w:hideMark/>
          </w:tcPr>
          <w:p w14:paraId="688D812A"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Sem iniciativas</w:t>
            </w:r>
          </w:p>
        </w:tc>
        <w:tc>
          <w:tcPr>
            <w:tcW w:w="2126" w:type="dxa"/>
            <w:tcBorders>
              <w:top w:val="nil"/>
              <w:left w:val="nil"/>
              <w:bottom w:val="single" w:sz="4" w:space="0" w:color="auto"/>
              <w:right w:val="single" w:sz="8" w:space="0" w:color="auto"/>
            </w:tcBorders>
            <w:shd w:val="clear" w:color="auto" w:fill="auto"/>
            <w:vAlign w:val="center"/>
            <w:hideMark/>
          </w:tcPr>
          <w:p w14:paraId="17A1070B" w14:textId="77777777" w:rsidR="0028500C" w:rsidRPr="0028500C" w:rsidRDefault="0028500C" w:rsidP="0028500C">
            <w:pPr>
              <w:widowControl/>
              <w:autoSpaceDE/>
              <w:autoSpaceDN/>
              <w:rPr>
                <w:rFonts w:eastAsia="Times New Roman"/>
                <w:color w:val="000000"/>
                <w:sz w:val="18"/>
                <w:szCs w:val="18"/>
                <w:lang w:eastAsia="pt-BR" w:bidi="ar-SA"/>
              </w:rPr>
            </w:pPr>
            <w:r w:rsidRPr="0028500C">
              <w:rPr>
                <w:rFonts w:eastAsia="Times New Roman"/>
                <w:color w:val="000000"/>
                <w:sz w:val="18"/>
                <w:szCs w:val="18"/>
                <w:lang w:eastAsia="pt-BR" w:bidi="ar-SA"/>
              </w:rPr>
              <w:t> </w:t>
            </w:r>
          </w:p>
        </w:tc>
      </w:tr>
      <w:tr w:rsidR="0028500C" w:rsidRPr="0028500C" w14:paraId="6155A574" w14:textId="77777777" w:rsidTr="0067629F">
        <w:trPr>
          <w:trHeight w:val="975"/>
        </w:trPr>
        <w:tc>
          <w:tcPr>
            <w:tcW w:w="1611" w:type="dxa"/>
            <w:vMerge/>
            <w:tcBorders>
              <w:top w:val="single" w:sz="8" w:space="0" w:color="auto"/>
              <w:left w:val="single" w:sz="8" w:space="0" w:color="auto"/>
              <w:bottom w:val="single" w:sz="8" w:space="0" w:color="000000"/>
              <w:right w:val="single" w:sz="4" w:space="0" w:color="auto"/>
            </w:tcBorders>
            <w:vAlign w:val="center"/>
            <w:hideMark/>
          </w:tcPr>
          <w:p w14:paraId="3D99F449" w14:textId="77777777" w:rsidR="0028500C" w:rsidRPr="0028500C" w:rsidRDefault="0028500C" w:rsidP="0028500C">
            <w:pPr>
              <w:widowControl/>
              <w:autoSpaceDE/>
              <w:autoSpaceDN/>
              <w:rPr>
                <w:rFonts w:eastAsia="Times New Roman"/>
                <w:color w:val="000000"/>
                <w:sz w:val="20"/>
                <w:szCs w:val="20"/>
                <w:lang w:eastAsia="pt-BR" w:bidi="ar-SA"/>
              </w:rPr>
            </w:pPr>
          </w:p>
        </w:tc>
        <w:tc>
          <w:tcPr>
            <w:tcW w:w="1923" w:type="dxa"/>
            <w:tcBorders>
              <w:top w:val="nil"/>
              <w:left w:val="nil"/>
              <w:bottom w:val="single" w:sz="8" w:space="0" w:color="auto"/>
              <w:right w:val="single" w:sz="4" w:space="0" w:color="auto"/>
            </w:tcBorders>
            <w:shd w:val="clear" w:color="auto" w:fill="auto"/>
            <w:vAlign w:val="center"/>
            <w:hideMark/>
          </w:tcPr>
          <w:p w14:paraId="563D7B78"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5. Implantar 100% do Documento de Transporte Eletrônico (DTE) até junho de 2022</w:t>
            </w:r>
          </w:p>
        </w:tc>
        <w:tc>
          <w:tcPr>
            <w:tcW w:w="2268" w:type="dxa"/>
            <w:tcBorders>
              <w:top w:val="nil"/>
              <w:left w:val="nil"/>
              <w:bottom w:val="single" w:sz="8" w:space="0" w:color="auto"/>
              <w:right w:val="single" w:sz="4" w:space="0" w:color="auto"/>
            </w:tcBorders>
            <w:shd w:val="clear" w:color="000000" w:fill="C5ADCB"/>
            <w:vAlign w:val="center"/>
            <w:hideMark/>
          </w:tcPr>
          <w:p w14:paraId="0FB69A77"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5. Realizar operação assistida do Documento de Transporte Eletrônico (DTe) até dezembro de 2021</w:t>
            </w:r>
          </w:p>
        </w:tc>
        <w:tc>
          <w:tcPr>
            <w:tcW w:w="1843" w:type="dxa"/>
            <w:tcBorders>
              <w:top w:val="nil"/>
              <w:left w:val="nil"/>
              <w:bottom w:val="single" w:sz="8" w:space="0" w:color="auto"/>
              <w:right w:val="single" w:sz="4" w:space="0" w:color="auto"/>
            </w:tcBorders>
            <w:shd w:val="clear" w:color="000000" w:fill="C5ADCB"/>
            <w:vAlign w:val="center"/>
            <w:hideMark/>
          </w:tcPr>
          <w:p w14:paraId="6B5081F9"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10. Realizar operação assistida do Documento de Transporte Eletrônico (DTe) até dezembro de 2021</w:t>
            </w:r>
          </w:p>
        </w:tc>
        <w:tc>
          <w:tcPr>
            <w:tcW w:w="2126" w:type="dxa"/>
            <w:tcBorders>
              <w:top w:val="nil"/>
              <w:left w:val="nil"/>
              <w:bottom w:val="single" w:sz="8" w:space="0" w:color="auto"/>
              <w:right w:val="single" w:sz="8" w:space="0" w:color="auto"/>
            </w:tcBorders>
            <w:shd w:val="clear" w:color="auto" w:fill="auto"/>
            <w:vAlign w:val="center"/>
            <w:hideMark/>
          </w:tcPr>
          <w:p w14:paraId="0A9716E2" w14:textId="77777777" w:rsidR="0028500C" w:rsidRPr="0028500C" w:rsidRDefault="0028500C" w:rsidP="0028500C">
            <w:pPr>
              <w:widowControl/>
              <w:autoSpaceDE/>
              <w:autoSpaceDN/>
              <w:rPr>
                <w:rFonts w:eastAsia="Times New Roman"/>
                <w:color w:val="000000"/>
                <w:sz w:val="18"/>
                <w:szCs w:val="18"/>
                <w:lang w:eastAsia="pt-BR" w:bidi="ar-SA"/>
              </w:rPr>
            </w:pPr>
            <w:r w:rsidRPr="0028500C">
              <w:rPr>
                <w:rFonts w:eastAsia="Times New Roman"/>
                <w:color w:val="000000"/>
                <w:sz w:val="18"/>
                <w:szCs w:val="18"/>
                <w:lang w:eastAsia="pt-BR" w:bidi="ar-SA"/>
              </w:rPr>
              <w:t>A meta 3.1.5 e iniciativa 3.1.10 foram paralisadas tendo em vista a orientação do MInfra de que o projeto seja conduzido pelo SERPRO.</w:t>
            </w:r>
          </w:p>
        </w:tc>
      </w:tr>
      <w:tr w:rsidR="0028500C" w:rsidRPr="0028500C" w14:paraId="1D657ACD" w14:textId="77777777" w:rsidTr="0067629F">
        <w:trPr>
          <w:trHeight w:val="2550"/>
        </w:trPr>
        <w:tc>
          <w:tcPr>
            <w:tcW w:w="1611" w:type="dxa"/>
            <w:vMerge w:val="restart"/>
            <w:tcBorders>
              <w:top w:val="nil"/>
              <w:left w:val="single" w:sz="8" w:space="0" w:color="auto"/>
              <w:bottom w:val="single" w:sz="8" w:space="0" w:color="000000"/>
              <w:right w:val="single" w:sz="4" w:space="0" w:color="auto"/>
            </w:tcBorders>
            <w:shd w:val="clear" w:color="auto" w:fill="auto"/>
            <w:vAlign w:val="center"/>
            <w:hideMark/>
          </w:tcPr>
          <w:p w14:paraId="2DB94CAD" w14:textId="77777777" w:rsidR="0028500C" w:rsidRPr="0028500C" w:rsidRDefault="0028500C" w:rsidP="0028500C">
            <w:pPr>
              <w:widowControl/>
              <w:autoSpaceDE/>
              <w:autoSpaceDN/>
              <w:jc w:val="center"/>
              <w:rPr>
                <w:rFonts w:eastAsia="Times New Roman"/>
                <w:color w:val="000000"/>
                <w:sz w:val="20"/>
                <w:szCs w:val="20"/>
                <w:lang w:eastAsia="pt-BR" w:bidi="ar-SA"/>
              </w:rPr>
            </w:pPr>
            <w:r w:rsidRPr="0028500C">
              <w:rPr>
                <w:rFonts w:eastAsia="Times New Roman"/>
                <w:color w:val="000000"/>
                <w:sz w:val="20"/>
                <w:szCs w:val="20"/>
                <w:lang w:eastAsia="pt-BR" w:bidi="ar-SA"/>
              </w:rPr>
              <w:t>Objetivo 3.2 - Desenvolver, valorizar e atrair talentos</w:t>
            </w:r>
          </w:p>
        </w:tc>
        <w:tc>
          <w:tcPr>
            <w:tcW w:w="1923" w:type="dxa"/>
            <w:tcBorders>
              <w:top w:val="nil"/>
              <w:left w:val="nil"/>
              <w:bottom w:val="single" w:sz="4" w:space="0" w:color="auto"/>
              <w:right w:val="single" w:sz="4" w:space="0" w:color="auto"/>
            </w:tcBorders>
            <w:shd w:val="clear" w:color="auto" w:fill="auto"/>
            <w:vAlign w:val="center"/>
            <w:hideMark/>
          </w:tcPr>
          <w:p w14:paraId="38BF5427"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1. Capacitar 75% dos empregados até 2022</w:t>
            </w:r>
          </w:p>
        </w:tc>
        <w:tc>
          <w:tcPr>
            <w:tcW w:w="2268" w:type="dxa"/>
            <w:tcBorders>
              <w:top w:val="nil"/>
              <w:left w:val="nil"/>
              <w:bottom w:val="single" w:sz="4" w:space="0" w:color="auto"/>
              <w:right w:val="single" w:sz="4" w:space="0" w:color="auto"/>
            </w:tcBorders>
            <w:shd w:val="clear" w:color="auto" w:fill="auto"/>
            <w:vAlign w:val="center"/>
            <w:hideMark/>
          </w:tcPr>
          <w:p w14:paraId="1F0C24B3"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1. Capacitar 50% dos empregados até 2021</w:t>
            </w:r>
          </w:p>
        </w:tc>
        <w:tc>
          <w:tcPr>
            <w:tcW w:w="1843" w:type="dxa"/>
            <w:tcBorders>
              <w:top w:val="nil"/>
              <w:left w:val="nil"/>
              <w:bottom w:val="single" w:sz="4" w:space="0" w:color="auto"/>
              <w:right w:val="nil"/>
            </w:tcBorders>
            <w:shd w:val="clear" w:color="auto" w:fill="auto"/>
            <w:vAlign w:val="center"/>
            <w:hideMark/>
          </w:tcPr>
          <w:p w14:paraId="2FE8BA46"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5. Elaborar dicionário de competências até janeiro de 2021</w:t>
            </w:r>
            <w:r w:rsidRPr="0028500C">
              <w:rPr>
                <w:rFonts w:eastAsia="Times New Roman"/>
                <w:color w:val="000000"/>
                <w:sz w:val="20"/>
                <w:szCs w:val="20"/>
                <w:lang w:eastAsia="pt-BR" w:bidi="ar-SA"/>
              </w:rPr>
              <w:br/>
              <w:t>8. Mapear ciclo de competências até março de 2021</w:t>
            </w:r>
            <w:r w:rsidRPr="0028500C">
              <w:rPr>
                <w:rFonts w:eastAsia="Times New Roman"/>
                <w:color w:val="000000"/>
                <w:sz w:val="20"/>
                <w:szCs w:val="20"/>
                <w:lang w:eastAsia="pt-BR" w:bidi="ar-SA"/>
              </w:rPr>
              <w:br/>
              <w:t>9. Implantação do plano de capacitação e de desenvolvimento de líderes em janeiro de 2021</w:t>
            </w:r>
            <w:r w:rsidRPr="0028500C">
              <w:rPr>
                <w:rFonts w:eastAsia="Times New Roman"/>
                <w:color w:val="000000"/>
                <w:sz w:val="20"/>
                <w:szCs w:val="20"/>
                <w:lang w:eastAsia="pt-BR" w:bidi="ar-SA"/>
              </w:rPr>
              <w:br/>
              <w:t xml:space="preserve">10. Implantação de certificação de agentes de compras públicas e gestor/fiscal de contratos até abril de 2021 </w:t>
            </w:r>
          </w:p>
        </w:tc>
        <w:tc>
          <w:tcPr>
            <w:tcW w:w="2126" w:type="dxa"/>
            <w:tcBorders>
              <w:top w:val="nil"/>
              <w:left w:val="single" w:sz="4" w:space="0" w:color="auto"/>
              <w:bottom w:val="single" w:sz="4" w:space="0" w:color="auto"/>
              <w:right w:val="single" w:sz="8" w:space="0" w:color="auto"/>
            </w:tcBorders>
            <w:shd w:val="clear" w:color="auto" w:fill="auto"/>
            <w:vAlign w:val="center"/>
            <w:hideMark/>
          </w:tcPr>
          <w:p w14:paraId="0E3EE1B4" w14:textId="77777777" w:rsidR="0028500C" w:rsidRPr="0028500C" w:rsidRDefault="0028500C" w:rsidP="0028500C">
            <w:pPr>
              <w:widowControl/>
              <w:autoSpaceDE/>
              <w:autoSpaceDN/>
              <w:rPr>
                <w:rFonts w:eastAsia="Times New Roman"/>
                <w:color w:val="000000"/>
                <w:sz w:val="18"/>
                <w:szCs w:val="18"/>
                <w:lang w:eastAsia="pt-BR" w:bidi="ar-SA"/>
              </w:rPr>
            </w:pPr>
            <w:r w:rsidRPr="0028500C">
              <w:rPr>
                <w:rFonts w:eastAsia="Times New Roman"/>
                <w:color w:val="000000"/>
                <w:sz w:val="18"/>
                <w:szCs w:val="18"/>
                <w:lang w:eastAsia="pt-BR" w:bidi="ar-SA"/>
              </w:rPr>
              <w:t> </w:t>
            </w:r>
          </w:p>
        </w:tc>
      </w:tr>
      <w:tr w:rsidR="0028500C" w:rsidRPr="0028500C" w14:paraId="5DF3359D" w14:textId="77777777" w:rsidTr="0067629F">
        <w:trPr>
          <w:trHeight w:val="1785"/>
        </w:trPr>
        <w:tc>
          <w:tcPr>
            <w:tcW w:w="1611" w:type="dxa"/>
            <w:vMerge/>
            <w:tcBorders>
              <w:top w:val="nil"/>
              <w:left w:val="single" w:sz="8" w:space="0" w:color="auto"/>
              <w:bottom w:val="single" w:sz="8" w:space="0" w:color="000000"/>
              <w:right w:val="single" w:sz="4" w:space="0" w:color="auto"/>
            </w:tcBorders>
            <w:vAlign w:val="center"/>
            <w:hideMark/>
          </w:tcPr>
          <w:p w14:paraId="5924DE17" w14:textId="77777777" w:rsidR="0028500C" w:rsidRPr="0028500C" w:rsidRDefault="0028500C" w:rsidP="0028500C">
            <w:pPr>
              <w:widowControl/>
              <w:autoSpaceDE/>
              <w:autoSpaceDN/>
              <w:rPr>
                <w:rFonts w:eastAsia="Times New Roman"/>
                <w:color w:val="000000"/>
                <w:sz w:val="20"/>
                <w:szCs w:val="20"/>
                <w:lang w:eastAsia="pt-BR" w:bidi="ar-SA"/>
              </w:rPr>
            </w:pPr>
          </w:p>
        </w:tc>
        <w:tc>
          <w:tcPr>
            <w:tcW w:w="1923" w:type="dxa"/>
            <w:tcBorders>
              <w:top w:val="nil"/>
              <w:left w:val="nil"/>
              <w:bottom w:val="single" w:sz="4" w:space="0" w:color="auto"/>
              <w:right w:val="single" w:sz="4" w:space="0" w:color="auto"/>
            </w:tcBorders>
            <w:shd w:val="clear" w:color="auto" w:fill="auto"/>
            <w:vAlign w:val="center"/>
            <w:hideMark/>
          </w:tcPr>
          <w:p w14:paraId="76690D77"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2. Capacitar 100% gestores até dezembro de 2022</w:t>
            </w:r>
          </w:p>
        </w:tc>
        <w:tc>
          <w:tcPr>
            <w:tcW w:w="2268" w:type="dxa"/>
            <w:tcBorders>
              <w:top w:val="nil"/>
              <w:left w:val="nil"/>
              <w:bottom w:val="single" w:sz="4" w:space="0" w:color="auto"/>
              <w:right w:val="single" w:sz="4" w:space="0" w:color="auto"/>
            </w:tcBorders>
            <w:shd w:val="clear" w:color="auto" w:fill="auto"/>
            <w:vAlign w:val="center"/>
            <w:hideMark/>
          </w:tcPr>
          <w:p w14:paraId="37368AC3"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2. Capacitar 80% dos gestores até dezembro de 2021</w:t>
            </w:r>
          </w:p>
        </w:tc>
        <w:tc>
          <w:tcPr>
            <w:tcW w:w="1843" w:type="dxa"/>
            <w:tcBorders>
              <w:top w:val="nil"/>
              <w:left w:val="nil"/>
              <w:bottom w:val="single" w:sz="4" w:space="0" w:color="auto"/>
              <w:right w:val="nil"/>
            </w:tcBorders>
            <w:shd w:val="clear" w:color="auto" w:fill="auto"/>
            <w:vAlign w:val="center"/>
            <w:hideMark/>
          </w:tcPr>
          <w:p w14:paraId="4276307C"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5. Elaborar dicionário de competências até janeiro de 2021</w:t>
            </w:r>
            <w:r w:rsidRPr="0028500C">
              <w:rPr>
                <w:rFonts w:eastAsia="Times New Roman"/>
                <w:color w:val="000000"/>
                <w:sz w:val="20"/>
                <w:szCs w:val="20"/>
                <w:lang w:eastAsia="pt-BR" w:bidi="ar-SA"/>
              </w:rPr>
              <w:br/>
              <w:t>8. Mapear ciclo de competências até março de 2021</w:t>
            </w:r>
            <w:r w:rsidRPr="0028500C">
              <w:rPr>
                <w:rFonts w:eastAsia="Times New Roman"/>
                <w:color w:val="000000"/>
                <w:sz w:val="20"/>
                <w:szCs w:val="20"/>
                <w:lang w:eastAsia="pt-BR" w:bidi="ar-SA"/>
              </w:rPr>
              <w:br/>
              <w:t>9. Implantação do plano de capacitação e de desenvolvimento de líderes em janeiro de 2021</w:t>
            </w:r>
          </w:p>
        </w:tc>
        <w:tc>
          <w:tcPr>
            <w:tcW w:w="2126" w:type="dxa"/>
            <w:tcBorders>
              <w:top w:val="nil"/>
              <w:left w:val="single" w:sz="4" w:space="0" w:color="auto"/>
              <w:bottom w:val="single" w:sz="4" w:space="0" w:color="auto"/>
              <w:right w:val="single" w:sz="8" w:space="0" w:color="auto"/>
            </w:tcBorders>
            <w:shd w:val="clear" w:color="auto" w:fill="auto"/>
            <w:vAlign w:val="center"/>
            <w:hideMark/>
          </w:tcPr>
          <w:p w14:paraId="4B2ED020" w14:textId="77777777" w:rsidR="0028500C" w:rsidRPr="0028500C" w:rsidRDefault="0028500C" w:rsidP="0028500C">
            <w:pPr>
              <w:widowControl/>
              <w:autoSpaceDE/>
              <w:autoSpaceDN/>
              <w:rPr>
                <w:rFonts w:eastAsia="Times New Roman"/>
                <w:color w:val="000000"/>
                <w:sz w:val="18"/>
                <w:szCs w:val="18"/>
                <w:lang w:eastAsia="pt-BR" w:bidi="ar-SA"/>
              </w:rPr>
            </w:pPr>
            <w:r w:rsidRPr="0028500C">
              <w:rPr>
                <w:rFonts w:eastAsia="Times New Roman"/>
                <w:color w:val="000000"/>
                <w:sz w:val="18"/>
                <w:szCs w:val="18"/>
                <w:lang w:eastAsia="pt-BR" w:bidi="ar-SA"/>
              </w:rPr>
              <w:t> </w:t>
            </w:r>
          </w:p>
        </w:tc>
      </w:tr>
      <w:tr w:rsidR="0028500C" w:rsidRPr="0028500C" w14:paraId="0500712E" w14:textId="77777777" w:rsidTr="0067629F">
        <w:trPr>
          <w:trHeight w:val="765"/>
        </w:trPr>
        <w:tc>
          <w:tcPr>
            <w:tcW w:w="1611" w:type="dxa"/>
            <w:vMerge/>
            <w:tcBorders>
              <w:top w:val="nil"/>
              <w:left w:val="single" w:sz="8" w:space="0" w:color="auto"/>
              <w:bottom w:val="single" w:sz="8" w:space="0" w:color="000000"/>
              <w:right w:val="single" w:sz="4" w:space="0" w:color="auto"/>
            </w:tcBorders>
            <w:vAlign w:val="center"/>
            <w:hideMark/>
          </w:tcPr>
          <w:p w14:paraId="565CA7A5" w14:textId="77777777" w:rsidR="0028500C" w:rsidRPr="0028500C" w:rsidRDefault="0028500C" w:rsidP="0028500C">
            <w:pPr>
              <w:widowControl/>
              <w:autoSpaceDE/>
              <w:autoSpaceDN/>
              <w:rPr>
                <w:rFonts w:eastAsia="Times New Roman"/>
                <w:color w:val="000000"/>
                <w:sz w:val="20"/>
                <w:szCs w:val="20"/>
                <w:lang w:eastAsia="pt-BR" w:bidi="ar-SA"/>
              </w:rPr>
            </w:pPr>
          </w:p>
        </w:tc>
        <w:tc>
          <w:tcPr>
            <w:tcW w:w="1923" w:type="dxa"/>
            <w:tcBorders>
              <w:top w:val="nil"/>
              <w:left w:val="nil"/>
              <w:bottom w:val="single" w:sz="4" w:space="0" w:color="auto"/>
              <w:right w:val="single" w:sz="4" w:space="0" w:color="auto"/>
            </w:tcBorders>
            <w:shd w:val="clear" w:color="auto" w:fill="auto"/>
            <w:vAlign w:val="center"/>
            <w:hideMark/>
          </w:tcPr>
          <w:p w14:paraId="3B983617"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3. Atingir 80% de satisfação com o clima organizacional da Valec até dezembro de 2022</w:t>
            </w:r>
          </w:p>
        </w:tc>
        <w:tc>
          <w:tcPr>
            <w:tcW w:w="2268" w:type="dxa"/>
            <w:tcBorders>
              <w:top w:val="nil"/>
              <w:left w:val="nil"/>
              <w:bottom w:val="single" w:sz="4" w:space="0" w:color="auto"/>
              <w:right w:val="single" w:sz="4" w:space="0" w:color="auto"/>
            </w:tcBorders>
            <w:shd w:val="clear" w:color="auto" w:fill="auto"/>
            <w:vAlign w:val="center"/>
            <w:hideMark/>
          </w:tcPr>
          <w:p w14:paraId="595FDF54"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3. Realizar 06 ações relacionadas à QVT por ano, ou seja, 1 ação por bimestre até 2022</w:t>
            </w:r>
          </w:p>
        </w:tc>
        <w:tc>
          <w:tcPr>
            <w:tcW w:w="1843" w:type="dxa"/>
            <w:tcBorders>
              <w:top w:val="nil"/>
              <w:left w:val="nil"/>
              <w:bottom w:val="single" w:sz="4" w:space="0" w:color="auto"/>
              <w:right w:val="nil"/>
            </w:tcBorders>
            <w:shd w:val="clear" w:color="auto" w:fill="auto"/>
            <w:vAlign w:val="center"/>
            <w:hideMark/>
          </w:tcPr>
          <w:p w14:paraId="4E078496"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 xml:space="preserve">6. Implantar QVT até março de 2022 </w:t>
            </w:r>
          </w:p>
        </w:tc>
        <w:tc>
          <w:tcPr>
            <w:tcW w:w="2126" w:type="dxa"/>
            <w:tcBorders>
              <w:top w:val="nil"/>
              <w:left w:val="single" w:sz="4" w:space="0" w:color="auto"/>
              <w:bottom w:val="single" w:sz="4" w:space="0" w:color="auto"/>
              <w:right w:val="single" w:sz="8" w:space="0" w:color="auto"/>
            </w:tcBorders>
            <w:shd w:val="clear" w:color="auto" w:fill="auto"/>
            <w:vAlign w:val="center"/>
            <w:hideMark/>
          </w:tcPr>
          <w:p w14:paraId="11765DFD" w14:textId="77777777" w:rsidR="0028500C" w:rsidRPr="0028500C" w:rsidRDefault="0028500C" w:rsidP="0028500C">
            <w:pPr>
              <w:widowControl/>
              <w:autoSpaceDE/>
              <w:autoSpaceDN/>
              <w:rPr>
                <w:rFonts w:eastAsia="Times New Roman"/>
                <w:color w:val="000000"/>
                <w:sz w:val="18"/>
                <w:szCs w:val="18"/>
                <w:lang w:eastAsia="pt-BR" w:bidi="ar-SA"/>
              </w:rPr>
            </w:pPr>
            <w:r w:rsidRPr="0028500C">
              <w:rPr>
                <w:rFonts w:eastAsia="Times New Roman"/>
                <w:color w:val="000000"/>
                <w:sz w:val="18"/>
                <w:szCs w:val="18"/>
                <w:lang w:eastAsia="pt-BR" w:bidi="ar-SA"/>
              </w:rPr>
              <w:t> </w:t>
            </w:r>
          </w:p>
        </w:tc>
      </w:tr>
      <w:tr w:rsidR="0028500C" w:rsidRPr="0028500C" w14:paraId="5074DE5C" w14:textId="77777777" w:rsidTr="0067629F">
        <w:trPr>
          <w:trHeight w:val="1290"/>
        </w:trPr>
        <w:tc>
          <w:tcPr>
            <w:tcW w:w="1611" w:type="dxa"/>
            <w:vMerge/>
            <w:tcBorders>
              <w:top w:val="nil"/>
              <w:left w:val="single" w:sz="8" w:space="0" w:color="auto"/>
              <w:bottom w:val="single" w:sz="8" w:space="0" w:color="000000"/>
              <w:right w:val="single" w:sz="4" w:space="0" w:color="auto"/>
            </w:tcBorders>
            <w:vAlign w:val="center"/>
            <w:hideMark/>
          </w:tcPr>
          <w:p w14:paraId="7D02A303" w14:textId="77777777" w:rsidR="0028500C" w:rsidRPr="0028500C" w:rsidRDefault="0028500C" w:rsidP="0028500C">
            <w:pPr>
              <w:widowControl/>
              <w:autoSpaceDE/>
              <w:autoSpaceDN/>
              <w:rPr>
                <w:rFonts w:eastAsia="Times New Roman"/>
                <w:color w:val="000000"/>
                <w:sz w:val="20"/>
                <w:szCs w:val="20"/>
                <w:lang w:eastAsia="pt-BR" w:bidi="ar-SA"/>
              </w:rPr>
            </w:pPr>
          </w:p>
        </w:tc>
        <w:tc>
          <w:tcPr>
            <w:tcW w:w="1923" w:type="dxa"/>
            <w:tcBorders>
              <w:top w:val="nil"/>
              <w:left w:val="nil"/>
              <w:bottom w:val="single" w:sz="8" w:space="0" w:color="auto"/>
              <w:right w:val="single" w:sz="4" w:space="0" w:color="auto"/>
            </w:tcBorders>
            <w:shd w:val="clear" w:color="auto" w:fill="auto"/>
            <w:vAlign w:val="center"/>
            <w:hideMark/>
          </w:tcPr>
          <w:p w14:paraId="693497DC"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4. Prover 50% dos cargos gerenciais vagos (por escolha da diretoria) da Valec por meio de processos seletivos até dezembro de 2024</w:t>
            </w:r>
          </w:p>
        </w:tc>
        <w:tc>
          <w:tcPr>
            <w:tcW w:w="2268" w:type="dxa"/>
            <w:tcBorders>
              <w:top w:val="nil"/>
              <w:left w:val="nil"/>
              <w:bottom w:val="single" w:sz="8" w:space="0" w:color="auto"/>
              <w:right w:val="single" w:sz="4" w:space="0" w:color="auto"/>
            </w:tcBorders>
            <w:shd w:val="clear" w:color="auto" w:fill="auto"/>
            <w:vAlign w:val="center"/>
            <w:hideMark/>
          </w:tcPr>
          <w:p w14:paraId="21B2B0CF"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4. Prover 50% dos cargos gerenciais vagos (por escolha da diretoria) da Valec por meio de processos seletivos até dezembro de 2021</w:t>
            </w:r>
          </w:p>
        </w:tc>
        <w:tc>
          <w:tcPr>
            <w:tcW w:w="1843" w:type="dxa"/>
            <w:tcBorders>
              <w:top w:val="nil"/>
              <w:left w:val="nil"/>
              <w:bottom w:val="single" w:sz="8" w:space="0" w:color="auto"/>
              <w:right w:val="nil"/>
            </w:tcBorders>
            <w:shd w:val="clear" w:color="auto" w:fill="auto"/>
            <w:vAlign w:val="center"/>
            <w:hideMark/>
          </w:tcPr>
          <w:p w14:paraId="5F35BF87"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1. Implantar processo seletivo inovador até junho de 2021</w:t>
            </w:r>
          </w:p>
        </w:tc>
        <w:tc>
          <w:tcPr>
            <w:tcW w:w="2126" w:type="dxa"/>
            <w:tcBorders>
              <w:top w:val="nil"/>
              <w:left w:val="single" w:sz="4" w:space="0" w:color="auto"/>
              <w:bottom w:val="single" w:sz="8" w:space="0" w:color="auto"/>
              <w:right w:val="single" w:sz="8" w:space="0" w:color="auto"/>
            </w:tcBorders>
            <w:shd w:val="clear" w:color="auto" w:fill="auto"/>
            <w:vAlign w:val="center"/>
            <w:hideMark/>
          </w:tcPr>
          <w:p w14:paraId="2C017F14" w14:textId="77777777" w:rsidR="0028500C" w:rsidRPr="0028500C" w:rsidRDefault="0028500C" w:rsidP="0028500C">
            <w:pPr>
              <w:widowControl/>
              <w:autoSpaceDE/>
              <w:autoSpaceDN/>
              <w:rPr>
                <w:rFonts w:eastAsia="Times New Roman"/>
                <w:color w:val="000000"/>
                <w:sz w:val="18"/>
                <w:szCs w:val="18"/>
                <w:lang w:eastAsia="pt-BR" w:bidi="ar-SA"/>
              </w:rPr>
            </w:pPr>
            <w:r w:rsidRPr="0028500C">
              <w:rPr>
                <w:rFonts w:eastAsia="Times New Roman"/>
                <w:color w:val="000000"/>
                <w:sz w:val="18"/>
                <w:szCs w:val="18"/>
                <w:lang w:eastAsia="pt-BR" w:bidi="ar-SA"/>
              </w:rPr>
              <w:t> </w:t>
            </w:r>
          </w:p>
        </w:tc>
      </w:tr>
      <w:tr w:rsidR="0028500C" w:rsidRPr="0028500C" w14:paraId="21350375" w14:textId="77777777" w:rsidTr="0067629F">
        <w:trPr>
          <w:trHeight w:val="1275"/>
        </w:trPr>
        <w:tc>
          <w:tcPr>
            <w:tcW w:w="1611" w:type="dxa"/>
            <w:vMerge w:val="restart"/>
            <w:tcBorders>
              <w:top w:val="nil"/>
              <w:left w:val="single" w:sz="8" w:space="0" w:color="auto"/>
              <w:bottom w:val="single" w:sz="8" w:space="0" w:color="000000"/>
              <w:right w:val="single" w:sz="4" w:space="0" w:color="auto"/>
            </w:tcBorders>
            <w:shd w:val="clear" w:color="auto" w:fill="auto"/>
            <w:vAlign w:val="center"/>
            <w:hideMark/>
          </w:tcPr>
          <w:p w14:paraId="2E833CD3" w14:textId="77777777" w:rsidR="0028500C" w:rsidRPr="0028500C" w:rsidRDefault="0028500C" w:rsidP="0028500C">
            <w:pPr>
              <w:widowControl/>
              <w:autoSpaceDE/>
              <w:autoSpaceDN/>
              <w:jc w:val="center"/>
              <w:rPr>
                <w:rFonts w:eastAsia="Times New Roman"/>
                <w:color w:val="000000"/>
                <w:sz w:val="20"/>
                <w:szCs w:val="20"/>
                <w:lang w:eastAsia="pt-BR" w:bidi="ar-SA"/>
              </w:rPr>
            </w:pPr>
            <w:r w:rsidRPr="0028500C">
              <w:rPr>
                <w:rFonts w:eastAsia="Times New Roman"/>
                <w:color w:val="000000"/>
                <w:sz w:val="20"/>
                <w:szCs w:val="20"/>
                <w:lang w:eastAsia="pt-BR" w:bidi="ar-SA"/>
              </w:rPr>
              <w:t>Objetivo 3.3 - Modernizar e simplificar processos e instituir cultura de gestão de resultados</w:t>
            </w:r>
          </w:p>
        </w:tc>
        <w:tc>
          <w:tcPr>
            <w:tcW w:w="1923" w:type="dxa"/>
            <w:tcBorders>
              <w:top w:val="nil"/>
              <w:left w:val="nil"/>
              <w:bottom w:val="single" w:sz="4" w:space="0" w:color="auto"/>
              <w:right w:val="single" w:sz="4" w:space="0" w:color="auto"/>
            </w:tcBorders>
            <w:shd w:val="clear" w:color="auto" w:fill="auto"/>
            <w:vAlign w:val="center"/>
            <w:hideMark/>
          </w:tcPr>
          <w:p w14:paraId="7BC1367A"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1. (Re)desenhar 100% dos processos-chave até dezembro de 2022</w:t>
            </w:r>
          </w:p>
        </w:tc>
        <w:tc>
          <w:tcPr>
            <w:tcW w:w="2268" w:type="dxa"/>
            <w:tcBorders>
              <w:top w:val="nil"/>
              <w:left w:val="nil"/>
              <w:bottom w:val="single" w:sz="4" w:space="0" w:color="auto"/>
              <w:right w:val="single" w:sz="4" w:space="0" w:color="auto"/>
            </w:tcBorders>
            <w:shd w:val="clear" w:color="auto" w:fill="auto"/>
            <w:vAlign w:val="center"/>
            <w:hideMark/>
          </w:tcPr>
          <w:p w14:paraId="3E53DFA1"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1. (Re)desenhar 2 processos-chave até dezembro de 2022</w:t>
            </w:r>
          </w:p>
        </w:tc>
        <w:tc>
          <w:tcPr>
            <w:tcW w:w="1843" w:type="dxa"/>
            <w:tcBorders>
              <w:top w:val="nil"/>
              <w:left w:val="nil"/>
              <w:bottom w:val="single" w:sz="4" w:space="0" w:color="auto"/>
              <w:right w:val="nil"/>
            </w:tcBorders>
            <w:shd w:val="clear" w:color="auto" w:fill="auto"/>
            <w:vAlign w:val="center"/>
            <w:hideMark/>
          </w:tcPr>
          <w:p w14:paraId="32B70053"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 xml:space="preserve">3. (Re)desenhar todos os processos-chave até dezembro de 2022 </w:t>
            </w:r>
          </w:p>
        </w:tc>
        <w:tc>
          <w:tcPr>
            <w:tcW w:w="2126" w:type="dxa"/>
            <w:tcBorders>
              <w:top w:val="nil"/>
              <w:left w:val="single" w:sz="4" w:space="0" w:color="auto"/>
              <w:bottom w:val="single" w:sz="4" w:space="0" w:color="auto"/>
              <w:right w:val="single" w:sz="8" w:space="0" w:color="auto"/>
            </w:tcBorders>
            <w:shd w:val="clear" w:color="auto" w:fill="auto"/>
            <w:vAlign w:val="center"/>
            <w:hideMark/>
          </w:tcPr>
          <w:p w14:paraId="31944C04" w14:textId="77777777" w:rsidR="0028500C" w:rsidRPr="0028500C" w:rsidRDefault="0028500C" w:rsidP="0028500C">
            <w:pPr>
              <w:widowControl/>
              <w:autoSpaceDE/>
              <w:autoSpaceDN/>
              <w:rPr>
                <w:rFonts w:eastAsia="Times New Roman"/>
                <w:color w:val="000000"/>
                <w:sz w:val="18"/>
                <w:szCs w:val="18"/>
                <w:lang w:eastAsia="pt-BR" w:bidi="ar-SA"/>
              </w:rPr>
            </w:pPr>
            <w:r w:rsidRPr="0028500C">
              <w:rPr>
                <w:rFonts w:eastAsia="Times New Roman"/>
                <w:color w:val="000000"/>
                <w:sz w:val="18"/>
                <w:szCs w:val="18"/>
                <w:lang w:eastAsia="pt-BR" w:bidi="ar-SA"/>
              </w:rPr>
              <w:t>Os processos-chave estão especificados no Processo SEI 51402.103595/2020-14 como processos priorizados.</w:t>
            </w:r>
          </w:p>
        </w:tc>
      </w:tr>
      <w:tr w:rsidR="0028500C" w:rsidRPr="0028500C" w14:paraId="4596DE2A" w14:textId="77777777" w:rsidTr="0067629F">
        <w:trPr>
          <w:trHeight w:val="2400"/>
        </w:trPr>
        <w:tc>
          <w:tcPr>
            <w:tcW w:w="1611" w:type="dxa"/>
            <w:vMerge/>
            <w:tcBorders>
              <w:top w:val="nil"/>
              <w:left w:val="single" w:sz="8" w:space="0" w:color="auto"/>
              <w:bottom w:val="single" w:sz="8" w:space="0" w:color="000000"/>
              <w:right w:val="single" w:sz="4" w:space="0" w:color="auto"/>
            </w:tcBorders>
            <w:vAlign w:val="center"/>
            <w:hideMark/>
          </w:tcPr>
          <w:p w14:paraId="09D2565B" w14:textId="77777777" w:rsidR="0028500C" w:rsidRPr="0028500C" w:rsidRDefault="0028500C" w:rsidP="0028500C">
            <w:pPr>
              <w:widowControl/>
              <w:autoSpaceDE/>
              <w:autoSpaceDN/>
              <w:rPr>
                <w:rFonts w:eastAsia="Times New Roman"/>
                <w:color w:val="000000"/>
                <w:sz w:val="20"/>
                <w:szCs w:val="20"/>
                <w:lang w:eastAsia="pt-BR" w:bidi="ar-SA"/>
              </w:rPr>
            </w:pPr>
          </w:p>
        </w:tc>
        <w:tc>
          <w:tcPr>
            <w:tcW w:w="1923" w:type="dxa"/>
            <w:tcBorders>
              <w:top w:val="nil"/>
              <w:left w:val="nil"/>
              <w:bottom w:val="single" w:sz="4" w:space="0" w:color="auto"/>
              <w:right w:val="single" w:sz="4" w:space="0" w:color="auto"/>
            </w:tcBorders>
            <w:shd w:val="clear" w:color="000000" w:fill="C5ADCB"/>
            <w:vAlign w:val="center"/>
            <w:hideMark/>
          </w:tcPr>
          <w:p w14:paraId="65479309"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2. Implantar 100% da gestão de riscos a partir dos principais riscos identificados até dezembro de 2021</w:t>
            </w:r>
          </w:p>
        </w:tc>
        <w:tc>
          <w:tcPr>
            <w:tcW w:w="2268" w:type="dxa"/>
            <w:tcBorders>
              <w:top w:val="nil"/>
              <w:left w:val="nil"/>
              <w:bottom w:val="single" w:sz="4" w:space="0" w:color="auto"/>
              <w:right w:val="single" w:sz="4" w:space="0" w:color="auto"/>
            </w:tcBorders>
            <w:shd w:val="clear" w:color="000000" w:fill="C5ADCB"/>
            <w:vAlign w:val="center"/>
            <w:hideMark/>
          </w:tcPr>
          <w:p w14:paraId="05E0A008"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2. Implantar 25% da gestão de riscos estratégicos a partir dos principais riscos identificados até dezembro de 2021</w:t>
            </w:r>
          </w:p>
        </w:tc>
        <w:tc>
          <w:tcPr>
            <w:tcW w:w="1843" w:type="dxa"/>
            <w:tcBorders>
              <w:top w:val="nil"/>
              <w:left w:val="nil"/>
              <w:bottom w:val="single" w:sz="4" w:space="0" w:color="auto"/>
              <w:right w:val="nil"/>
            </w:tcBorders>
            <w:shd w:val="clear" w:color="000000" w:fill="C5ADCB"/>
            <w:vAlign w:val="center"/>
            <w:hideMark/>
          </w:tcPr>
          <w:p w14:paraId="15680BA1"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5.Revisão dos riscos estratégicos até dezembro de 2021; Identificação de controles existentes e/ou definição de planos de tratamento dos riscos</w:t>
            </w:r>
          </w:p>
        </w:tc>
        <w:tc>
          <w:tcPr>
            <w:tcW w:w="2126" w:type="dxa"/>
            <w:tcBorders>
              <w:top w:val="nil"/>
              <w:left w:val="single" w:sz="4" w:space="0" w:color="auto"/>
              <w:bottom w:val="single" w:sz="4" w:space="0" w:color="auto"/>
              <w:right w:val="single" w:sz="8" w:space="0" w:color="auto"/>
            </w:tcBorders>
            <w:shd w:val="clear" w:color="auto" w:fill="auto"/>
            <w:vAlign w:val="center"/>
            <w:hideMark/>
          </w:tcPr>
          <w:p w14:paraId="5392E638" w14:textId="77777777" w:rsidR="0028500C" w:rsidRPr="0028500C" w:rsidRDefault="0028500C" w:rsidP="0028500C">
            <w:pPr>
              <w:widowControl/>
              <w:autoSpaceDE/>
              <w:autoSpaceDN/>
              <w:rPr>
                <w:rFonts w:eastAsia="Times New Roman"/>
                <w:color w:val="000000"/>
                <w:sz w:val="18"/>
                <w:szCs w:val="18"/>
                <w:lang w:eastAsia="pt-BR" w:bidi="ar-SA"/>
              </w:rPr>
            </w:pPr>
            <w:r w:rsidRPr="0028500C">
              <w:rPr>
                <w:rFonts w:eastAsia="Times New Roman"/>
                <w:color w:val="000000"/>
                <w:sz w:val="18"/>
                <w:szCs w:val="18"/>
                <w:lang w:eastAsia="pt-BR" w:bidi="ar-SA"/>
              </w:rPr>
              <w:t>Paralisação da meta e iniciativa devido a alteração da metodologia de gestão de riscos e reinício do processo de gerenciamento de riscos na Valec, conforme deliberação da 391º Reunião do CONSAD. A meta será monitorada a partir do 1º trimestre de 2022 com alteração de texto para “Implantar 100% da gestão de riscos a partir dos principais riscos identificados até março de 2022”</w:t>
            </w:r>
          </w:p>
        </w:tc>
      </w:tr>
      <w:tr w:rsidR="0028500C" w:rsidRPr="0028500C" w14:paraId="69524DE7" w14:textId="77777777" w:rsidTr="0067629F">
        <w:trPr>
          <w:trHeight w:val="1680"/>
        </w:trPr>
        <w:tc>
          <w:tcPr>
            <w:tcW w:w="1611" w:type="dxa"/>
            <w:vMerge/>
            <w:tcBorders>
              <w:top w:val="nil"/>
              <w:left w:val="single" w:sz="8" w:space="0" w:color="auto"/>
              <w:bottom w:val="single" w:sz="8" w:space="0" w:color="000000"/>
              <w:right w:val="single" w:sz="4" w:space="0" w:color="auto"/>
            </w:tcBorders>
            <w:vAlign w:val="center"/>
            <w:hideMark/>
          </w:tcPr>
          <w:p w14:paraId="47D5D9B5" w14:textId="77777777" w:rsidR="0028500C" w:rsidRPr="0028500C" w:rsidRDefault="0028500C" w:rsidP="0028500C">
            <w:pPr>
              <w:widowControl/>
              <w:autoSpaceDE/>
              <w:autoSpaceDN/>
              <w:rPr>
                <w:rFonts w:eastAsia="Times New Roman"/>
                <w:color w:val="000000"/>
                <w:sz w:val="20"/>
                <w:szCs w:val="20"/>
                <w:lang w:eastAsia="pt-BR" w:bidi="ar-SA"/>
              </w:rPr>
            </w:pPr>
          </w:p>
        </w:tc>
        <w:tc>
          <w:tcPr>
            <w:tcW w:w="1923" w:type="dxa"/>
            <w:tcBorders>
              <w:top w:val="nil"/>
              <w:left w:val="nil"/>
              <w:bottom w:val="single" w:sz="4" w:space="0" w:color="auto"/>
              <w:right w:val="single" w:sz="4" w:space="0" w:color="auto"/>
            </w:tcBorders>
            <w:shd w:val="clear" w:color="000000" w:fill="C5ADCB"/>
            <w:vAlign w:val="center"/>
            <w:hideMark/>
          </w:tcPr>
          <w:p w14:paraId="720DD688"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3. Tornar público as informações sobre metas, indicadores, projetos e riscos estratégicos até julho de 2021</w:t>
            </w:r>
          </w:p>
        </w:tc>
        <w:tc>
          <w:tcPr>
            <w:tcW w:w="2268" w:type="dxa"/>
            <w:tcBorders>
              <w:top w:val="nil"/>
              <w:left w:val="nil"/>
              <w:bottom w:val="single" w:sz="4" w:space="0" w:color="auto"/>
              <w:right w:val="single" w:sz="4" w:space="0" w:color="auto"/>
            </w:tcBorders>
            <w:shd w:val="clear" w:color="000000" w:fill="C5ADCB"/>
            <w:vAlign w:val="center"/>
            <w:hideMark/>
          </w:tcPr>
          <w:p w14:paraId="17EC212F"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 xml:space="preserve">3. Tornar público as informações sobre metas, indicadores, projetos e riscos estratégicos até julho de 2021 </w:t>
            </w:r>
          </w:p>
        </w:tc>
        <w:tc>
          <w:tcPr>
            <w:tcW w:w="1843" w:type="dxa"/>
            <w:tcBorders>
              <w:top w:val="nil"/>
              <w:left w:val="nil"/>
              <w:bottom w:val="single" w:sz="4" w:space="0" w:color="auto"/>
              <w:right w:val="nil"/>
            </w:tcBorders>
            <w:shd w:val="clear" w:color="000000" w:fill="C5ADCB"/>
            <w:vAlign w:val="center"/>
            <w:hideMark/>
          </w:tcPr>
          <w:p w14:paraId="58C1D2A0"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 </w:t>
            </w:r>
          </w:p>
        </w:tc>
        <w:tc>
          <w:tcPr>
            <w:tcW w:w="2126" w:type="dxa"/>
            <w:tcBorders>
              <w:top w:val="nil"/>
              <w:left w:val="single" w:sz="4" w:space="0" w:color="auto"/>
              <w:bottom w:val="single" w:sz="4" w:space="0" w:color="auto"/>
              <w:right w:val="single" w:sz="8" w:space="0" w:color="auto"/>
            </w:tcBorders>
            <w:shd w:val="clear" w:color="auto" w:fill="auto"/>
            <w:vAlign w:val="center"/>
            <w:hideMark/>
          </w:tcPr>
          <w:p w14:paraId="1EBA3A11" w14:textId="77777777" w:rsidR="0028500C" w:rsidRPr="0028500C" w:rsidRDefault="0028500C" w:rsidP="0028500C">
            <w:pPr>
              <w:widowControl/>
              <w:autoSpaceDE/>
              <w:autoSpaceDN/>
              <w:rPr>
                <w:rFonts w:eastAsia="Times New Roman"/>
                <w:color w:val="000000"/>
                <w:sz w:val="18"/>
                <w:szCs w:val="18"/>
                <w:lang w:eastAsia="pt-BR" w:bidi="ar-SA"/>
              </w:rPr>
            </w:pPr>
            <w:r w:rsidRPr="0028500C">
              <w:rPr>
                <w:rFonts w:eastAsia="Times New Roman"/>
                <w:color w:val="000000"/>
                <w:sz w:val="18"/>
                <w:szCs w:val="18"/>
                <w:lang w:eastAsia="pt-BR" w:bidi="ar-SA"/>
              </w:rPr>
              <w:t>A meta não estava clara sobre o objetivo de transparência dessa divulgação, se era para público interno ou externo. Por isso, optou-se por uma meta que refletisse a transparência, considerando boas práticas, como o Grau de Transparência Ativa da CGU. Meta substituída pela nova meta 3.3.4</w:t>
            </w:r>
          </w:p>
        </w:tc>
      </w:tr>
      <w:tr w:rsidR="0028500C" w:rsidRPr="0028500C" w14:paraId="2976FD9D" w14:textId="77777777" w:rsidTr="0067629F">
        <w:trPr>
          <w:trHeight w:val="1035"/>
        </w:trPr>
        <w:tc>
          <w:tcPr>
            <w:tcW w:w="1611" w:type="dxa"/>
            <w:vMerge/>
            <w:tcBorders>
              <w:top w:val="nil"/>
              <w:left w:val="single" w:sz="8" w:space="0" w:color="auto"/>
              <w:bottom w:val="single" w:sz="8" w:space="0" w:color="000000"/>
              <w:right w:val="single" w:sz="4" w:space="0" w:color="auto"/>
            </w:tcBorders>
            <w:vAlign w:val="center"/>
            <w:hideMark/>
          </w:tcPr>
          <w:p w14:paraId="15838BCF" w14:textId="77777777" w:rsidR="0028500C" w:rsidRPr="0028500C" w:rsidRDefault="0028500C" w:rsidP="0028500C">
            <w:pPr>
              <w:widowControl/>
              <w:autoSpaceDE/>
              <w:autoSpaceDN/>
              <w:rPr>
                <w:rFonts w:eastAsia="Times New Roman"/>
                <w:color w:val="000000"/>
                <w:sz w:val="20"/>
                <w:szCs w:val="20"/>
                <w:lang w:eastAsia="pt-BR" w:bidi="ar-SA"/>
              </w:rPr>
            </w:pPr>
          </w:p>
        </w:tc>
        <w:tc>
          <w:tcPr>
            <w:tcW w:w="1923" w:type="dxa"/>
            <w:tcBorders>
              <w:top w:val="nil"/>
              <w:left w:val="nil"/>
              <w:bottom w:val="single" w:sz="8" w:space="0" w:color="auto"/>
              <w:right w:val="single" w:sz="4" w:space="0" w:color="auto"/>
            </w:tcBorders>
            <w:shd w:val="clear" w:color="000000" w:fill="92D050"/>
            <w:vAlign w:val="center"/>
            <w:hideMark/>
          </w:tcPr>
          <w:p w14:paraId="72974576"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4. Alcançar 100% de transparência ativa conforme as dimensões do Grau de Transparência Ativa (GTA)</w:t>
            </w:r>
          </w:p>
        </w:tc>
        <w:tc>
          <w:tcPr>
            <w:tcW w:w="2268" w:type="dxa"/>
            <w:tcBorders>
              <w:top w:val="nil"/>
              <w:left w:val="nil"/>
              <w:bottom w:val="single" w:sz="8" w:space="0" w:color="auto"/>
              <w:right w:val="single" w:sz="4" w:space="0" w:color="auto"/>
            </w:tcBorders>
            <w:shd w:val="clear" w:color="000000" w:fill="92D050"/>
            <w:vAlign w:val="center"/>
            <w:hideMark/>
          </w:tcPr>
          <w:p w14:paraId="3050A1BA"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4. Alcançar 50% de transparência ativa conforme as dimensões do Grau de Transparência Ativa (GTA)</w:t>
            </w:r>
          </w:p>
        </w:tc>
        <w:tc>
          <w:tcPr>
            <w:tcW w:w="1843" w:type="dxa"/>
            <w:tcBorders>
              <w:top w:val="nil"/>
              <w:left w:val="nil"/>
              <w:bottom w:val="single" w:sz="8" w:space="0" w:color="auto"/>
              <w:right w:val="nil"/>
            </w:tcBorders>
            <w:shd w:val="clear" w:color="000000" w:fill="92D050"/>
            <w:vAlign w:val="center"/>
            <w:hideMark/>
          </w:tcPr>
          <w:p w14:paraId="205918BD"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4. Implementar avaliação do Grau de Transparência Ativa (GTA) na Valec até dezembro de 2021</w:t>
            </w:r>
          </w:p>
        </w:tc>
        <w:tc>
          <w:tcPr>
            <w:tcW w:w="2126" w:type="dxa"/>
            <w:tcBorders>
              <w:top w:val="nil"/>
              <w:left w:val="single" w:sz="4" w:space="0" w:color="auto"/>
              <w:bottom w:val="single" w:sz="8" w:space="0" w:color="auto"/>
              <w:right w:val="single" w:sz="8" w:space="0" w:color="auto"/>
            </w:tcBorders>
            <w:shd w:val="clear" w:color="auto" w:fill="auto"/>
            <w:vAlign w:val="center"/>
            <w:hideMark/>
          </w:tcPr>
          <w:p w14:paraId="1516DF08" w14:textId="77777777" w:rsidR="0028500C" w:rsidRPr="0028500C" w:rsidRDefault="0028500C" w:rsidP="0028500C">
            <w:pPr>
              <w:widowControl/>
              <w:autoSpaceDE/>
              <w:autoSpaceDN/>
              <w:rPr>
                <w:rFonts w:eastAsia="Times New Roman"/>
                <w:color w:val="000000"/>
                <w:sz w:val="18"/>
                <w:szCs w:val="18"/>
                <w:lang w:eastAsia="pt-BR" w:bidi="ar-SA"/>
              </w:rPr>
            </w:pPr>
            <w:r w:rsidRPr="0028500C">
              <w:rPr>
                <w:rFonts w:eastAsia="Times New Roman"/>
                <w:color w:val="000000"/>
                <w:sz w:val="18"/>
                <w:szCs w:val="18"/>
                <w:lang w:eastAsia="pt-BR" w:bidi="ar-SA"/>
              </w:rPr>
              <w:t> </w:t>
            </w:r>
          </w:p>
        </w:tc>
      </w:tr>
      <w:tr w:rsidR="0028500C" w:rsidRPr="0028500C" w14:paraId="7DDEFC63" w14:textId="77777777" w:rsidTr="0067629F">
        <w:trPr>
          <w:trHeight w:val="1275"/>
        </w:trPr>
        <w:tc>
          <w:tcPr>
            <w:tcW w:w="1611" w:type="dxa"/>
            <w:vMerge w:val="restart"/>
            <w:tcBorders>
              <w:top w:val="nil"/>
              <w:left w:val="single" w:sz="8" w:space="0" w:color="auto"/>
              <w:bottom w:val="single" w:sz="8" w:space="0" w:color="000000"/>
              <w:right w:val="single" w:sz="4" w:space="0" w:color="auto"/>
            </w:tcBorders>
            <w:shd w:val="clear" w:color="auto" w:fill="auto"/>
            <w:vAlign w:val="center"/>
            <w:hideMark/>
          </w:tcPr>
          <w:p w14:paraId="54EC435B" w14:textId="77777777" w:rsidR="0028500C" w:rsidRPr="0028500C" w:rsidRDefault="0028500C" w:rsidP="0028500C">
            <w:pPr>
              <w:widowControl/>
              <w:autoSpaceDE/>
              <w:autoSpaceDN/>
              <w:jc w:val="center"/>
              <w:rPr>
                <w:rFonts w:eastAsia="Times New Roman"/>
                <w:color w:val="000000"/>
                <w:sz w:val="20"/>
                <w:szCs w:val="20"/>
                <w:lang w:eastAsia="pt-BR" w:bidi="ar-SA"/>
              </w:rPr>
            </w:pPr>
            <w:r w:rsidRPr="0028500C">
              <w:rPr>
                <w:rFonts w:eastAsia="Times New Roman"/>
                <w:color w:val="000000"/>
                <w:sz w:val="20"/>
                <w:szCs w:val="20"/>
                <w:lang w:eastAsia="pt-BR" w:bidi="ar-SA"/>
              </w:rPr>
              <w:t xml:space="preserve">Objetivo 3.4 - Fortalecer a integridade, confiabilidade, transparência e promover ações </w:t>
            </w:r>
            <w:r w:rsidRPr="0028500C">
              <w:rPr>
                <w:rFonts w:eastAsia="Times New Roman"/>
                <w:color w:val="000000"/>
                <w:sz w:val="20"/>
                <w:szCs w:val="20"/>
                <w:lang w:eastAsia="pt-BR" w:bidi="ar-SA"/>
              </w:rPr>
              <w:lastRenderedPageBreak/>
              <w:t>de melhoria de gestão de riscos e de controles internos</w:t>
            </w:r>
          </w:p>
        </w:tc>
        <w:tc>
          <w:tcPr>
            <w:tcW w:w="1923" w:type="dxa"/>
            <w:tcBorders>
              <w:top w:val="nil"/>
              <w:left w:val="nil"/>
              <w:bottom w:val="single" w:sz="4" w:space="0" w:color="auto"/>
              <w:right w:val="single" w:sz="4" w:space="0" w:color="auto"/>
            </w:tcBorders>
            <w:shd w:val="clear" w:color="auto" w:fill="auto"/>
            <w:vAlign w:val="center"/>
            <w:hideMark/>
          </w:tcPr>
          <w:p w14:paraId="06E0D34D"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lastRenderedPageBreak/>
              <w:t>1. Eliminar 100% do passivo atual (junho/20) de pendências com órgãos de controle até dez/2021</w:t>
            </w:r>
          </w:p>
        </w:tc>
        <w:tc>
          <w:tcPr>
            <w:tcW w:w="2268" w:type="dxa"/>
            <w:tcBorders>
              <w:top w:val="nil"/>
              <w:left w:val="nil"/>
              <w:bottom w:val="single" w:sz="4" w:space="0" w:color="auto"/>
              <w:right w:val="single" w:sz="4" w:space="0" w:color="auto"/>
            </w:tcBorders>
            <w:shd w:val="clear" w:color="auto" w:fill="auto"/>
            <w:vAlign w:val="center"/>
            <w:hideMark/>
          </w:tcPr>
          <w:p w14:paraId="7A16F142"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1. Eliminar 100% do passivo atual (junho/20) de pendências com órgãos de controle até dez/2021</w:t>
            </w:r>
          </w:p>
        </w:tc>
        <w:tc>
          <w:tcPr>
            <w:tcW w:w="1843" w:type="dxa"/>
            <w:tcBorders>
              <w:top w:val="nil"/>
              <w:left w:val="nil"/>
              <w:bottom w:val="single" w:sz="4" w:space="0" w:color="auto"/>
              <w:right w:val="nil"/>
            </w:tcBorders>
            <w:shd w:val="clear" w:color="auto" w:fill="auto"/>
            <w:vAlign w:val="center"/>
            <w:hideMark/>
          </w:tcPr>
          <w:p w14:paraId="5D326B55"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Sem iniciativas</w:t>
            </w:r>
          </w:p>
        </w:tc>
        <w:tc>
          <w:tcPr>
            <w:tcW w:w="2126" w:type="dxa"/>
            <w:tcBorders>
              <w:top w:val="nil"/>
              <w:left w:val="single" w:sz="4" w:space="0" w:color="auto"/>
              <w:bottom w:val="single" w:sz="4" w:space="0" w:color="auto"/>
              <w:right w:val="single" w:sz="8" w:space="0" w:color="auto"/>
            </w:tcBorders>
            <w:shd w:val="clear" w:color="auto" w:fill="auto"/>
            <w:vAlign w:val="center"/>
            <w:hideMark/>
          </w:tcPr>
          <w:p w14:paraId="724C8D8B" w14:textId="77777777" w:rsidR="0028500C" w:rsidRPr="0028500C" w:rsidRDefault="0028500C" w:rsidP="0028500C">
            <w:pPr>
              <w:widowControl/>
              <w:autoSpaceDE/>
              <w:autoSpaceDN/>
              <w:rPr>
                <w:rFonts w:eastAsia="Times New Roman"/>
                <w:color w:val="000000"/>
                <w:sz w:val="18"/>
                <w:szCs w:val="18"/>
                <w:lang w:eastAsia="pt-BR" w:bidi="ar-SA"/>
              </w:rPr>
            </w:pPr>
            <w:r w:rsidRPr="0028500C">
              <w:rPr>
                <w:rFonts w:eastAsia="Times New Roman"/>
                <w:color w:val="000000"/>
                <w:sz w:val="18"/>
                <w:szCs w:val="18"/>
                <w:lang w:eastAsia="pt-BR" w:bidi="ar-SA"/>
              </w:rPr>
              <w:t> </w:t>
            </w:r>
          </w:p>
        </w:tc>
      </w:tr>
      <w:tr w:rsidR="0028500C" w:rsidRPr="0028500C" w14:paraId="6DEF92B1" w14:textId="77777777" w:rsidTr="0067629F">
        <w:trPr>
          <w:trHeight w:val="510"/>
        </w:trPr>
        <w:tc>
          <w:tcPr>
            <w:tcW w:w="1611" w:type="dxa"/>
            <w:vMerge/>
            <w:tcBorders>
              <w:top w:val="nil"/>
              <w:left w:val="single" w:sz="8" w:space="0" w:color="auto"/>
              <w:bottom w:val="single" w:sz="8" w:space="0" w:color="000000"/>
              <w:right w:val="single" w:sz="4" w:space="0" w:color="auto"/>
            </w:tcBorders>
            <w:vAlign w:val="center"/>
            <w:hideMark/>
          </w:tcPr>
          <w:p w14:paraId="6E855B92" w14:textId="77777777" w:rsidR="0028500C" w:rsidRPr="0028500C" w:rsidRDefault="0028500C" w:rsidP="0028500C">
            <w:pPr>
              <w:widowControl/>
              <w:autoSpaceDE/>
              <w:autoSpaceDN/>
              <w:rPr>
                <w:rFonts w:eastAsia="Times New Roman"/>
                <w:color w:val="000000"/>
                <w:sz w:val="20"/>
                <w:szCs w:val="20"/>
                <w:lang w:eastAsia="pt-BR" w:bidi="ar-SA"/>
              </w:rPr>
            </w:pPr>
          </w:p>
        </w:tc>
        <w:tc>
          <w:tcPr>
            <w:tcW w:w="1923" w:type="dxa"/>
            <w:tcBorders>
              <w:top w:val="nil"/>
              <w:left w:val="nil"/>
              <w:bottom w:val="single" w:sz="4" w:space="0" w:color="auto"/>
              <w:right w:val="single" w:sz="4" w:space="0" w:color="auto"/>
            </w:tcBorders>
            <w:shd w:val="clear" w:color="auto" w:fill="auto"/>
            <w:vAlign w:val="center"/>
            <w:hideMark/>
          </w:tcPr>
          <w:p w14:paraId="0D16E8C1"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2. Manter o selo de excelência do indicador IG-SEST</w:t>
            </w:r>
          </w:p>
        </w:tc>
        <w:tc>
          <w:tcPr>
            <w:tcW w:w="2268" w:type="dxa"/>
            <w:tcBorders>
              <w:top w:val="nil"/>
              <w:left w:val="nil"/>
              <w:bottom w:val="single" w:sz="4" w:space="0" w:color="auto"/>
              <w:right w:val="single" w:sz="4" w:space="0" w:color="auto"/>
            </w:tcBorders>
            <w:shd w:val="clear" w:color="auto" w:fill="auto"/>
            <w:vAlign w:val="center"/>
            <w:hideMark/>
          </w:tcPr>
          <w:p w14:paraId="42EBD934"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2. Alcançar o valor do indicador de 8,35</w:t>
            </w:r>
          </w:p>
        </w:tc>
        <w:tc>
          <w:tcPr>
            <w:tcW w:w="1843" w:type="dxa"/>
            <w:tcBorders>
              <w:top w:val="nil"/>
              <w:left w:val="nil"/>
              <w:bottom w:val="single" w:sz="4" w:space="0" w:color="auto"/>
              <w:right w:val="nil"/>
            </w:tcBorders>
            <w:shd w:val="clear" w:color="000000" w:fill="92D050"/>
            <w:vAlign w:val="center"/>
            <w:hideMark/>
          </w:tcPr>
          <w:p w14:paraId="6CF8765B"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8. Coordenar o preenchimento do formulário e coleta de evidências do IG-SEST em 2021</w:t>
            </w:r>
          </w:p>
        </w:tc>
        <w:tc>
          <w:tcPr>
            <w:tcW w:w="2126" w:type="dxa"/>
            <w:tcBorders>
              <w:top w:val="nil"/>
              <w:left w:val="single" w:sz="4" w:space="0" w:color="auto"/>
              <w:bottom w:val="single" w:sz="4" w:space="0" w:color="auto"/>
              <w:right w:val="single" w:sz="8" w:space="0" w:color="auto"/>
            </w:tcBorders>
            <w:shd w:val="clear" w:color="auto" w:fill="auto"/>
            <w:vAlign w:val="center"/>
            <w:hideMark/>
          </w:tcPr>
          <w:p w14:paraId="12E1726E" w14:textId="77777777" w:rsidR="0028500C" w:rsidRPr="0028500C" w:rsidRDefault="0028500C" w:rsidP="0028500C">
            <w:pPr>
              <w:widowControl/>
              <w:autoSpaceDE/>
              <w:autoSpaceDN/>
              <w:rPr>
                <w:rFonts w:eastAsia="Times New Roman"/>
                <w:color w:val="000000"/>
                <w:sz w:val="18"/>
                <w:szCs w:val="18"/>
                <w:lang w:eastAsia="pt-BR" w:bidi="ar-SA"/>
              </w:rPr>
            </w:pPr>
            <w:r w:rsidRPr="0028500C">
              <w:rPr>
                <w:rFonts w:eastAsia="Times New Roman"/>
                <w:color w:val="000000"/>
                <w:sz w:val="18"/>
                <w:szCs w:val="18"/>
                <w:lang w:eastAsia="pt-BR" w:bidi="ar-SA"/>
              </w:rPr>
              <w:t> </w:t>
            </w:r>
          </w:p>
        </w:tc>
      </w:tr>
      <w:tr w:rsidR="0028500C" w:rsidRPr="0028500C" w14:paraId="23554A11" w14:textId="77777777" w:rsidTr="0067629F">
        <w:trPr>
          <w:trHeight w:val="1530"/>
        </w:trPr>
        <w:tc>
          <w:tcPr>
            <w:tcW w:w="1611" w:type="dxa"/>
            <w:vMerge/>
            <w:tcBorders>
              <w:top w:val="nil"/>
              <w:left w:val="single" w:sz="8" w:space="0" w:color="auto"/>
              <w:bottom w:val="single" w:sz="8" w:space="0" w:color="000000"/>
              <w:right w:val="single" w:sz="4" w:space="0" w:color="auto"/>
            </w:tcBorders>
            <w:vAlign w:val="center"/>
            <w:hideMark/>
          </w:tcPr>
          <w:p w14:paraId="1ADB7B00" w14:textId="77777777" w:rsidR="0028500C" w:rsidRPr="0028500C" w:rsidRDefault="0028500C" w:rsidP="0028500C">
            <w:pPr>
              <w:widowControl/>
              <w:autoSpaceDE/>
              <w:autoSpaceDN/>
              <w:rPr>
                <w:rFonts w:eastAsia="Times New Roman"/>
                <w:color w:val="000000"/>
                <w:sz w:val="20"/>
                <w:szCs w:val="20"/>
                <w:lang w:eastAsia="pt-BR" w:bidi="ar-SA"/>
              </w:rPr>
            </w:pPr>
          </w:p>
        </w:tc>
        <w:tc>
          <w:tcPr>
            <w:tcW w:w="1923" w:type="dxa"/>
            <w:tcBorders>
              <w:top w:val="nil"/>
              <w:left w:val="nil"/>
              <w:bottom w:val="single" w:sz="4" w:space="0" w:color="auto"/>
              <w:right w:val="single" w:sz="4" w:space="0" w:color="auto"/>
            </w:tcBorders>
            <w:shd w:val="clear" w:color="000000" w:fill="C5ADCB"/>
            <w:vAlign w:val="center"/>
            <w:hideMark/>
          </w:tcPr>
          <w:p w14:paraId="710A7BA6"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 xml:space="preserve">3. Ter no máximo duas dimensões com fragilidade intermediária e quatro dimensões com fragilidade baixa no Índice de Fragilidade de Controles até dez 2021 (mediante autoavaliação) </w:t>
            </w:r>
          </w:p>
        </w:tc>
        <w:tc>
          <w:tcPr>
            <w:tcW w:w="2268" w:type="dxa"/>
            <w:tcBorders>
              <w:top w:val="nil"/>
              <w:left w:val="nil"/>
              <w:bottom w:val="single" w:sz="4" w:space="0" w:color="auto"/>
              <w:right w:val="single" w:sz="4" w:space="0" w:color="auto"/>
            </w:tcBorders>
            <w:shd w:val="clear" w:color="000000" w:fill="C5ADCB"/>
            <w:vAlign w:val="center"/>
            <w:hideMark/>
          </w:tcPr>
          <w:p w14:paraId="3A36888A"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 xml:space="preserve">3. Ter no máximo duas dimensões com fragilidade intermediária e quatro dimensões com fragilidade baixa no Índice de Fragilidade de Controles até dez 2021 (mediante autoavaliação) </w:t>
            </w:r>
          </w:p>
        </w:tc>
        <w:tc>
          <w:tcPr>
            <w:tcW w:w="1843" w:type="dxa"/>
            <w:tcBorders>
              <w:top w:val="nil"/>
              <w:left w:val="nil"/>
              <w:bottom w:val="single" w:sz="4" w:space="0" w:color="auto"/>
              <w:right w:val="nil"/>
            </w:tcBorders>
            <w:shd w:val="clear" w:color="000000" w:fill="C5ADCB"/>
            <w:vAlign w:val="center"/>
            <w:hideMark/>
          </w:tcPr>
          <w:p w14:paraId="5920EC13"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 </w:t>
            </w:r>
          </w:p>
        </w:tc>
        <w:tc>
          <w:tcPr>
            <w:tcW w:w="2126" w:type="dxa"/>
            <w:tcBorders>
              <w:top w:val="nil"/>
              <w:left w:val="single" w:sz="4" w:space="0" w:color="auto"/>
              <w:bottom w:val="single" w:sz="4" w:space="0" w:color="auto"/>
              <w:right w:val="single" w:sz="8" w:space="0" w:color="auto"/>
            </w:tcBorders>
            <w:shd w:val="clear" w:color="auto" w:fill="auto"/>
            <w:vAlign w:val="center"/>
            <w:hideMark/>
          </w:tcPr>
          <w:p w14:paraId="5F0D7BDA" w14:textId="77777777" w:rsidR="0028500C" w:rsidRPr="0028500C" w:rsidRDefault="0028500C" w:rsidP="0028500C">
            <w:pPr>
              <w:widowControl/>
              <w:autoSpaceDE/>
              <w:autoSpaceDN/>
              <w:rPr>
                <w:rFonts w:eastAsia="Times New Roman"/>
                <w:color w:val="000000"/>
                <w:sz w:val="18"/>
                <w:szCs w:val="18"/>
                <w:lang w:eastAsia="pt-BR" w:bidi="ar-SA"/>
              </w:rPr>
            </w:pPr>
            <w:r w:rsidRPr="0028500C">
              <w:rPr>
                <w:rFonts w:eastAsia="Times New Roman"/>
                <w:color w:val="000000"/>
                <w:sz w:val="18"/>
                <w:szCs w:val="18"/>
                <w:lang w:eastAsia="pt-BR" w:bidi="ar-SA"/>
              </w:rPr>
              <w:t>A meta 3.4.3 foi interrompida pelo Tribunal de Contas da União</w:t>
            </w:r>
          </w:p>
        </w:tc>
      </w:tr>
      <w:tr w:rsidR="0028500C" w:rsidRPr="0028500C" w14:paraId="67EE1A88" w14:textId="77777777" w:rsidTr="0067629F">
        <w:trPr>
          <w:trHeight w:val="765"/>
        </w:trPr>
        <w:tc>
          <w:tcPr>
            <w:tcW w:w="1611" w:type="dxa"/>
            <w:vMerge/>
            <w:tcBorders>
              <w:top w:val="nil"/>
              <w:left w:val="single" w:sz="8" w:space="0" w:color="auto"/>
              <w:bottom w:val="single" w:sz="8" w:space="0" w:color="000000"/>
              <w:right w:val="single" w:sz="4" w:space="0" w:color="auto"/>
            </w:tcBorders>
            <w:vAlign w:val="center"/>
            <w:hideMark/>
          </w:tcPr>
          <w:p w14:paraId="1A0728EC" w14:textId="77777777" w:rsidR="0028500C" w:rsidRPr="0028500C" w:rsidRDefault="0028500C" w:rsidP="0028500C">
            <w:pPr>
              <w:widowControl/>
              <w:autoSpaceDE/>
              <w:autoSpaceDN/>
              <w:rPr>
                <w:rFonts w:eastAsia="Times New Roman"/>
                <w:color w:val="000000"/>
                <w:sz w:val="20"/>
                <w:szCs w:val="20"/>
                <w:lang w:eastAsia="pt-BR" w:bidi="ar-SA"/>
              </w:rPr>
            </w:pPr>
          </w:p>
        </w:tc>
        <w:tc>
          <w:tcPr>
            <w:tcW w:w="1923" w:type="dxa"/>
            <w:tcBorders>
              <w:top w:val="nil"/>
              <w:left w:val="nil"/>
              <w:bottom w:val="single" w:sz="4" w:space="0" w:color="auto"/>
              <w:right w:val="single" w:sz="4" w:space="0" w:color="auto"/>
            </w:tcBorders>
            <w:shd w:val="clear" w:color="auto" w:fill="auto"/>
            <w:vAlign w:val="center"/>
            <w:hideMark/>
          </w:tcPr>
          <w:p w14:paraId="1FB9A8CC"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4. Ter 70% dos itens do IGG-TCU avaliados como atendidos</w:t>
            </w:r>
          </w:p>
        </w:tc>
        <w:tc>
          <w:tcPr>
            <w:tcW w:w="2268" w:type="dxa"/>
            <w:tcBorders>
              <w:top w:val="nil"/>
              <w:left w:val="nil"/>
              <w:bottom w:val="single" w:sz="4" w:space="0" w:color="auto"/>
              <w:right w:val="single" w:sz="4" w:space="0" w:color="auto"/>
            </w:tcBorders>
            <w:shd w:val="clear" w:color="auto" w:fill="auto"/>
            <w:vAlign w:val="center"/>
            <w:hideMark/>
          </w:tcPr>
          <w:p w14:paraId="308D6364"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4. Ter 70% dos itens do IGG-TCU avaliados como atendidos</w:t>
            </w:r>
          </w:p>
        </w:tc>
        <w:tc>
          <w:tcPr>
            <w:tcW w:w="1843" w:type="dxa"/>
            <w:tcBorders>
              <w:top w:val="nil"/>
              <w:left w:val="nil"/>
              <w:bottom w:val="single" w:sz="4" w:space="0" w:color="auto"/>
              <w:right w:val="nil"/>
            </w:tcBorders>
            <w:shd w:val="clear" w:color="000000" w:fill="92D050"/>
            <w:vAlign w:val="center"/>
            <w:hideMark/>
          </w:tcPr>
          <w:p w14:paraId="3B2ABF88"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9. Coordenar o preenchimento do formulário e coleta de evidências do IGG-TCU no ano de levantamento 2021</w:t>
            </w:r>
          </w:p>
        </w:tc>
        <w:tc>
          <w:tcPr>
            <w:tcW w:w="2126" w:type="dxa"/>
            <w:tcBorders>
              <w:top w:val="nil"/>
              <w:left w:val="single" w:sz="4" w:space="0" w:color="auto"/>
              <w:bottom w:val="single" w:sz="4" w:space="0" w:color="auto"/>
              <w:right w:val="single" w:sz="8" w:space="0" w:color="auto"/>
            </w:tcBorders>
            <w:shd w:val="clear" w:color="auto" w:fill="auto"/>
            <w:vAlign w:val="center"/>
            <w:hideMark/>
          </w:tcPr>
          <w:p w14:paraId="720293D4" w14:textId="77777777" w:rsidR="0028500C" w:rsidRPr="0028500C" w:rsidRDefault="0028500C" w:rsidP="0028500C">
            <w:pPr>
              <w:widowControl/>
              <w:autoSpaceDE/>
              <w:autoSpaceDN/>
              <w:rPr>
                <w:rFonts w:eastAsia="Times New Roman"/>
                <w:color w:val="000000"/>
                <w:sz w:val="18"/>
                <w:szCs w:val="18"/>
                <w:lang w:eastAsia="pt-BR" w:bidi="ar-SA"/>
              </w:rPr>
            </w:pPr>
            <w:r w:rsidRPr="0028500C">
              <w:rPr>
                <w:rFonts w:eastAsia="Times New Roman"/>
                <w:color w:val="000000"/>
                <w:sz w:val="18"/>
                <w:szCs w:val="18"/>
                <w:lang w:eastAsia="pt-BR" w:bidi="ar-SA"/>
              </w:rPr>
              <w:t> </w:t>
            </w:r>
          </w:p>
        </w:tc>
      </w:tr>
      <w:tr w:rsidR="0028500C" w:rsidRPr="0028500C" w14:paraId="405FF82B" w14:textId="77777777" w:rsidTr="0067629F">
        <w:trPr>
          <w:trHeight w:val="1035"/>
        </w:trPr>
        <w:tc>
          <w:tcPr>
            <w:tcW w:w="1611" w:type="dxa"/>
            <w:vMerge/>
            <w:tcBorders>
              <w:top w:val="nil"/>
              <w:left w:val="single" w:sz="8" w:space="0" w:color="auto"/>
              <w:bottom w:val="single" w:sz="4" w:space="0" w:color="auto"/>
              <w:right w:val="single" w:sz="4" w:space="0" w:color="auto"/>
            </w:tcBorders>
            <w:vAlign w:val="center"/>
            <w:hideMark/>
          </w:tcPr>
          <w:p w14:paraId="347CD09D" w14:textId="77777777" w:rsidR="0028500C" w:rsidRPr="0028500C" w:rsidRDefault="0028500C" w:rsidP="0028500C">
            <w:pPr>
              <w:widowControl/>
              <w:autoSpaceDE/>
              <w:autoSpaceDN/>
              <w:rPr>
                <w:rFonts w:eastAsia="Times New Roman"/>
                <w:color w:val="000000"/>
                <w:sz w:val="20"/>
                <w:szCs w:val="20"/>
                <w:lang w:eastAsia="pt-BR" w:bidi="ar-SA"/>
              </w:rPr>
            </w:pPr>
          </w:p>
        </w:tc>
        <w:tc>
          <w:tcPr>
            <w:tcW w:w="1923" w:type="dxa"/>
            <w:tcBorders>
              <w:top w:val="nil"/>
              <w:left w:val="nil"/>
              <w:bottom w:val="single" w:sz="4" w:space="0" w:color="auto"/>
              <w:right w:val="single" w:sz="4" w:space="0" w:color="auto"/>
            </w:tcBorders>
            <w:shd w:val="clear" w:color="auto" w:fill="auto"/>
            <w:vAlign w:val="center"/>
            <w:hideMark/>
          </w:tcPr>
          <w:p w14:paraId="335BDE85"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5. Atender 100% da Resolução 4/2020 da DIREX até dezembro de 2021</w:t>
            </w:r>
          </w:p>
        </w:tc>
        <w:tc>
          <w:tcPr>
            <w:tcW w:w="2268" w:type="dxa"/>
            <w:tcBorders>
              <w:top w:val="nil"/>
              <w:left w:val="nil"/>
              <w:bottom w:val="single" w:sz="4" w:space="0" w:color="auto"/>
              <w:right w:val="single" w:sz="4" w:space="0" w:color="auto"/>
            </w:tcBorders>
            <w:shd w:val="clear" w:color="auto" w:fill="auto"/>
            <w:vAlign w:val="center"/>
            <w:hideMark/>
          </w:tcPr>
          <w:p w14:paraId="667452BB"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5. Atender 100% da Resolução 4/2020 da DIREX até dezembro de 2021</w:t>
            </w:r>
          </w:p>
        </w:tc>
        <w:tc>
          <w:tcPr>
            <w:tcW w:w="1843" w:type="dxa"/>
            <w:tcBorders>
              <w:top w:val="nil"/>
              <w:left w:val="nil"/>
              <w:bottom w:val="single" w:sz="4" w:space="0" w:color="auto"/>
              <w:right w:val="nil"/>
            </w:tcBorders>
            <w:shd w:val="clear" w:color="000000" w:fill="92D050"/>
            <w:vAlign w:val="center"/>
            <w:hideMark/>
          </w:tcPr>
          <w:p w14:paraId="1796B58A" w14:textId="77777777" w:rsidR="0028500C" w:rsidRPr="0028500C" w:rsidRDefault="0028500C" w:rsidP="0028500C">
            <w:pPr>
              <w:widowControl/>
              <w:autoSpaceDE/>
              <w:autoSpaceDN/>
              <w:rPr>
                <w:rFonts w:eastAsia="Times New Roman"/>
                <w:color w:val="000000"/>
                <w:sz w:val="20"/>
                <w:szCs w:val="20"/>
                <w:lang w:eastAsia="pt-BR" w:bidi="ar-SA"/>
              </w:rPr>
            </w:pPr>
            <w:r w:rsidRPr="0028500C">
              <w:rPr>
                <w:rFonts w:eastAsia="Times New Roman"/>
                <w:color w:val="000000"/>
                <w:sz w:val="20"/>
                <w:szCs w:val="20"/>
                <w:lang w:eastAsia="pt-BR" w:bidi="ar-SA"/>
              </w:rPr>
              <w:t>10. Aprovar Resolução DIREX do Acórdão nº 84/20</w:t>
            </w:r>
            <w:r w:rsidRPr="0028500C">
              <w:rPr>
                <w:rFonts w:eastAsia="Times New Roman"/>
                <w:color w:val="000000"/>
                <w:sz w:val="20"/>
                <w:szCs w:val="20"/>
                <w:lang w:eastAsia="pt-BR" w:bidi="ar-SA"/>
              </w:rPr>
              <w:br/>
              <w:t>11. Aprovar Plano de Ação da Resolução</w:t>
            </w:r>
            <w:r w:rsidRPr="0028500C">
              <w:rPr>
                <w:rFonts w:eastAsia="Times New Roman"/>
                <w:color w:val="000000"/>
                <w:sz w:val="20"/>
                <w:szCs w:val="20"/>
                <w:lang w:eastAsia="pt-BR" w:bidi="ar-SA"/>
              </w:rPr>
              <w:br/>
              <w:t>12. Atender o Plano de Ação</w:t>
            </w:r>
          </w:p>
        </w:tc>
        <w:tc>
          <w:tcPr>
            <w:tcW w:w="2126" w:type="dxa"/>
            <w:tcBorders>
              <w:top w:val="nil"/>
              <w:left w:val="single" w:sz="4" w:space="0" w:color="auto"/>
              <w:bottom w:val="single" w:sz="4" w:space="0" w:color="auto"/>
              <w:right w:val="single" w:sz="8" w:space="0" w:color="auto"/>
            </w:tcBorders>
            <w:shd w:val="clear" w:color="auto" w:fill="auto"/>
            <w:vAlign w:val="center"/>
            <w:hideMark/>
          </w:tcPr>
          <w:p w14:paraId="0BBF2E4D" w14:textId="77777777" w:rsidR="0028500C" w:rsidRPr="0028500C" w:rsidRDefault="0028500C" w:rsidP="0028500C">
            <w:pPr>
              <w:widowControl/>
              <w:autoSpaceDE/>
              <w:autoSpaceDN/>
              <w:rPr>
                <w:rFonts w:eastAsia="Times New Roman"/>
                <w:color w:val="000000"/>
                <w:sz w:val="18"/>
                <w:szCs w:val="18"/>
                <w:lang w:eastAsia="pt-BR" w:bidi="ar-SA"/>
              </w:rPr>
            </w:pPr>
            <w:r w:rsidRPr="0028500C">
              <w:rPr>
                <w:rFonts w:eastAsia="Times New Roman"/>
                <w:color w:val="000000"/>
                <w:sz w:val="18"/>
                <w:szCs w:val="18"/>
                <w:lang w:eastAsia="pt-BR" w:bidi="ar-SA"/>
              </w:rPr>
              <w:t> </w:t>
            </w:r>
          </w:p>
        </w:tc>
      </w:tr>
    </w:tbl>
    <w:p w14:paraId="088A02A2" w14:textId="593BC8A5" w:rsidR="005E3702" w:rsidRPr="00FA06C6" w:rsidRDefault="005E3702" w:rsidP="005E3702">
      <w:pPr>
        <w:rPr>
          <w:rFonts w:asciiTheme="minorHAnsi" w:hAnsiTheme="minorHAnsi" w:cstheme="minorHAnsi"/>
          <w:sz w:val="24"/>
          <w:szCs w:val="24"/>
        </w:rPr>
      </w:pPr>
    </w:p>
    <w:p w14:paraId="7982B990" w14:textId="513BBBB1" w:rsidR="005E3702" w:rsidRPr="0028500C" w:rsidRDefault="005E3702" w:rsidP="0028500C">
      <w:pPr>
        <w:widowControl/>
        <w:autoSpaceDE/>
        <w:autoSpaceDN/>
        <w:spacing w:after="160" w:line="259" w:lineRule="auto"/>
        <w:rPr>
          <w:rFonts w:asciiTheme="minorHAnsi" w:hAnsiTheme="minorHAnsi" w:cstheme="minorHAnsi"/>
          <w:sz w:val="18"/>
          <w:szCs w:val="18"/>
        </w:rPr>
      </w:pPr>
      <w:bookmarkStart w:id="135" w:name="_Toc95830231"/>
    </w:p>
    <w:p w14:paraId="0D5A603F" w14:textId="7B9C5F52" w:rsidR="001A1970" w:rsidRPr="00252D7B" w:rsidRDefault="001A1970">
      <w:pPr>
        <w:widowControl/>
        <w:autoSpaceDE/>
        <w:autoSpaceDN/>
        <w:spacing w:after="160" w:line="259" w:lineRule="auto"/>
        <w:rPr>
          <w:rFonts w:asciiTheme="minorHAnsi" w:hAnsiTheme="minorHAnsi" w:cstheme="minorHAnsi"/>
        </w:rPr>
      </w:pPr>
    </w:p>
    <w:bookmarkEnd w:id="135"/>
    <w:p w14:paraId="1082D81F" w14:textId="77777777" w:rsidR="005E3702" w:rsidRPr="00252D7B" w:rsidRDefault="005E3702" w:rsidP="005E3702">
      <w:pPr>
        <w:rPr>
          <w:rFonts w:asciiTheme="minorHAnsi" w:hAnsiTheme="minorHAnsi" w:cstheme="minorHAnsi"/>
        </w:rPr>
      </w:pPr>
    </w:p>
    <w:p w14:paraId="4EFE8F7F" w14:textId="22F3BA9D" w:rsidR="00CF6DA7" w:rsidRPr="00252D7B" w:rsidRDefault="00CF6DA7">
      <w:pPr>
        <w:widowControl/>
        <w:autoSpaceDE/>
        <w:autoSpaceDN/>
        <w:spacing w:after="160" w:line="259" w:lineRule="auto"/>
        <w:rPr>
          <w:rFonts w:asciiTheme="minorHAnsi" w:hAnsiTheme="minorHAnsi" w:cstheme="minorHAnsi"/>
        </w:rPr>
      </w:pPr>
      <w:r w:rsidRPr="00252D7B">
        <w:rPr>
          <w:rFonts w:asciiTheme="minorHAnsi" w:hAnsiTheme="minorHAnsi" w:cstheme="minorHAnsi"/>
        </w:rPr>
        <w:br w:type="page"/>
      </w:r>
    </w:p>
    <w:p w14:paraId="6D093DA0" w14:textId="3A4418A7" w:rsidR="00AF6FD6" w:rsidRPr="00252D7B" w:rsidRDefault="00AF6FD6" w:rsidP="00F100A9">
      <w:pPr>
        <w:pStyle w:val="Ttulo2"/>
      </w:pPr>
      <w:bookmarkStart w:id="136" w:name="_Toc94012487"/>
      <w:bookmarkStart w:id="137" w:name="_Toc95830232"/>
      <w:bookmarkStart w:id="138" w:name="_Toc103680530"/>
      <w:r w:rsidRPr="00252D7B">
        <w:lastRenderedPageBreak/>
        <w:t>Gestão de mercado e inovação</w:t>
      </w:r>
      <w:bookmarkEnd w:id="136"/>
      <w:bookmarkEnd w:id="137"/>
      <w:bookmarkEnd w:id="138"/>
    </w:p>
    <w:p w14:paraId="1D5B89A5" w14:textId="77777777" w:rsidR="002D0BD0" w:rsidRPr="00252D7B" w:rsidRDefault="002D0BD0" w:rsidP="002D0BD0">
      <w:pPr>
        <w:spacing w:after="120"/>
        <w:jc w:val="both"/>
        <w:rPr>
          <w:rFonts w:asciiTheme="minorHAnsi" w:hAnsiTheme="minorHAnsi" w:cstheme="minorHAnsi"/>
        </w:rPr>
      </w:pPr>
    </w:p>
    <w:p w14:paraId="1BD5F6B5" w14:textId="77777777" w:rsidR="006327CB" w:rsidRPr="00252D7B" w:rsidRDefault="006327CB" w:rsidP="006327CB">
      <w:pPr>
        <w:pStyle w:val="Ttulo3"/>
        <w:rPr>
          <w:rFonts w:asciiTheme="minorHAnsi" w:hAnsiTheme="minorHAnsi" w:cstheme="minorHAnsi"/>
        </w:rPr>
      </w:pPr>
      <w:bookmarkStart w:id="139" w:name="_Toc103680531"/>
      <w:r w:rsidRPr="00252D7B">
        <w:rPr>
          <w:rFonts w:asciiTheme="minorHAnsi" w:hAnsiTheme="minorHAnsi" w:cstheme="minorHAnsi"/>
        </w:rPr>
        <w:t>Pesquisa de mercado</w:t>
      </w:r>
      <w:bookmarkEnd w:id="139"/>
    </w:p>
    <w:p w14:paraId="3D5617CA" w14:textId="3E0C949E" w:rsidR="006327CB" w:rsidRPr="00252D7B" w:rsidRDefault="006327CB" w:rsidP="005165D3">
      <w:pPr>
        <w:spacing w:after="120"/>
        <w:jc w:val="both"/>
        <w:rPr>
          <w:rFonts w:asciiTheme="minorHAnsi" w:hAnsiTheme="minorHAnsi" w:cstheme="minorHAnsi"/>
          <w:sz w:val="24"/>
          <w:szCs w:val="24"/>
        </w:rPr>
      </w:pPr>
      <w:r w:rsidRPr="00252D7B">
        <w:rPr>
          <w:rFonts w:asciiTheme="minorHAnsi" w:hAnsiTheme="minorHAnsi" w:cstheme="minorHAnsi"/>
          <w:sz w:val="24"/>
          <w:szCs w:val="24"/>
        </w:rPr>
        <w:t xml:space="preserve">A </w:t>
      </w:r>
      <w:r w:rsidR="00610C91" w:rsidRPr="00252D7B">
        <w:rPr>
          <w:rFonts w:asciiTheme="minorHAnsi" w:hAnsiTheme="minorHAnsi" w:cstheme="minorHAnsi"/>
          <w:sz w:val="24"/>
          <w:szCs w:val="24"/>
        </w:rPr>
        <w:t>Valec</w:t>
      </w:r>
      <w:r w:rsidRPr="00252D7B">
        <w:rPr>
          <w:rFonts w:asciiTheme="minorHAnsi" w:hAnsiTheme="minorHAnsi" w:cstheme="minorHAnsi"/>
          <w:sz w:val="24"/>
          <w:szCs w:val="24"/>
        </w:rPr>
        <w:t xml:space="preserve"> tem realizado pesquisas de mercado com o objetivo de identificar o potencial de negócios para cada serviço que está sendo estruturado. O resultado da pesquisa tem direcionado a estratégia de atuação e de negócio com ênfase na prestação de serviços especializados:</w:t>
      </w:r>
    </w:p>
    <w:p w14:paraId="2ADB62B2" w14:textId="77777777" w:rsidR="006327CB" w:rsidRPr="00252D7B" w:rsidRDefault="006327CB" w:rsidP="005165D3">
      <w:pPr>
        <w:spacing w:before="120"/>
        <w:jc w:val="both"/>
        <w:rPr>
          <w:rFonts w:asciiTheme="minorHAnsi" w:hAnsiTheme="minorHAnsi" w:cstheme="minorHAnsi"/>
        </w:rPr>
      </w:pPr>
    </w:p>
    <w:p w14:paraId="3D6616FD" w14:textId="77777777" w:rsidR="006327CB" w:rsidRPr="00252D7B" w:rsidRDefault="006327CB" w:rsidP="00661C8E">
      <w:pPr>
        <w:pStyle w:val="PargrafodaLista"/>
        <w:numPr>
          <w:ilvl w:val="0"/>
          <w:numId w:val="4"/>
        </w:numPr>
        <w:spacing w:before="145"/>
        <w:ind w:right="-44"/>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b/>
          <w:bCs/>
          <w:sz w:val="24"/>
          <w:szCs w:val="24"/>
        </w:rPr>
        <w:t>Serviço de consultoria</w:t>
      </w:r>
      <w:r w:rsidRPr="00252D7B">
        <w:rPr>
          <w:rStyle w:val="jsgrdq"/>
          <w:rFonts w:asciiTheme="minorHAnsi" w:hAnsiTheme="minorHAnsi" w:cstheme="minorHAnsi"/>
          <w:sz w:val="24"/>
          <w:szCs w:val="24"/>
        </w:rPr>
        <w:t xml:space="preserve">: A pesquisa de mercado para mapear as oportunidades de oferecer serviços de consultoria no mercado ferroviário foi iniciado com os estados e municípios. A pesquisa foi iniciada com 12 dos 26 estados do Brasil. A principal necessidade mapeada para este segmento é de estudos de pré-viabilidade, EVTEA e consultoria em projetos. </w:t>
      </w:r>
    </w:p>
    <w:p w14:paraId="108CB6F6" w14:textId="77777777" w:rsidR="006327CB" w:rsidRPr="00252D7B" w:rsidRDefault="006327CB" w:rsidP="00661C8E">
      <w:pPr>
        <w:pStyle w:val="PargrafodaLista"/>
        <w:numPr>
          <w:ilvl w:val="0"/>
          <w:numId w:val="4"/>
        </w:numPr>
        <w:spacing w:before="145"/>
        <w:ind w:right="-44"/>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b/>
          <w:bCs/>
          <w:sz w:val="24"/>
          <w:szCs w:val="24"/>
        </w:rPr>
        <w:t>Pátios e Terminais:</w:t>
      </w:r>
      <w:r w:rsidRPr="00252D7B">
        <w:rPr>
          <w:rStyle w:val="jsgrdq"/>
          <w:rFonts w:asciiTheme="minorHAnsi" w:hAnsiTheme="minorHAnsi" w:cstheme="minorHAnsi"/>
          <w:sz w:val="24"/>
          <w:szCs w:val="24"/>
        </w:rPr>
        <w:t xml:space="preserve"> A pesquisa de mercado visa mapear o fluxo de cargas da FNS, empresas potenciais interessadas em investir em algumas das 17 áreas disponíveis e cargas de maior interesse.</w:t>
      </w:r>
    </w:p>
    <w:p w14:paraId="0153C70D" w14:textId="77777777" w:rsidR="006327CB" w:rsidRPr="00252D7B" w:rsidRDefault="006327CB" w:rsidP="00661C8E">
      <w:pPr>
        <w:pStyle w:val="PargrafodaLista"/>
        <w:numPr>
          <w:ilvl w:val="0"/>
          <w:numId w:val="4"/>
        </w:numPr>
        <w:spacing w:before="145"/>
        <w:ind w:right="-44"/>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b/>
          <w:bCs/>
          <w:sz w:val="24"/>
          <w:szCs w:val="24"/>
        </w:rPr>
        <w:t>Áreas remanescentes:</w:t>
      </w:r>
      <w:r w:rsidRPr="00252D7B">
        <w:rPr>
          <w:rStyle w:val="jsgrdq"/>
          <w:rFonts w:asciiTheme="minorHAnsi" w:hAnsiTheme="minorHAnsi" w:cstheme="minorHAnsi"/>
          <w:sz w:val="24"/>
          <w:szCs w:val="24"/>
        </w:rPr>
        <w:t xml:space="preserve"> Pesquisa de mercado com empresas potenciais para mapear o interesse em investimentos em diferentes tipos de negócios nas áreas disponíveis.</w:t>
      </w:r>
    </w:p>
    <w:p w14:paraId="0607DC5F" w14:textId="77777777" w:rsidR="006327CB" w:rsidRPr="00252D7B" w:rsidRDefault="006327CB" w:rsidP="00661C8E">
      <w:pPr>
        <w:pStyle w:val="PargrafodaLista"/>
        <w:numPr>
          <w:ilvl w:val="0"/>
          <w:numId w:val="4"/>
        </w:numPr>
        <w:spacing w:before="145"/>
        <w:ind w:right="-44"/>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b/>
          <w:bCs/>
          <w:sz w:val="24"/>
          <w:szCs w:val="24"/>
        </w:rPr>
        <w:t>DT-e:</w:t>
      </w:r>
      <w:r w:rsidRPr="00252D7B">
        <w:rPr>
          <w:rStyle w:val="jsgrdq"/>
          <w:rFonts w:asciiTheme="minorHAnsi" w:hAnsiTheme="minorHAnsi" w:cstheme="minorHAnsi"/>
          <w:sz w:val="24"/>
          <w:szCs w:val="24"/>
        </w:rPr>
        <w:t xml:space="preserve"> Pesquisa de mercado sobre a gestão de documentos administrativos no âmbito da operação Ferroviária com a finalidade de compreender a diferença entre o setor ferroviário e rodoviário e o impacto do projeto para o setor. Também realizada pesquisa com players de mercado potenciais parceiros do projeto com empresas de transporte logístico, de cargas de granel vegetal para participação da 1° Onda do projeto DT-e. Além disso, pesquisa com empresas de tecnologia, telecomunicações, embarcadores e transportadores e potenciais investidores.</w:t>
      </w:r>
    </w:p>
    <w:p w14:paraId="769DE726" w14:textId="7147376B" w:rsidR="006327CB" w:rsidRPr="00252D7B" w:rsidRDefault="006327CB" w:rsidP="00494668">
      <w:pPr>
        <w:jc w:val="both"/>
        <w:rPr>
          <w:rFonts w:asciiTheme="minorHAnsi" w:hAnsiTheme="minorHAnsi" w:cstheme="minorHAnsi"/>
        </w:rPr>
      </w:pPr>
    </w:p>
    <w:p w14:paraId="542600B3" w14:textId="77777777" w:rsidR="00F32392" w:rsidRPr="00252D7B" w:rsidRDefault="00F32392" w:rsidP="00494668">
      <w:pPr>
        <w:jc w:val="both"/>
        <w:rPr>
          <w:rFonts w:asciiTheme="minorHAnsi" w:hAnsiTheme="minorHAnsi" w:cstheme="minorHAnsi"/>
        </w:rPr>
      </w:pPr>
    </w:p>
    <w:p w14:paraId="22B9A2D0" w14:textId="77777777" w:rsidR="006327CB" w:rsidRPr="00252D7B" w:rsidRDefault="006327CB" w:rsidP="006327CB">
      <w:pPr>
        <w:pStyle w:val="Ttulo3"/>
        <w:rPr>
          <w:rFonts w:asciiTheme="minorHAnsi" w:hAnsiTheme="minorHAnsi" w:cstheme="minorHAnsi"/>
        </w:rPr>
      </w:pPr>
      <w:bookmarkStart w:id="140" w:name="_Toc103680532"/>
      <w:r w:rsidRPr="00252D7B">
        <w:rPr>
          <w:rFonts w:asciiTheme="minorHAnsi" w:hAnsiTheme="minorHAnsi" w:cstheme="minorHAnsi"/>
        </w:rPr>
        <w:t>Prospecção de clientes</w:t>
      </w:r>
      <w:bookmarkEnd w:id="140"/>
    </w:p>
    <w:p w14:paraId="46A7BF7B" w14:textId="6139238F" w:rsidR="006327CB" w:rsidRPr="00252D7B" w:rsidRDefault="006327CB" w:rsidP="00FB159F">
      <w:pPr>
        <w:spacing w:before="120"/>
        <w:jc w:val="both"/>
        <w:rPr>
          <w:rFonts w:asciiTheme="minorHAnsi" w:hAnsiTheme="minorHAnsi" w:cstheme="minorHAnsi"/>
          <w:sz w:val="24"/>
          <w:szCs w:val="24"/>
        </w:rPr>
      </w:pPr>
      <w:r w:rsidRPr="00252D7B">
        <w:rPr>
          <w:rFonts w:asciiTheme="minorHAnsi" w:hAnsiTheme="minorHAnsi" w:cstheme="minorHAnsi"/>
          <w:sz w:val="24"/>
          <w:szCs w:val="24"/>
        </w:rPr>
        <w:t>Em alinhamento à decisão estratégica de fomentar a comercialização de produtos e serviços, ao longo de 2021, foram realizadas 145 reuniões comerciais para a prospecção de novos clientes para a Valec, conforme especificado na</w:t>
      </w:r>
      <w:r w:rsidR="00494668" w:rsidRPr="00252D7B">
        <w:rPr>
          <w:rFonts w:asciiTheme="minorHAnsi" w:hAnsiTheme="minorHAnsi" w:cstheme="minorHAnsi"/>
          <w:sz w:val="24"/>
          <w:szCs w:val="24"/>
        </w:rPr>
        <w:t xml:space="preserve"> </w:t>
      </w:r>
      <w:r w:rsidR="008A2B5E" w:rsidRPr="00252D7B">
        <w:rPr>
          <w:rFonts w:asciiTheme="minorHAnsi" w:hAnsiTheme="minorHAnsi" w:cstheme="minorHAnsi"/>
          <w:sz w:val="24"/>
          <w:szCs w:val="24"/>
        </w:rPr>
        <w:fldChar w:fldCharType="begin"/>
      </w:r>
      <w:r w:rsidR="008A2B5E" w:rsidRPr="00252D7B">
        <w:rPr>
          <w:rFonts w:asciiTheme="minorHAnsi" w:hAnsiTheme="minorHAnsi" w:cstheme="minorHAnsi"/>
          <w:sz w:val="24"/>
          <w:szCs w:val="24"/>
        </w:rPr>
        <w:instrText xml:space="preserve"> REF _Ref97570905 \h </w:instrText>
      </w:r>
      <w:r w:rsidR="00A535A4" w:rsidRPr="00252D7B">
        <w:rPr>
          <w:rFonts w:asciiTheme="minorHAnsi" w:hAnsiTheme="minorHAnsi" w:cstheme="minorHAnsi"/>
          <w:sz w:val="24"/>
          <w:szCs w:val="24"/>
        </w:rPr>
        <w:instrText xml:space="preserve"> \* MERGEFORMAT </w:instrText>
      </w:r>
      <w:r w:rsidR="008A2B5E" w:rsidRPr="00252D7B">
        <w:rPr>
          <w:rFonts w:asciiTheme="minorHAnsi" w:hAnsiTheme="minorHAnsi" w:cstheme="minorHAnsi"/>
          <w:sz w:val="24"/>
          <w:szCs w:val="24"/>
        </w:rPr>
      </w:r>
      <w:r w:rsidR="008A2B5E" w:rsidRPr="00252D7B">
        <w:rPr>
          <w:rFonts w:asciiTheme="minorHAnsi" w:hAnsiTheme="minorHAnsi" w:cstheme="minorHAnsi"/>
          <w:sz w:val="24"/>
          <w:szCs w:val="24"/>
        </w:rPr>
        <w:fldChar w:fldCharType="separate"/>
      </w:r>
      <w:r w:rsidR="00C12888" w:rsidRPr="00C12888">
        <w:rPr>
          <w:rFonts w:asciiTheme="minorHAnsi" w:hAnsiTheme="minorHAnsi" w:cstheme="minorHAnsi"/>
          <w:sz w:val="24"/>
          <w:szCs w:val="24"/>
        </w:rPr>
        <w:t>Figura 15</w:t>
      </w:r>
      <w:r w:rsidR="008A2B5E" w:rsidRPr="00252D7B">
        <w:rPr>
          <w:rFonts w:asciiTheme="minorHAnsi" w:hAnsiTheme="minorHAnsi" w:cstheme="minorHAnsi"/>
          <w:sz w:val="24"/>
          <w:szCs w:val="24"/>
        </w:rPr>
        <w:fldChar w:fldCharType="end"/>
      </w:r>
      <w:r w:rsidR="008A2B5E" w:rsidRPr="00252D7B">
        <w:rPr>
          <w:rFonts w:asciiTheme="minorHAnsi" w:hAnsiTheme="minorHAnsi" w:cstheme="minorHAnsi"/>
          <w:sz w:val="24"/>
          <w:szCs w:val="24"/>
        </w:rPr>
        <w:t>.</w:t>
      </w:r>
    </w:p>
    <w:p w14:paraId="2C69BB2F" w14:textId="77777777" w:rsidR="006327CB" w:rsidRPr="00252D7B" w:rsidRDefault="006327CB" w:rsidP="00494668">
      <w:pPr>
        <w:spacing w:before="120"/>
        <w:jc w:val="both"/>
        <w:rPr>
          <w:rFonts w:asciiTheme="minorHAnsi" w:hAnsiTheme="minorHAnsi" w:cstheme="minorHAnsi"/>
        </w:rPr>
      </w:pPr>
    </w:p>
    <w:p w14:paraId="5778252F" w14:textId="38381AAE" w:rsidR="00F46BDB" w:rsidRPr="00252D7B" w:rsidRDefault="00F46BDB" w:rsidP="00F46BDB">
      <w:pPr>
        <w:pStyle w:val="Legenda"/>
        <w:keepNext/>
        <w:jc w:val="center"/>
        <w:rPr>
          <w:rFonts w:asciiTheme="minorHAnsi" w:hAnsiTheme="minorHAnsi" w:cstheme="minorHAnsi"/>
          <w:sz w:val="20"/>
          <w:szCs w:val="20"/>
        </w:rPr>
      </w:pPr>
      <w:bookmarkStart w:id="141" w:name="_Ref97570905"/>
      <w:bookmarkStart w:id="142" w:name="_Toc103680751"/>
      <w:r w:rsidRPr="00252D7B">
        <w:rPr>
          <w:rFonts w:asciiTheme="minorHAnsi" w:hAnsiTheme="minorHAnsi" w:cstheme="minorHAnsi"/>
          <w:sz w:val="20"/>
          <w:szCs w:val="20"/>
        </w:rPr>
        <w:lastRenderedPageBreak/>
        <w:t xml:space="preserve">Figura </w:t>
      </w:r>
      <w:r w:rsidRPr="00252D7B">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Figura \* ARABIC </w:instrText>
      </w:r>
      <w:r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15</w:t>
      </w:r>
      <w:r w:rsidRPr="00252D7B">
        <w:rPr>
          <w:rFonts w:asciiTheme="minorHAnsi" w:hAnsiTheme="minorHAnsi" w:cstheme="minorHAnsi"/>
          <w:sz w:val="20"/>
          <w:szCs w:val="20"/>
        </w:rPr>
        <w:fldChar w:fldCharType="end"/>
      </w:r>
      <w:bookmarkEnd w:id="141"/>
      <w:r w:rsidRPr="00252D7B">
        <w:rPr>
          <w:rFonts w:asciiTheme="minorHAnsi" w:hAnsiTheme="minorHAnsi" w:cstheme="minorHAnsi"/>
          <w:sz w:val="20"/>
          <w:szCs w:val="20"/>
        </w:rPr>
        <w:t xml:space="preserve"> </w:t>
      </w:r>
      <w:r w:rsidR="00144E89" w:rsidRPr="00252D7B">
        <w:rPr>
          <w:rFonts w:asciiTheme="minorHAnsi" w:hAnsiTheme="minorHAnsi" w:cstheme="minorHAnsi"/>
          <w:sz w:val="20"/>
          <w:szCs w:val="20"/>
        </w:rPr>
        <w:t>–</w:t>
      </w:r>
      <w:r w:rsidRPr="00252D7B">
        <w:rPr>
          <w:rFonts w:asciiTheme="minorHAnsi" w:hAnsiTheme="minorHAnsi" w:cstheme="minorHAnsi"/>
          <w:sz w:val="20"/>
          <w:szCs w:val="20"/>
        </w:rPr>
        <w:t xml:space="preserve"> </w:t>
      </w:r>
      <w:r w:rsidR="00144E89" w:rsidRPr="00252D7B">
        <w:rPr>
          <w:rFonts w:asciiTheme="minorHAnsi" w:hAnsiTheme="minorHAnsi" w:cstheme="minorHAnsi"/>
          <w:sz w:val="20"/>
          <w:szCs w:val="20"/>
        </w:rPr>
        <w:t xml:space="preserve">Reuniões Comerciais </w:t>
      </w:r>
      <w:r w:rsidRPr="00252D7B">
        <w:rPr>
          <w:rFonts w:asciiTheme="minorHAnsi" w:hAnsiTheme="minorHAnsi" w:cstheme="minorHAnsi"/>
          <w:sz w:val="20"/>
          <w:szCs w:val="20"/>
        </w:rPr>
        <w:t xml:space="preserve">para a </w:t>
      </w:r>
      <w:r w:rsidR="00144E89" w:rsidRPr="00252D7B">
        <w:rPr>
          <w:rFonts w:asciiTheme="minorHAnsi" w:hAnsiTheme="minorHAnsi" w:cstheme="minorHAnsi"/>
          <w:sz w:val="20"/>
          <w:szCs w:val="20"/>
        </w:rPr>
        <w:t xml:space="preserve">Prospecção </w:t>
      </w:r>
      <w:r w:rsidRPr="00252D7B">
        <w:rPr>
          <w:rFonts w:asciiTheme="minorHAnsi" w:hAnsiTheme="minorHAnsi" w:cstheme="minorHAnsi"/>
          <w:sz w:val="20"/>
          <w:szCs w:val="20"/>
        </w:rPr>
        <w:t xml:space="preserve">de </w:t>
      </w:r>
      <w:r w:rsidR="00144E89" w:rsidRPr="00252D7B">
        <w:rPr>
          <w:rFonts w:asciiTheme="minorHAnsi" w:hAnsiTheme="minorHAnsi" w:cstheme="minorHAnsi"/>
          <w:sz w:val="20"/>
          <w:szCs w:val="20"/>
        </w:rPr>
        <w:t>Novos Clientes</w:t>
      </w:r>
      <w:bookmarkEnd w:id="142"/>
    </w:p>
    <w:p w14:paraId="6F3ECA52" w14:textId="317F7FF3" w:rsidR="006327CB" w:rsidRPr="00252D7B" w:rsidRDefault="00B674CB" w:rsidP="006327CB">
      <w:pPr>
        <w:spacing w:before="120" w:after="120"/>
        <w:jc w:val="center"/>
        <w:rPr>
          <w:rFonts w:asciiTheme="minorHAnsi" w:hAnsiTheme="minorHAnsi" w:cstheme="minorHAnsi"/>
        </w:rPr>
      </w:pPr>
      <w:r w:rsidRPr="00252D7B">
        <w:rPr>
          <w:rFonts w:asciiTheme="minorHAnsi" w:hAnsiTheme="minorHAnsi" w:cstheme="minorHAnsi"/>
          <w:noProof/>
        </w:rPr>
        <w:drawing>
          <wp:inline distT="0" distB="0" distL="0" distR="0" wp14:anchorId="3E8393B3" wp14:editId="2F6A239A">
            <wp:extent cx="5046345" cy="4913546"/>
            <wp:effectExtent l="19050" t="19050" r="20955" b="2095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55781" cy="4922734"/>
                    </a:xfrm>
                    <a:prstGeom prst="rect">
                      <a:avLst/>
                    </a:prstGeom>
                    <a:noFill/>
                    <a:ln>
                      <a:solidFill>
                        <a:schemeClr val="tx1"/>
                      </a:solidFill>
                    </a:ln>
                  </pic:spPr>
                </pic:pic>
              </a:graphicData>
            </a:graphic>
          </wp:inline>
        </w:drawing>
      </w:r>
    </w:p>
    <w:p w14:paraId="1AFDBFBF" w14:textId="080072BC" w:rsidR="006327CB" w:rsidRPr="00252D7B" w:rsidRDefault="006327CB" w:rsidP="006327CB">
      <w:pPr>
        <w:spacing w:before="120" w:after="120"/>
        <w:jc w:val="both"/>
        <w:rPr>
          <w:rFonts w:asciiTheme="minorHAnsi" w:hAnsiTheme="minorHAnsi" w:cstheme="minorHAnsi"/>
          <w:b/>
          <w:bCs/>
        </w:rPr>
      </w:pPr>
    </w:p>
    <w:p w14:paraId="143E4D13" w14:textId="77777777" w:rsidR="008A2B5E" w:rsidRPr="00252D7B" w:rsidRDefault="008A2B5E" w:rsidP="006327CB">
      <w:pPr>
        <w:spacing w:before="120" w:after="120"/>
        <w:jc w:val="both"/>
        <w:rPr>
          <w:rFonts w:asciiTheme="minorHAnsi" w:hAnsiTheme="minorHAnsi" w:cstheme="minorHAnsi"/>
          <w:b/>
          <w:bCs/>
        </w:rPr>
      </w:pPr>
    </w:p>
    <w:p w14:paraId="13B1D4F6" w14:textId="77777777" w:rsidR="006327CB" w:rsidRPr="00252D7B" w:rsidRDefault="006327CB" w:rsidP="006327CB">
      <w:pPr>
        <w:pStyle w:val="Ttulo3"/>
        <w:rPr>
          <w:rFonts w:asciiTheme="minorHAnsi" w:hAnsiTheme="minorHAnsi" w:cstheme="minorHAnsi"/>
        </w:rPr>
      </w:pPr>
      <w:bookmarkStart w:id="143" w:name="_Toc103680533"/>
      <w:r w:rsidRPr="00252D7B">
        <w:rPr>
          <w:rFonts w:asciiTheme="minorHAnsi" w:hAnsiTheme="minorHAnsi" w:cstheme="minorHAnsi"/>
        </w:rPr>
        <w:t>Inovação: Projeto Carcará</w:t>
      </w:r>
      <w:bookmarkEnd w:id="143"/>
    </w:p>
    <w:p w14:paraId="28439B4A" w14:textId="2FBD030C" w:rsidR="006327CB" w:rsidRPr="00252D7B" w:rsidRDefault="006327CB" w:rsidP="00661C8E">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O Projeto Carcará tem como objeto estruturar o processo voltado para a destinação das áreas remanescentes da </w:t>
      </w:r>
      <w:r w:rsidR="00610C91" w:rsidRPr="00252D7B">
        <w:rPr>
          <w:rFonts w:asciiTheme="minorHAnsi" w:hAnsiTheme="minorHAnsi" w:cstheme="minorHAnsi"/>
          <w:sz w:val="24"/>
          <w:szCs w:val="24"/>
        </w:rPr>
        <w:t>Valec</w:t>
      </w:r>
      <w:r w:rsidRPr="00252D7B">
        <w:rPr>
          <w:rFonts w:asciiTheme="minorHAnsi" w:hAnsiTheme="minorHAnsi" w:cstheme="minorHAnsi"/>
          <w:sz w:val="24"/>
          <w:szCs w:val="24"/>
        </w:rPr>
        <w:t>, ou seja, aquelas que decorrer de alterações de traçado da Ferrovia Norte</w:t>
      </w:r>
      <w:r w:rsidR="00B426C1">
        <w:rPr>
          <w:rFonts w:asciiTheme="minorHAnsi" w:hAnsiTheme="minorHAnsi" w:cstheme="minorHAnsi"/>
          <w:sz w:val="24"/>
          <w:szCs w:val="24"/>
        </w:rPr>
        <w:t>-</w:t>
      </w:r>
      <w:r w:rsidRPr="00252D7B">
        <w:rPr>
          <w:rFonts w:asciiTheme="minorHAnsi" w:hAnsiTheme="minorHAnsi" w:cstheme="minorHAnsi"/>
          <w:sz w:val="24"/>
          <w:szCs w:val="24"/>
        </w:rPr>
        <w:t>Sul e para quais não se identificam perspectivas para concessão e exploração relacionada com a infraestrutura ferroviária. Portanto, são áreas que não tem viabilidade técnica e de mercado para formação de pátios e terminais, consequentemente sem vínculo com o transporte ferroviário.</w:t>
      </w:r>
    </w:p>
    <w:p w14:paraId="44A92905" w14:textId="77777777" w:rsidR="006327CB" w:rsidRPr="00252D7B" w:rsidRDefault="006327CB" w:rsidP="00661C8E">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Conforme levantamento preliminar realizado pela Superintendências de Negócios - SUNEG, a dimensão aproximada de áreas remanescentes, indicadas em um primeiro momento para compor a carteira de ativos a serem destinados ao mercado corresponde a aproximadamente 3.000 hectares.</w:t>
      </w:r>
    </w:p>
    <w:p w14:paraId="28977511" w14:textId="77777777" w:rsidR="006327CB" w:rsidRPr="00252D7B" w:rsidRDefault="006327CB" w:rsidP="00661C8E">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Essas áreas estão localizadas nos Estados de Goiás, Tocantins, Maranhão, São Paulo e Minas Gerais, próximas à Ferrovia Norte-Sul. A destinação das áreas remanescentes é necessária e estratégica, por se tratar de ativos não mais conectados com o fomento ferroviário e que só proporcionam ônus administrativos e financeiros à estatal (custos associados a equipe técnica mobilizada para atualizações, manutenção e controle das áreas).</w:t>
      </w:r>
    </w:p>
    <w:p w14:paraId="5572D541" w14:textId="77777777" w:rsidR="006327CB" w:rsidRPr="00252D7B" w:rsidRDefault="006327CB" w:rsidP="00661C8E">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lastRenderedPageBreak/>
        <w:t>Esta estratégia vai ao encontro dos termos previstos no Planejamento Estratégico Institucional - PEI 2020-2024 e Plano de Negócios, aprovado pelo Conselho de Administração, no sendo de buscar as metas de receitas definidas para a empresa.</w:t>
      </w:r>
    </w:p>
    <w:p w14:paraId="316C14C7" w14:textId="77777777" w:rsidR="006327CB" w:rsidRPr="00252D7B" w:rsidRDefault="006327CB" w:rsidP="00661C8E">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O projeto foi desenvolvido ao longo de 2021, havendo perspectiva de conclusão de seu relatório final no primeiro trimestre de 2022.</w:t>
      </w:r>
    </w:p>
    <w:p w14:paraId="1D25D77B" w14:textId="51058AFF" w:rsidR="005D3D48" w:rsidRPr="00252D7B" w:rsidRDefault="005D3D48">
      <w:pPr>
        <w:widowControl/>
        <w:autoSpaceDE/>
        <w:autoSpaceDN/>
        <w:spacing w:after="160" w:line="259" w:lineRule="auto"/>
        <w:rPr>
          <w:rFonts w:asciiTheme="minorHAnsi" w:hAnsiTheme="minorHAnsi" w:cstheme="minorHAnsi"/>
        </w:rPr>
      </w:pPr>
      <w:r w:rsidRPr="00252D7B">
        <w:rPr>
          <w:rFonts w:asciiTheme="minorHAnsi" w:hAnsiTheme="minorHAnsi" w:cstheme="minorHAnsi"/>
        </w:rPr>
        <w:br w:type="page"/>
      </w:r>
    </w:p>
    <w:p w14:paraId="1BCC3C90" w14:textId="5E31B9A1" w:rsidR="0062541C" w:rsidRPr="00252D7B" w:rsidRDefault="000F043C" w:rsidP="004D1B9D">
      <w:pPr>
        <w:pStyle w:val="Ttulo1"/>
        <w:jc w:val="left"/>
        <w:rPr>
          <w:rFonts w:asciiTheme="minorHAnsi" w:hAnsiTheme="minorHAnsi" w:cstheme="minorHAnsi"/>
        </w:rPr>
      </w:pPr>
      <w:bookmarkStart w:id="144" w:name="_Toc95830233"/>
      <w:bookmarkStart w:id="145" w:name="_Toc103680534"/>
      <w:r w:rsidRPr="00252D7B">
        <w:rPr>
          <w:rFonts w:asciiTheme="minorHAnsi" w:hAnsiTheme="minorHAnsi" w:cstheme="minorHAnsi"/>
        </w:rPr>
        <w:lastRenderedPageBreak/>
        <w:t>Resultados da gestão</w:t>
      </w:r>
      <w:bookmarkEnd w:id="144"/>
      <w:bookmarkEnd w:id="145"/>
    </w:p>
    <w:p w14:paraId="6C9C0CF2" w14:textId="77777777" w:rsidR="00CF5232" w:rsidRPr="00252D7B" w:rsidRDefault="00CF5232" w:rsidP="00815B34">
      <w:pPr>
        <w:spacing w:before="120"/>
        <w:jc w:val="both"/>
        <w:rPr>
          <w:rFonts w:asciiTheme="minorHAnsi" w:hAnsiTheme="minorHAnsi" w:cstheme="minorHAnsi"/>
          <w:sz w:val="24"/>
          <w:szCs w:val="24"/>
        </w:rPr>
      </w:pPr>
    </w:p>
    <w:p w14:paraId="49C2917B" w14:textId="77777777" w:rsidR="00635342" w:rsidRPr="00252D7B" w:rsidRDefault="00635342" w:rsidP="00F100A9">
      <w:pPr>
        <w:pStyle w:val="Ttulo2"/>
      </w:pPr>
      <w:bookmarkStart w:id="146" w:name="_Toc96705934"/>
      <w:bookmarkStart w:id="147" w:name="_Toc103680535"/>
      <w:r w:rsidRPr="00252D7B">
        <w:t>Desempenho estratégico</w:t>
      </w:r>
      <w:bookmarkEnd w:id="146"/>
      <w:bookmarkEnd w:id="147"/>
    </w:p>
    <w:p w14:paraId="4853EAE2" w14:textId="681F6442" w:rsidR="00635342" w:rsidRPr="00252D7B" w:rsidRDefault="00635342" w:rsidP="00635342">
      <w:pPr>
        <w:spacing w:before="120" w:after="120"/>
        <w:jc w:val="both"/>
        <w:rPr>
          <w:rFonts w:asciiTheme="minorHAnsi" w:hAnsiTheme="minorHAnsi" w:cstheme="minorHAnsi"/>
          <w:sz w:val="24"/>
          <w:szCs w:val="24"/>
        </w:rPr>
      </w:pPr>
      <w:bookmarkStart w:id="148" w:name="_Toc95830235"/>
      <w:r w:rsidRPr="00252D7B">
        <w:rPr>
          <w:rFonts w:asciiTheme="minorHAnsi" w:hAnsiTheme="minorHAnsi" w:cstheme="minorHAnsi"/>
          <w:sz w:val="24"/>
          <w:szCs w:val="24"/>
        </w:rPr>
        <w:t>Os resultados da gestão do ano de 2021 tem como referência as metas e iniciativas do Plano de Negócio 2021.</w:t>
      </w:r>
    </w:p>
    <w:p w14:paraId="5666B9B7" w14:textId="17A2B998" w:rsidR="00635342" w:rsidRPr="00252D7B" w:rsidRDefault="00635342" w:rsidP="00635342">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Para acompanhamento das metas são realizadas, trimestralmente, as Reuniões de Avaliação Estratégica (RAE). Durante essas reuniões, a diretoria apresenta e discute o desempenho dos objetivos estratégicos, por meio de um esquema de cores (</w:t>
      </w:r>
      <w:r w:rsidRPr="00252D7B">
        <w:rPr>
          <w:rFonts w:asciiTheme="minorHAnsi" w:hAnsiTheme="minorHAnsi" w:cstheme="minorHAnsi"/>
          <w:sz w:val="24"/>
          <w:szCs w:val="24"/>
        </w:rPr>
        <w:fldChar w:fldCharType="begin"/>
      </w:r>
      <w:r w:rsidRPr="00252D7B">
        <w:rPr>
          <w:rFonts w:asciiTheme="minorHAnsi" w:hAnsiTheme="minorHAnsi" w:cstheme="minorHAnsi"/>
          <w:sz w:val="24"/>
          <w:szCs w:val="24"/>
        </w:rPr>
        <w:instrText xml:space="preserve"> REF _Ref96355852 \h  \* MERGEFORMAT </w:instrText>
      </w:r>
      <w:r w:rsidRPr="00252D7B">
        <w:rPr>
          <w:rFonts w:asciiTheme="minorHAnsi" w:hAnsiTheme="minorHAnsi" w:cstheme="minorHAnsi"/>
          <w:sz w:val="24"/>
          <w:szCs w:val="24"/>
        </w:rPr>
      </w:r>
      <w:r w:rsidRPr="00252D7B">
        <w:rPr>
          <w:rFonts w:asciiTheme="minorHAnsi" w:hAnsiTheme="minorHAnsi" w:cstheme="minorHAnsi"/>
          <w:sz w:val="24"/>
          <w:szCs w:val="24"/>
        </w:rPr>
        <w:fldChar w:fldCharType="separate"/>
      </w:r>
      <w:r w:rsidR="00C12888" w:rsidRPr="00C12888">
        <w:rPr>
          <w:rFonts w:asciiTheme="minorHAnsi" w:hAnsiTheme="minorHAnsi" w:cstheme="minorHAnsi"/>
          <w:sz w:val="24"/>
          <w:szCs w:val="24"/>
        </w:rPr>
        <w:t>Figura 16</w:t>
      </w:r>
      <w:r w:rsidRPr="00252D7B">
        <w:rPr>
          <w:rFonts w:asciiTheme="minorHAnsi" w:hAnsiTheme="minorHAnsi" w:cstheme="minorHAnsi"/>
          <w:sz w:val="24"/>
          <w:szCs w:val="24"/>
        </w:rPr>
        <w:fldChar w:fldCharType="end"/>
      </w:r>
      <w:r w:rsidRPr="00252D7B">
        <w:rPr>
          <w:rFonts w:asciiTheme="minorHAnsi" w:hAnsiTheme="minorHAnsi" w:cstheme="minorHAnsi"/>
          <w:sz w:val="24"/>
          <w:szCs w:val="24"/>
        </w:rPr>
        <w:t>) para demonstrar de forma rápida e visual qual o desempenho de determinado indicador (o seu status).</w:t>
      </w:r>
    </w:p>
    <w:p w14:paraId="3DEF849C" w14:textId="03166713" w:rsidR="00635342" w:rsidRDefault="00635342" w:rsidP="00635342">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São utilizadas as cores verde escuro, verde claro, amarela e vermelha para expressar o desempenho, de forma que a cor verde escuro representa um desempenho em relação à meta igual ou maior que 80%, a cor verde claro um desempenho em relação à meta entre 50% e 79,99%, a cor amarela um desempenho em relação à meta entre 30% e 49,99% e, a cor vermelha um desempenho em relação à meta abaixo de 30%. </w:t>
      </w:r>
    </w:p>
    <w:p w14:paraId="0D7CF0B6" w14:textId="28198B18" w:rsidR="007F2CD3" w:rsidRPr="00252D7B" w:rsidRDefault="009F6E2A" w:rsidP="00635342">
      <w:pPr>
        <w:spacing w:before="120" w:after="120"/>
        <w:jc w:val="both"/>
        <w:rPr>
          <w:rFonts w:asciiTheme="minorHAnsi" w:hAnsiTheme="minorHAnsi" w:cstheme="minorHAnsi"/>
          <w:sz w:val="24"/>
          <w:szCs w:val="24"/>
        </w:rPr>
      </w:pPr>
      <w:r>
        <w:rPr>
          <w:rFonts w:asciiTheme="minorHAnsi" w:hAnsiTheme="minorHAnsi" w:cstheme="minorHAnsi"/>
          <w:sz w:val="24"/>
          <w:szCs w:val="24"/>
        </w:rPr>
        <w:t xml:space="preserve">As metas que obtiveram resultado superior à 100% são normalizadas em 100% </w:t>
      </w:r>
      <w:r w:rsidR="0067629F">
        <w:rPr>
          <w:rFonts w:asciiTheme="minorHAnsi" w:hAnsiTheme="minorHAnsi" w:cstheme="minorHAnsi"/>
          <w:sz w:val="24"/>
          <w:szCs w:val="24"/>
        </w:rPr>
        <w:t xml:space="preserve">para que </w:t>
      </w:r>
      <w:r>
        <w:rPr>
          <w:rFonts w:asciiTheme="minorHAnsi" w:hAnsiTheme="minorHAnsi" w:cstheme="minorHAnsi"/>
          <w:sz w:val="24"/>
          <w:szCs w:val="24"/>
        </w:rPr>
        <w:t>o cálculo de desempenho dos objetivos estratégicos</w:t>
      </w:r>
      <w:r w:rsidR="0067629F">
        <w:rPr>
          <w:rFonts w:asciiTheme="minorHAnsi" w:hAnsiTheme="minorHAnsi" w:cstheme="minorHAnsi"/>
          <w:sz w:val="24"/>
          <w:szCs w:val="24"/>
        </w:rPr>
        <w:t xml:space="preserve"> não seja enviesado pelo desempenho de determinadas metas</w:t>
      </w:r>
      <w:r>
        <w:rPr>
          <w:rFonts w:asciiTheme="minorHAnsi" w:hAnsiTheme="minorHAnsi" w:cstheme="minorHAnsi"/>
          <w:sz w:val="24"/>
          <w:szCs w:val="24"/>
        </w:rPr>
        <w:t>.</w:t>
      </w:r>
    </w:p>
    <w:p w14:paraId="28BF3A6D" w14:textId="77777777" w:rsidR="00635342" w:rsidRPr="00252D7B" w:rsidRDefault="00635342" w:rsidP="00635342">
      <w:pPr>
        <w:ind w:firstLine="708"/>
        <w:rPr>
          <w:rFonts w:asciiTheme="minorHAnsi" w:hAnsiTheme="minorHAnsi" w:cstheme="minorHAnsi"/>
        </w:rPr>
      </w:pPr>
    </w:p>
    <w:p w14:paraId="4B3134B3" w14:textId="16AD927A" w:rsidR="00635342" w:rsidRPr="00252D7B" w:rsidRDefault="00635342" w:rsidP="00635342">
      <w:pPr>
        <w:pStyle w:val="Legenda"/>
        <w:jc w:val="center"/>
        <w:rPr>
          <w:rFonts w:asciiTheme="minorHAnsi" w:hAnsiTheme="minorHAnsi" w:cstheme="minorHAnsi"/>
          <w:sz w:val="20"/>
          <w:szCs w:val="20"/>
        </w:rPr>
      </w:pPr>
      <w:bookmarkStart w:id="149" w:name="_Ref96355852"/>
      <w:bookmarkStart w:id="150" w:name="_Toc96706074"/>
      <w:bookmarkStart w:id="151" w:name="_Toc103680752"/>
      <w:r w:rsidRPr="00252D7B">
        <w:rPr>
          <w:rFonts w:asciiTheme="minorHAnsi" w:hAnsiTheme="minorHAnsi" w:cstheme="minorHAnsi"/>
          <w:sz w:val="20"/>
          <w:szCs w:val="20"/>
        </w:rPr>
        <w:t xml:space="preserve">Figura </w:t>
      </w:r>
      <w:r w:rsidR="00F46BDB" w:rsidRPr="00252D7B">
        <w:rPr>
          <w:rFonts w:asciiTheme="minorHAnsi" w:hAnsiTheme="minorHAnsi" w:cstheme="minorHAnsi"/>
          <w:sz w:val="20"/>
          <w:szCs w:val="20"/>
        </w:rPr>
        <w:fldChar w:fldCharType="begin"/>
      </w:r>
      <w:r w:rsidR="00F46BDB" w:rsidRPr="00252D7B">
        <w:rPr>
          <w:rFonts w:asciiTheme="minorHAnsi" w:hAnsiTheme="minorHAnsi" w:cstheme="minorHAnsi"/>
          <w:sz w:val="20"/>
          <w:szCs w:val="20"/>
        </w:rPr>
        <w:instrText xml:space="preserve"> SEQ Figura \* ARABIC </w:instrText>
      </w:r>
      <w:r w:rsidR="00F46BDB"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16</w:t>
      </w:r>
      <w:r w:rsidR="00F46BDB" w:rsidRPr="00252D7B">
        <w:rPr>
          <w:rFonts w:asciiTheme="minorHAnsi" w:hAnsiTheme="minorHAnsi" w:cstheme="minorHAnsi"/>
          <w:sz w:val="20"/>
          <w:szCs w:val="20"/>
        </w:rPr>
        <w:fldChar w:fldCharType="end"/>
      </w:r>
      <w:bookmarkEnd w:id="149"/>
      <w:r w:rsidRPr="00252D7B">
        <w:rPr>
          <w:rFonts w:asciiTheme="minorHAnsi" w:hAnsiTheme="minorHAnsi" w:cstheme="minorHAnsi"/>
          <w:sz w:val="20"/>
          <w:szCs w:val="20"/>
        </w:rPr>
        <w:t xml:space="preserve"> – Esquema de cores do desempenho dos objetivos estratégicos</w:t>
      </w:r>
      <w:bookmarkEnd w:id="150"/>
      <w:bookmarkEnd w:id="151"/>
    </w:p>
    <w:p w14:paraId="39BF8D58" w14:textId="17A15899" w:rsidR="00635342" w:rsidRPr="00252D7B" w:rsidRDefault="00635342" w:rsidP="00635342">
      <w:pPr>
        <w:jc w:val="center"/>
        <w:rPr>
          <w:rFonts w:asciiTheme="minorHAnsi" w:hAnsiTheme="minorHAnsi" w:cstheme="minorHAnsi"/>
        </w:rPr>
      </w:pPr>
      <w:r w:rsidRPr="00252D7B">
        <w:rPr>
          <w:rFonts w:asciiTheme="minorHAnsi" w:hAnsiTheme="minorHAnsi" w:cstheme="minorHAnsi"/>
          <w:noProof/>
        </w:rPr>
        <w:drawing>
          <wp:inline distT="0" distB="0" distL="0" distR="0" wp14:anchorId="4A6A3EF4" wp14:editId="5DFA07E4">
            <wp:extent cx="2782825" cy="1047750"/>
            <wp:effectExtent l="0" t="0" r="0" b="0"/>
            <wp:docPr id="1508942208" name="Imagem 10" descr="Interface gráfica do usuário, Texto, Aplicativo&#10;&#10;Descrição gerada automaticamente">
              <a:extLst xmlns:a="http://schemas.openxmlformats.org/drawingml/2006/main">
                <a:ext uri="{FF2B5EF4-FFF2-40B4-BE49-F238E27FC236}">
                  <a16:creationId xmlns:a16="http://schemas.microsoft.com/office/drawing/2014/main" id="{46E439F7-306C-4CE4-8878-4C3187F907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942208" name="Imagem 10" descr="Interface gráfica do usuário, Texto, Aplicativo&#10;&#10;Descrição gerada automaticamente">
                      <a:extLst>
                        <a:ext uri="{FF2B5EF4-FFF2-40B4-BE49-F238E27FC236}">
                          <a16:creationId xmlns:a16="http://schemas.microsoft.com/office/drawing/2014/main" id="{46E439F7-306C-4CE4-8878-4C3187F907E4}"/>
                        </a:ext>
                      </a:extLst>
                    </pic:cNvPr>
                    <pic:cNvPicPr>
                      <a:picLocks noChangeAspect="1"/>
                    </pic:cNvPicPr>
                  </pic:nvPicPr>
                  <pic:blipFill>
                    <a:blip r:embed="rId59"/>
                    <a:stretch>
                      <a:fillRect/>
                    </a:stretch>
                  </pic:blipFill>
                  <pic:spPr>
                    <a:xfrm>
                      <a:off x="0" y="0"/>
                      <a:ext cx="2790442" cy="1050618"/>
                    </a:xfrm>
                    <a:prstGeom prst="rect">
                      <a:avLst/>
                    </a:prstGeom>
                  </pic:spPr>
                </pic:pic>
              </a:graphicData>
            </a:graphic>
          </wp:inline>
        </w:drawing>
      </w:r>
    </w:p>
    <w:p w14:paraId="049E4C67" w14:textId="3E00497D" w:rsidR="00635342" w:rsidRPr="00252D7B" w:rsidRDefault="00635342" w:rsidP="00635342">
      <w:pPr>
        <w:spacing w:before="120" w:after="120"/>
        <w:rPr>
          <w:rFonts w:asciiTheme="minorHAnsi" w:hAnsiTheme="minorHAnsi" w:cstheme="minorHAnsi"/>
        </w:rPr>
      </w:pPr>
    </w:p>
    <w:p w14:paraId="644C4A65" w14:textId="1F787483" w:rsidR="002B2ED7" w:rsidRDefault="002B2ED7" w:rsidP="002B2ED7">
      <w:pPr>
        <w:pStyle w:val="Legenda"/>
        <w:keepNext/>
        <w:spacing w:after="0"/>
        <w:jc w:val="center"/>
        <w:rPr>
          <w:rFonts w:asciiTheme="minorHAnsi" w:hAnsiTheme="minorHAnsi" w:cstheme="minorHAnsi"/>
          <w:sz w:val="20"/>
          <w:szCs w:val="20"/>
        </w:rPr>
      </w:pPr>
      <w:bookmarkStart w:id="152" w:name="_Toc103680664"/>
      <w:bookmarkStart w:id="153" w:name="_Toc95830241"/>
      <w:bookmarkEnd w:id="148"/>
      <w:r w:rsidRPr="00252D7B">
        <w:rPr>
          <w:rFonts w:asciiTheme="minorHAnsi" w:hAnsiTheme="minorHAnsi" w:cstheme="minorHAnsi"/>
          <w:sz w:val="20"/>
          <w:szCs w:val="20"/>
        </w:rPr>
        <w:t xml:space="preserve">Tabela </w:t>
      </w:r>
      <w:r w:rsidRPr="00252D7B">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Tabela \* ARABIC </w:instrText>
      </w:r>
      <w:r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2</w:t>
      </w:r>
      <w:r w:rsidRPr="00252D7B">
        <w:rPr>
          <w:rFonts w:asciiTheme="minorHAnsi" w:hAnsiTheme="minorHAnsi" w:cstheme="minorHAnsi"/>
          <w:sz w:val="20"/>
          <w:szCs w:val="20"/>
        </w:rPr>
        <w:fldChar w:fldCharType="end"/>
      </w:r>
      <w:r w:rsidRPr="00252D7B">
        <w:rPr>
          <w:rFonts w:asciiTheme="minorHAnsi" w:hAnsiTheme="minorHAnsi" w:cstheme="minorHAnsi"/>
          <w:sz w:val="20"/>
          <w:szCs w:val="20"/>
        </w:rPr>
        <w:t xml:space="preserve"> – </w:t>
      </w:r>
      <w:r>
        <w:rPr>
          <w:rFonts w:asciiTheme="minorHAnsi" w:hAnsiTheme="minorHAnsi" w:cstheme="minorHAnsi"/>
          <w:sz w:val="20"/>
          <w:szCs w:val="20"/>
        </w:rPr>
        <w:t>Resultado das metas do Plano de Negócios de 2021</w:t>
      </w:r>
      <w:bookmarkEnd w:id="152"/>
    </w:p>
    <w:p w14:paraId="61B18CA8" w14:textId="77777777" w:rsidR="002B2ED7" w:rsidRPr="002B2ED7" w:rsidRDefault="002B2ED7" w:rsidP="002B2ED7"/>
    <w:tbl>
      <w:tblPr>
        <w:tblW w:w="9629" w:type="dxa"/>
        <w:tblInd w:w="10" w:type="dxa"/>
        <w:tblCellMar>
          <w:left w:w="70" w:type="dxa"/>
          <w:right w:w="70" w:type="dxa"/>
        </w:tblCellMar>
        <w:tblLook w:val="04A0" w:firstRow="1" w:lastRow="0" w:firstColumn="1" w:lastColumn="0" w:noHBand="0" w:noVBand="1"/>
      </w:tblPr>
      <w:tblGrid>
        <w:gridCol w:w="1612"/>
        <w:gridCol w:w="1594"/>
        <w:gridCol w:w="3357"/>
        <w:gridCol w:w="1053"/>
        <w:gridCol w:w="2013"/>
      </w:tblGrid>
      <w:tr w:rsidR="002B2ED7" w:rsidRPr="002B2ED7" w14:paraId="2BD4D63E" w14:textId="77777777" w:rsidTr="002B2ED7">
        <w:trPr>
          <w:trHeight w:val="525"/>
          <w:tblHeader/>
        </w:trPr>
        <w:tc>
          <w:tcPr>
            <w:tcW w:w="1612" w:type="dxa"/>
            <w:tcBorders>
              <w:top w:val="single" w:sz="8" w:space="0" w:color="auto"/>
              <w:bottom w:val="single" w:sz="8" w:space="0" w:color="auto"/>
              <w:right w:val="single" w:sz="8" w:space="0" w:color="auto"/>
            </w:tcBorders>
            <w:shd w:val="clear" w:color="auto" w:fill="D9D9D9" w:themeFill="background1" w:themeFillShade="D9"/>
            <w:vAlign w:val="center"/>
            <w:hideMark/>
          </w:tcPr>
          <w:p w14:paraId="693C4B9B" w14:textId="77777777" w:rsidR="002B2ED7" w:rsidRPr="002B2ED7" w:rsidRDefault="002B2ED7" w:rsidP="002B2ED7">
            <w:pPr>
              <w:widowControl/>
              <w:autoSpaceDE/>
              <w:autoSpaceDN/>
              <w:jc w:val="center"/>
              <w:rPr>
                <w:rFonts w:eastAsia="Times New Roman"/>
                <w:b/>
                <w:bCs/>
                <w:color w:val="000000"/>
                <w:sz w:val="20"/>
                <w:szCs w:val="20"/>
                <w:lang w:eastAsia="pt-BR" w:bidi="ar-SA"/>
              </w:rPr>
            </w:pPr>
            <w:r w:rsidRPr="002B2ED7">
              <w:rPr>
                <w:rFonts w:eastAsia="Times New Roman"/>
                <w:b/>
                <w:bCs/>
                <w:color w:val="000000"/>
                <w:sz w:val="20"/>
                <w:szCs w:val="20"/>
                <w:lang w:eastAsia="pt-BR" w:bidi="ar-SA"/>
              </w:rPr>
              <w:t>Objetivos estratégicos</w:t>
            </w:r>
          </w:p>
        </w:tc>
        <w:tc>
          <w:tcPr>
            <w:tcW w:w="159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92D6D4C" w14:textId="77777777" w:rsidR="002B2ED7" w:rsidRPr="002B2ED7" w:rsidRDefault="002B2ED7" w:rsidP="002B2ED7">
            <w:pPr>
              <w:widowControl/>
              <w:autoSpaceDE/>
              <w:autoSpaceDN/>
              <w:jc w:val="center"/>
              <w:rPr>
                <w:rFonts w:eastAsia="Times New Roman"/>
                <w:b/>
                <w:bCs/>
                <w:color w:val="000000"/>
                <w:sz w:val="20"/>
                <w:szCs w:val="20"/>
                <w:lang w:eastAsia="pt-BR" w:bidi="ar-SA"/>
              </w:rPr>
            </w:pPr>
            <w:r w:rsidRPr="002B2ED7">
              <w:rPr>
                <w:rFonts w:eastAsia="Times New Roman"/>
                <w:b/>
                <w:bCs/>
                <w:color w:val="000000"/>
                <w:sz w:val="20"/>
                <w:szCs w:val="20"/>
                <w:lang w:eastAsia="pt-BR" w:bidi="ar-SA"/>
              </w:rPr>
              <w:t>Desempenhos dos objetivos estratégicos</w:t>
            </w:r>
          </w:p>
        </w:tc>
        <w:tc>
          <w:tcPr>
            <w:tcW w:w="3357"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EC6DD57" w14:textId="77777777" w:rsidR="002B2ED7" w:rsidRPr="002B2ED7" w:rsidRDefault="002B2ED7" w:rsidP="002B2ED7">
            <w:pPr>
              <w:widowControl/>
              <w:autoSpaceDE/>
              <w:autoSpaceDN/>
              <w:jc w:val="center"/>
              <w:rPr>
                <w:rFonts w:eastAsia="Times New Roman"/>
                <w:b/>
                <w:bCs/>
                <w:color w:val="000000"/>
                <w:sz w:val="20"/>
                <w:szCs w:val="20"/>
                <w:lang w:eastAsia="pt-BR" w:bidi="ar-SA"/>
              </w:rPr>
            </w:pPr>
            <w:r w:rsidRPr="002B2ED7">
              <w:rPr>
                <w:rFonts w:eastAsia="Times New Roman"/>
                <w:b/>
                <w:bCs/>
                <w:color w:val="000000"/>
                <w:sz w:val="20"/>
                <w:szCs w:val="20"/>
                <w:lang w:eastAsia="pt-BR" w:bidi="ar-SA"/>
              </w:rPr>
              <w:t>Metas Plano de Negócios 2021</w:t>
            </w:r>
          </w:p>
        </w:tc>
        <w:tc>
          <w:tcPr>
            <w:tcW w:w="1053"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E263F8D" w14:textId="77777777" w:rsidR="002B2ED7" w:rsidRPr="002B2ED7" w:rsidRDefault="002B2ED7" w:rsidP="002B2ED7">
            <w:pPr>
              <w:widowControl/>
              <w:autoSpaceDE/>
              <w:autoSpaceDN/>
              <w:jc w:val="center"/>
              <w:rPr>
                <w:rFonts w:eastAsia="Times New Roman"/>
                <w:b/>
                <w:bCs/>
                <w:color w:val="000000"/>
                <w:sz w:val="20"/>
                <w:szCs w:val="20"/>
                <w:lang w:eastAsia="pt-BR" w:bidi="ar-SA"/>
              </w:rPr>
            </w:pPr>
            <w:r w:rsidRPr="002B2ED7">
              <w:rPr>
                <w:rFonts w:eastAsia="Times New Roman"/>
                <w:b/>
                <w:bCs/>
                <w:color w:val="000000"/>
                <w:sz w:val="20"/>
                <w:szCs w:val="20"/>
                <w:lang w:eastAsia="pt-BR" w:bidi="ar-SA"/>
              </w:rPr>
              <w:t>Resultados obtidos</w:t>
            </w:r>
          </w:p>
        </w:tc>
        <w:tc>
          <w:tcPr>
            <w:tcW w:w="2013" w:type="dxa"/>
            <w:tcBorders>
              <w:top w:val="single" w:sz="8" w:space="0" w:color="auto"/>
              <w:left w:val="nil"/>
              <w:bottom w:val="single" w:sz="8" w:space="0" w:color="auto"/>
            </w:tcBorders>
            <w:shd w:val="clear" w:color="auto" w:fill="D9D9D9" w:themeFill="background1" w:themeFillShade="D9"/>
            <w:vAlign w:val="center"/>
            <w:hideMark/>
          </w:tcPr>
          <w:p w14:paraId="7C60E241" w14:textId="77777777" w:rsidR="002B2ED7" w:rsidRPr="002B2ED7" w:rsidRDefault="002B2ED7" w:rsidP="002B2ED7">
            <w:pPr>
              <w:widowControl/>
              <w:autoSpaceDE/>
              <w:autoSpaceDN/>
              <w:jc w:val="center"/>
              <w:rPr>
                <w:rFonts w:eastAsia="Times New Roman"/>
                <w:b/>
                <w:bCs/>
                <w:color w:val="000000"/>
                <w:sz w:val="20"/>
                <w:szCs w:val="20"/>
                <w:lang w:eastAsia="pt-BR" w:bidi="ar-SA"/>
              </w:rPr>
            </w:pPr>
            <w:r w:rsidRPr="002B2ED7">
              <w:rPr>
                <w:rFonts w:eastAsia="Times New Roman"/>
                <w:b/>
                <w:bCs/>
                <w:color w:val="000000"/>
                <w:sz w:val="20"/>
                <w:szCs w:val="20"/>
                <w:lang w:eastAsia="pt-BR" w:bidi="ar-SA"/>
              </w:rPr>
              <w:t>Observações</w:t>
            </w:r>
          </w:p>
        </w:tc>
      </w:tr>
      <w:tr w:rsidR="002B2ED7" w:rsidRPr="002B2ED7" w14:paraId="74EA181D" w14:textId="77777777" w:rsidTr="002B2ED7">
        <w:trPr>
          <w:trHeight w:val="510"/>
        </w:trPr>
        <w:tc>
          <w:tcPr>
            <w:tcW w:w="1612" w:type="dxa"/>
            <w:vMerge w:val="restart"/>
            <w:tcBorders>
              <w:top w:val="nil"/>
              <w:bottom w:val="single" w:sz="8" w:space="0" w:color="000000"/>
              <w:right w:val="single" w:sz="4" w:space="0" w:color="auto"/>
            </w:tcBorders>
            <w:shd w:val="clear" w:color="auto" w:fill="auto"/>
            <w:vAlign w:val="center"/>
            <w:hideMark/>
          </w:tcPr>
          <w:p w14:paraId="1F2BE177" w14:textId="77777777" w:rsidR="002B2ED7" w:rsidRPr="002B2ED7" w:rsidRDefault="002B2ED7" w:rsidP="002B2ED7">
            <w:pPr>
              <w:widowControl/>
              <w:autoSpaceDE/>
              <w:autoSpaceDN/>
              <w:jc w:val="center"/>
              <w:rPr>
                <w:rFonts w:eastAsia="Times New Roman"/>
                <w:sz w:val="20"/>
                <w:szCs w:val="20"/>
                <w:lang w:eastAsia="pt-BR" w:bidi="ar-SA"/>
              </w:rPr>
            </w:pPr>
            <w:r w:rsidRPr="002B2ED7">
              <w:rPr>
                <w:rFonts w:eastAsia="Times New Roman"/>
                <w:sz w:val="20"/>
                <w:szCs w:val="20"/>
                <w:lang w:eastAsia="pt-BR" w:bidi="ar-SA"/>
              </w:rPr>
              <w:t>Objetivo 1.1 - Contribuir para a ampliação da oferta de transporte ferroviário de carga e de passageiros, assim como a redução do custo logístico no Brasil</w:t>
            </w:r>
          </w:p>
        </w:tc>
        <w:tc>
          <w:tcPr>
            <w:tcW w:w="1594" w:type="dxa"/>
            <w:vMerge w:val="restart"/>
            <w:tcBorders>
              <w:top w:val="nil"/>
              <w:left w:val="single" w:sz="4" w:space="0" w:color="auto"/>
              <w:bottom w:val="single" w:sz="8" w:space="0" w:color="000000"/>
              <w:right w:val="single" w:sz="4" w:space="0" w:color="auto"/>
            </w:tcBorders>
            <w:shd w:val="clear" w:color="000000" w:fill="00B050"/>
            <w:vAlign w:val="center"/>
            <w:hideMark/>
          </w:tcPr>
          <w:p w14:paraId="71755D02" w14:textId="77777777" w:rsidR="002B2ED7" w:rsidRPr="002B2ED7" w:rsidRDefault="002B2ED7" w:rsidP="002B2ED7">
            <w:pPr>
              <w:widowControl/>
              <w:autoSpaceDE/>
              <w:autoSpaceDN/>
              <w:jc w:val="center"/>
              <w:rPr>
                <w:rFonts w:eastAsia="Times New Roman"/>
                <w:sz w:val="20"/>
                <w:szCs w:val="20"/>
                <w:lang w:eastAsia="pt-BR" w:bidi="ar-SA"/>
              </w:rPr>
            </w:pPr>
            <w:r w:rsidRPr="002B2ED7">
              <w:rPr>
                <w:rFonts w:eastAsia="Times New Roman"/>
                <w:sz w:val="20"/>
                <w:szCs w:val="20"/>
                <w:lang w:eastAsia="pt-BR" w:bidi="ar-SA"/>
              </w:rPr>
              <w:t>97,46%</w:t>
            </w:r>
          </w:p>
        </w:tc>
        <w:tc>
          <w:tcPr>
            <w:tcW w:w="3357" w:type="dxa"/>
            <w:tcBorders>
              <w:top w:val="nil"/>
              <w:left w:val="nil"/>
              <w:bottom w:val="single" w:sz="4" w:space="0" w:color="auto"/>
              <w:right w:val="single" w:sz="4" w:space="0" w:color="auto"/>
            </w:tcBorders>
            <w:shd w:val="clear" w:color="auto" w:fill="auto"/>
            <w:vAlign w:val="center"/>
            <w:hideMark/>
          </w:tcPr>
          <w:p w14:paraId="3E7DFA35" w14:textId="77777777" w:rsidR="002B2ED7" w:rsidRPr="002B2ED7" w:rsidRDefault="002B2ED7" w:rsidP="002B2ED7">
            <w:pPr>
              <w:widowControl/>
              <w:autoSpaceDE/>
              <w:autoSpaceDN/>
              <w:rPr>
                <w:rFonts w:eastAsia="Times New Roman"/>
                <w:color w:val="000000"/>
                <w:sz w:val="20"/>
                <w:szCs w:val="20"/>
                <w:lang w:eastAsia="pt-BR" w:bidi="ar-SA"/>
              </w:rPr>
            </w:pPr>
            <w:r w:rsidRPr="002B2ED7">
              <w:rPr>
                <w:rFonts w:eastAsia="Times New Roman"/>
                <w:color w:val="000000"/>
                <w:sz w:val="20"/>
                <w:szCs w:val="20"/>
                <w:lang w:eastAsia="pt-BR" w:bidi="ar-SA"/>
              </w:rPr>
              <w:t>1. Concluir 65% da FIOL II até dezembro de 2021</w:t>
            </w:r>
          </w:p>
        </w:tc>
        <w:tc>
          <w:tcPr>
            <w:tcW w:w="1053" w:type="dxa"/>
            <w:tcBorders>
              <w:top w:val="nil"/>
              <w:left w:val="nil"/>
              <w:bottom w:val="single" w:sz="4" w:space="0" w:color="auto"/>
              <w:right w:val="single" w:sz="4" w:space="0" w:color="auto"/>
            </w:tcBorders>
            <w:shd w:val="clear" w:color="000000" w:fill="00B050"/>
            <w:vAlign w:val="center"/>
            <w:hideMark/>
          </w:tcPr>
          <w:p w14:paraId="01F48D10"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t>84,77%</w:t>
            </w:r>
          </w:p>
        </w:tc>
        <w:tc>
          <w:tcPr>
            <w:tcW w:w="2013" w:type="dxa"/>
            <w:tcBorders>
              <w:top w:val="nil"/>
              <w:left w:val="nil"/>
              <w:bottom w:val="single" w:sz="4" w:space="0" w:color="auto"/>
            </w:tcBorders>
            <w:shd w:val="clear" w:color="auto" w:fill="auto"/>
            <w:vAlign w:val="center"/>
            <w:hideMark/>
          </w:tcPr>
          <w:p w14:paraId="1DD44F12" w14:textId="77777777" w:rsidR="002B2ED7" w:rsidRPr="002B2ED7" w:rsidRDefault="002B2ED7" w:rsidP="002B2ED7">
            <w:pPr>
              <w:widowControl/>
              <w:autoSpaceDE/>
              <w:autoSpaceDN/>
              <w:rPr>
                <w:rFonts w:eastAsia="Times New Roman"/>
                <w:color w:val="000000"/>
                <w:sz w:val="18"/>
                <w:szCs w:val="18"/>
                <w:lang w:eastAsia="pt-BR" w:bidi="ar-SA"/>
              </w:rPr>
            </w:pPr>
            <w:r w:rsidRPr="002B2ED7">
              <w:rPr>
                <w:rFonts w:eastAsia="Times New Roman"/>
                <w:color w:val="000000"/>
                <w:sz w:val="18"/>
                <w:szCs w:val="18"/>
                <w:lang w:eastAsia="pt-BR" w:bidi="ar-SA"/>
              </w:rPr>
              <w:t> </w:t>
            </w:r>
          </w:p>
        </w:tc>
      </w:tr>
      <w:tr w:rsidR="002B2ED7" w:rsidRPr="002B2ED7" w14:paraId="0E60CB6F" w14:textId="77777777" w:rsidTr="002B2ED7">
        <w:trPr>
          <w:trHeight w:val="1785"/>
        </w:trPr>
        <w:tc>
          <w:tcPr>
            <w:tcW w:w="1612" w:type="dxa"/>
            <w:vMerge/>
            <w:tcBorders>
              <w:top w:val="nil"/>
              <w:bottom w:val="single" w:sz="8" w:space="0" w:color="000000"/>
              <w:right w:val="single" w:sz="4" w:space="0" w:color="auto"/>
            </w:tcBorders>
            <w:vAlign w:val="center"/>
            <w:hideMark/>
          </w:tcPr>
          <w:p w14:paraId="53AC18AE" w14:textId="77777777" w:rsidR="002B2ED7" w:rsidRPr="002B2ED7" w:rsidRDefault="002B2ED7" w:rsidP="002B2ED7">
            <w:pPr>
              <w:widowControl/>
              <w:autoSpaceDE/>
              <w:autoSpaceDN/>
              <w:rPr>
                <w:rFonts w:eastAsia="Times New Roman"/>
                <w:sz w:val="20"/>
                <w:szCs w:val="20"/>
                <w:lang w:eastAsia="pt-BR" w:bidi="ar-SA"/>
              </w:rPr>
            </w:pPr>
          </w:p>
        </w:tc>
        <w:tc>
          <w:tcPr>
            <w:tcW w:w="1594" w:type="dxa"/>
            <w:vMerge/>
            <w:tcBorders>
              <w:top w:val="nil"/>
              <w:left w:val="single" w:sz="4" w:space="0" w:color="auto"/>
              <w:bottom w:val="single" w:sz="8" w:space="0" w:color="000000"/>
              <w:right w:val="single" w:sz="4" w:space="0" w:color="auto"/>
            </w:tcBorders>
            <w:vAlign w:val="center"/>
            <w:hideMark/>
          </w:tcPr>
          <w:p w14:paraId="0C3BA6B4" w14:textId="77777777" w:rsidR="002B2ED7" w:rsidRPr="002B2ED7" w:rsidRDefault="002B2ED7" w:rsidP="002B2ED7">
            <w:pPr>
              <w:widowControl/>
              <w:autoSpaceDE/>
              <w:autoSpaceDN/>
              <w:rPr>
                <w:rFonts w:eastAsia="Times New Roman"/>
                <w:sz w:val="20"/>
                <w:szCs w:val="20"/>
                <w:lang w:eastAsia="pt-BR" w:bidi="ar-SA"/>
              </w:rPr>
            </w:pPr>
          </w:p>
        </w:tc>
        <w:tc>
          <w:tcPr>
            <w:tcW w:w="3357" w:type="dxa"/>
            <w:tcBorders>
              <w:top w:val="nil"/>
              <w:left w:val="nil"/>
              <w:bottom w:val="single" w:sz="4" w:space="0" w:color="auto"/>
              <w:right w:val="single" w:sz="4" w:space="0" w:color="auto"/>
            </w:tcBorders>
            <w:shd w:val="clear" w:color="auto" w:fill="auto"/>
            <w:vAlign w:val="center"/>
            <w:hideMark/>
          </w:tcPr>
          <w:p w14:paraId="6776F28C" w14:textId="77777777" w:rsidR="002B2ED7" w:rsidRPr="002B2ED7" w:rsidRDefault="002B2ED7" w:rsidP="002B2ED7">
            <w:pPr>
              <w:widowControl/>
              <w:autoSpaceDE/>
              <w:autoSpaceDN/>
              <w:rPr>
                <w:rFonts w:eastAsia="Times New Roman"/>
                <w:color w:val="000000"/>
                <w:sz w:val="20"/>
                <w:szCs w:val="20"/>
                <w:lang w:eastAsia="pt-BR" w:bidi="ar-SA"/>
              </w:rPr>
            </w:pPr>
            <w:r w:rsidRPr="002B2ED7">
              <w:rPr>
                <w:rFonts w:eastAsia="Times New Roman"/>
                <w:color w:val="000000"/>
                <w:sz w:val="20"/>
                <w:szCs w:val="20"/>
                <w:lang w:eastAsia="pt-BR" w:bidi="ar-SA"/>
              </w:rPr>
              <w:t>2.3 Viabilizar 100% das ações de governança e de desapropriação para o início da execução da FICO</w:t>
            </w:r>
            <w:r w:rsidRPr="002B2ED7">
              <w:rPr>
                <w:rFonts w:eastAsia="Times New Roman"/>
                <w:color w:val="000000"/>
                <w:sz w:val="20"/>
                <w:szCs w:val="20"/>
                <w:lang w:eastAsia="pt-BR" w:bidi="ar-SA"/>
              </w:rPr>
              <w:br/>
            </w:r>
            <w:r w:rsidRPr="002B2ED7">
              <w:rPr>
                <w:rFonts w:eastAsia="Times New Roman"/>
                <w:b/>
                <w:bCs/>
                <w:color w:val="000000"/>
                <w:sz w:val="20"/>
                <w:szCs w:val="20"/>
                <w:lang w:eastAsia="pt-BR" w:bidi="ar-SA"/>
              </w:rPr>
              <w:t xml:space="preserve">Meta 1: </w:t>
            </w:r>
            <w:r w:rsidRPr="002B2ED7">
              <w:rPr>
                <w:rFonts w:eastAsia="Times New Roman"/>
                <w:color w:val="000000"/>
                <w:sz w:val="20"/>
                <w:szCs w:val="20"/>
                <w:lang w:eastAsia="pt-BR" w:bidi="ar-SA"/>
              </w:rPr>
              <w:t>Viabilizar 100% das ações de governança</w:t>
            </w:r>
            <w:r w:rsidRPr="002B2ED7">
              <w:rPr>
                <w:rFonts w:eastAsia="Times New Roman"/>
                <w:color w:val="000000"/>
                <w:sz w:val="20"/>
                <w:szCs w:val="20"/>
                <w:lang w:eastAsia="pt-BR" w:bidi="ar-SA"/>
              </w:rPr>
              <w:br/>
            </w:r>
            <w:r w:rsidRPr="002B2ED7">
              <w:rPr>
                <w:rFonts w:eastAsia="Times New Roman"/>
                <w:b/>
                <w:bCs/>
                <w:color w:val="000000"/>
                <w:sz w:val="20"/>
                <w:szCs w:val="20"/>
                <w:lang w:eastAsia="pt-BR" w:bidi="ar-SA"/>
              </w:rPr>
              <w:t xml:space="preserve"> Meta 2:</w:t>
            </w:r>
            <w:r w:rsidRPr="002B2ED7">
              <w:rPr>
                <w:rFonts w:eastAsia="Times New Roman"/>
                <w:color w:val="000000"/>
                <w:sz w:val="20"/>
                <w:szCs w:val="20"/>
                <w:lang w:eastAsia="pt-BR" w:bidi="ar-SA"/>
              </w:rPr>
              <w:t xml:space="preserve"> Aprovar 100% dos laudos de desapropriação dos primeiros 30Km1</w:t>
            </w:r>
          </w:p>
        </w:tc>
        <w:tc>
          <w:tcPr>
            <w:tcW w:w="1053" w:type="dxa"/>
            <w:tcBorders>
              <w:top w:val="nil"/>
              <w:left w:val="nil"/>
              <w:bottom w:val="single" w:sz="4" w:space="0" w:color="auto"/>
              <w:right w:val="single" w:sz="4" w:space="0" w:color="auto"/>
            </w:tcBorders>
            <w:shd w:val="clear" w:color="000000" w:fill="00B050"/>
            <w:vAlign w:val="center"/>
            <w:hideMark/>
          </w:tcPr>
          <w:p w14:paraId="5943D6AD"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t>100,00%</w:t>
            </w:r>
          </w:p>
        </w:tc>
        <w:tc>
          <w:tcPr>
            <w:tcW w:w="2013" w:type="dxa"/>
            <w:tcBorders>
              <w:top w:val="nil"/>
              <w:left w:val="nil"/>
              <w:bottom w:val="single" w:sz="4" w:space="0" w:color="auto"/>
            </w:tcBorders>
            <w:shd w:val="clear" w:color="auto" w:fill="auto"/>
            <w:vAlign w:val="center"/>
            <w:hideMark/>
          </w:tcPr>
          <w:p w14:paraId="1A8F8151" w14:textId="77777777" w:rsidR="002B2ED7" w:rsidRPr="002B2ED7" w:rsidRDefault="002B2ED7" w:rsidP="002B2ED7">
            <w:pPr>
              <w:widowControl/>
              <w:autoSpaceDE/>
              <w:autoSpaceDN/>
              <w:rPr>
                <w:rFonts w:eastAsia="Times New Roman"/>
                <w:color w:val="000000"/>
                <w:sz w:val="18"/>
                <w:szCs w:val="18"/>
                <w:lang w:eastAsia="pt-BR" w:bidi="ar-SA"/>
              </w:rPr>
            </w:pPr>
            <w:r w:rsidRPr="002B2ED7">
              <w:rPr>
                <w:rFonts w:eastAsia="Times New Roman"/>
                <w:color w:val="000000"/>
                <w:sz w:val="18"/>
                <w:szCs w:val="18"/>
                <w:lang w:eastAsia="pt-BR" w:bidi="ar-SA"/>
              </w:rPr>
              <w:t> </w:t>
            </w:r>
          </w:p>
        </w:tc>
      </w:tr>
      <w:tr w:rsidR="002B2ED7" w:rsidRPr="002B2ED7" w14:paraId="2B5972AD" w14:textId="77777777" w:rsidTr="002B2ED7">
        <w:trPr>
          <w:trHeight w:val="765"/>
        </w:trPr>
        <w:tc>
          <w:tcPr>
            <w:tcW w:w="1612" w:type="dxa"/>
            <w:vMerge/>
            <w:tcBorders>
              <w:top w:val="nil"/>
              <w:bottom w:val="single" w:sz="8" w:space="0" w:color="000000"/>
              <w:right w:val="single" w:sz="4" w:space="0" w:color="auto"/>
            </w:tcBorders>
            <w:vAlign w:val="center"/>
            <w:hideMark/>
          </w:tcPr>
          <w:p w14:paraId="32690DFC" w14:textId="77777777" w:rsidR="002B2ED7" w:rsidRPr="002B2ED7" w:rsidRDefault="002B2ED7" w:rsidP="002B2ED7">
            <w:pPr>
              <w:widowControl/>
              <w:autoSpaceDE/>
              <w:autoSpaceDN/>
              <w:rPr>
                <w:rFonts w:eastAsia="Times New Roman"/>
                <w:sz w:val="20"/>
                <w:szCs w:val="20"/>
                <w:lang w:eastAsia="pt-BR" w:bidi="ar-SA"/>
              </w:rPr>
            </w:pPr>
          </w:p>
        </w:tc>
        <w:tc>
          <w:tcPr>
            <w:tcW w:w="1594" w:type="dxa"/>
            <w:vMerge/>
            <w:tcBorders>
              <w:top w:val="nil"/>
              <w:left w:val="single" w:sz="4" w:space="0" w:color="auto"/>
              <w:bottom w:val="single" w:sz="8" w:space="0" w:color="000000"/>
              <w:right w:val="single" w:sz="4" w:space="0" w:color="auto"/>
            </w:tcBorders>
            <w:vAlign w:val="center"/>
            <w:hideMark/>
          </w:tcPr>
          <w:p w14:paraId="034A39EB" w14:textId="77777777" w:rsidR="002B2ED7" w:rsidRPr="002B2ED7" w:rsidRDefault="002B2ED7" w:rsidP="002B2ED7">
            <w:pPr>
              <w:widowControl/>
              <w:autoSpaceDE/>
              <w:autoSpaceDN/>
              <w:rPr>
                <w:rFonts w:eastAsia="Times New Roman"/>
                <w:sz w:val="20"/>
                <w:szCs w:val="20"/>
                <w:lang w:eastAsia="pt-BR" w:bidi="ar-SA"/>
              </w:rPr>
            </w:pPr>
          </w:p>
        </w:tc>
        <w:tc>
          <w:tcPr>
            <w:tcW w:w="3357" w:type="dxa"/>
            <w:tcBorders>
              <w:top w:val="nil"/>
              <w:left w:val="nil"/>
              <w:bottom w:val="single" w:sz="4" w:space="0" w:color="auto"/>
              <w:right w:val="single" w:sz="4" w:space="0" w:color="auto"/>
            </w:tcBorders>
            <w:shd w:val="clear" w:color="auto" w:fill="auto"/>
            <w:vAlign w:val="center"/>
            <w:hideMark/>
          </w:tcPr>
          <w:p w14:paraId="519C96C8" w14:textId="77777777" w:rsidR="002B2ED7" w:rsidRPr="002B2ED7" w:rsidRDefault="002B2ED7" w:rsidP="002B2ED7">
            <w:pPr>
              <w:widowControl/>
              <w:autoSpaceDE/>
              <w:autoSpaceDN/>
              <w:rPr>
                <w:rFonts w:eastAsia="Times New Roman"/>
                <w:color w:val="000000"/>
                <w:sz w:val="20"/>
                <w:szCs w:val="20"/>
                <w:lang w:eastAsia="pt-BR" w:bidi="ar-SA"/>
              </w:rPr>
            </w:pPr>
            <w:r w:rsidRPr="002B2ED7">
              <w:rPr>
                <w:rFonts w:eastAsia="Times New Roman"/>
                <w:color w:val="000000"/>
                <w:sz w:val="20"/>
                <w:szCs w:val="20"/>
                <w:lang w:eastAsia="pt-BR" w:bidi="ar-SA"/>
              </w:rPr>
              <w:t>3. Ter 01 cenário viável para continuidade do empreendimento Nova Transnordestina até dezembro de 2021</w:t>
            </w:r>
          </w:p>
        </w:tc>
        <w:tc>
          <w:tcPr>
            <w:tcW w:w="1053" w:type="dxa"/>
            <w:tcBorders>
              <w:top w:val="nil"/>
              <w:left w:val="nil"/>
              <w:bottom w:val="single" w:sz="4" w:space="0" w:color="auto"/>
              <w:right w:val="single" w:sz="4" w:space="0" w:color="auto"/>
            </w:tcBorders>
            <w:shd w:val="clear" w:color="000000" w:fill="00B050"/>
            <w:vAlign w:val="center"/>
            <w:hideMark/>
          </w:tcPr>
          <w:p w14:paraId="7F514927"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t>100,00%</w:t>
            </w:r>
          </w:p>
        </w:tc>
        <w:tc>
          <w:tcPr>
            <w:tcW w:w="2013" w:type="dxa"/>
            <w:tcBorders>
              <w:top w:val="nil"/>
              <w:left w:val="nil"/>
              <w:bottom w:val="single" w:sz="4" w:space="0" w:color="auto"/>
            </w:tcBorders>
            <w:shd w:val="clear" w:color="auto" w:fill="auto"/>
            <w:vAlign w:val="center"/>
            <w:hideMark/>
          </w:tcPr>
          <w:p w14:paraId="6C704D7C" w14:textId="77777777" w:rsidR="002B2ED7" w:rsidRPr="002B2ED7" w:rsidRDefault="002B2ED7" w:rsidP="002B2ED7">
            <w:pPr>
              <w:widowControl/>
              <w:autoSpaceDE/>
              <w:autoSpaceDN/>
              <w:rPr>
                <w:rFonts w:eastAsia="Times New Roman"/>
                <w:color w:val="000000"/>
                <w:sz w:val="18"/>
                <w:szCs w:val="18"/>
                <w:lang w:eastAsia="pt-BR" w:bidi="ar-SA"/>
              </w:rPr>
            </w:pPr>
            <w:r w:rsidRPr="002B2ED7">
              <w:rPr>
                <w:rFonts w:eastAsia="Times New Roman"/>
                <w:color w:val="000000"/>
                <w:sz w:val="18"/>
                <w:szCs w:val="18"/>
                <w:lang w:eastAsia="pt-BR" w:bidi="ar-SA"/>
              </w:rPr>
              <w:t> </w:t>
            </w:r>
          </w:p>
        </w:tc>
      </w:tr>
      <w:tr w:rsidR="002B2ED7" w:rsidRPr="002B2ED7" w14:paraId="6CF7F6A2" w14:textId="77777777" w:rsidTr="002B2ED7">
        <w:trPr>
          <w:trHeight w:val="1020"/>
        </w:trPr>
        <w:tc>
          <w:tcPr>
            <w:tcW w:w="1612" w:type="dxa"/>
            <w:vMerge/>
            <w:tcBorders>
              <w:top w:val="nil"/>
              <w:bottom w:val="single" w:sz="8" w:space="0" w:color="000000"/>
              <w:right w:val="single" w:sz="4" w:space="0" w:color="auto"/>
            </w:tcBorders>
            <w:vAlign w:val="center"/>
            <w:hideMark/>
          </w:tcPr>
          <w:p w14:paraId="21912E97" w14:textId="77777777" w:rsidR="002B2ED7" w:rsidRPr="002B2ED7" w:rsidRDefault="002B2ED7" w:rsidP="002B2ED7">
            <w:pPr>
              <w:widowControl/>
              <w:autoSpaceDE/>
              <w:autoSpaceDN/>
              <w:rPr>
                <w:rFonts w:eastAsia="Times New Roman"/>
                <w:sz w:val="20"/>
                <w:szCs w:val="20"/>
                <w:lang w:eastAsia="pt-BR" w:bidi="ar-SA"/>
              </w:rPr>
            </w:pPr>
          </w:p>
        </w:tc>
        <w:tc>
          <w:tcPr>
            <w:tcW w:w="1594" w:type="dxa"/>
            <w:vMerge/>
            <w:tcBorders>
              <w:top w:val="nil"/>
              <w:left w:val="single" w:sz="4" w:space="0" w:color="auto"/>
              <w:bottom w:val="single" w:sz="8" w:space="0" w:color="000000"/>
              <w:right w:val="single" w:sz="4" w:space="0" w:color="auto"/>
            </w:tcBorders>
            <w:vAlign w:val="center"/>
            <w:hideMark/>
          </w:tcPr>
          <w:p w14:paraId="59B5253B" w14:textId="77777777" w:rsidR="002B2ED7" w:rsidRPr="002B2ED7" w:rsidRDefault="002B2ED7" w:rsidP="002B2ED7">
            <w:pPr>
              <w:widowControl/>
              <w:autoSpaceDE/>
              <w:autoSpaceDN/>
              <w:rPr>
                <w:rFonts w:eastAsia="Times New Roman"/>
                <w:sz w:val="20"/>
                <w:szCs w:val="20"/>
                <w:lang w:eastAsia="pt-BR" w:bidi="ar-SA"/>
              </w:rPr>
            </w:pPr>
          </w:p>
        </w:tc>
        <w:tc>
          <w:tcPr>
            <w:tcW w:w="3357" w:type="dxa"/>
            <w:tcBorders>
              <w:top w:val="nil"/>
              <w:left w:val="nil"/>
              <w:bottom w:val="single" w:sz="4" w:space="0" w:color="auto"/>
              <w:right w:val="single" w:sz="4" w:space="0" w:color="auto"/>
            </w:tcBorders>
            <w:shd w:val="clear" w:color="auto" w:fill="auto"/>
            <w:vAlign w:val="center"/>
            <w:hideMark/>
          </w:tcPr>
          <w:p w14:paraId="15622220" w14:textId="77777777" w:rsidR="002B2ED7" w:rsidRPr="002B2ED7" w:rsidRDefault="002B2ED7" w:rsidP="002B2ED7">
            <w:pPr>
              <w:widowControl/>
              <w:autoSpaceDE/>
              <w:autoSpaceDN/>
              <w:rPr>
                <w:rFonts w:eastAsia="Times New Roman"/>
                <w:color w:val="000000"/>
                <w:sz w:val="20"/>
                <w:szCs w:val="20"/>
                <w:lang w:eastAsia="pt-BR" w:bidi="ar-SA"/>
              </w:rPr>
            </w:pPr>
            <w:r w:rsidRPr="002B2ED7">
              <w:rPr>
                <w:rFonts w:eastAsia="Times New Roman"/>
                <w:color w:val="000000"/>
                <w:sz w:val="20"/>
                <w:szCs w:val="20"/>
                <w:lang w:eastAsia="pt-BR" w:bidi="ar-SA"/>
              </w:rPr>
              <w:t>4. Ter 100% dos procedimentos de governança implementados nas participações societárias da Valec até dezembro de 2021</w:t>
            </w:r>
          </w:p>
        </w:tc>
        <w:tc>
          <w:tcPr>
            <w:tcW w:w="1053" w:type="dxa"/>
            <w:tcBorders>
              <w:top w:val="nil"/>
              <w:left w:val="nil"/>
              <w:bottom w:val="single" w:sz="4" w:space="0" w:color="auto"/>
              <w:right w:val="single" w:sz="4" w:space="0" w:color="auto"/>
            </w:tcBorders>
            <w:shd w:val="clear" w:color="000000" w:fill="00B050"/>
            <w:vAlign w:val="center"/>
            <w:hideMark/>
          </w:tcPr>
          <w:p w14:paraId="70C3E95C"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t>100,00%</w:t>
            </w:r>
          </w:p>
        </w:tc>
        <w:tc>
          <w:tcPr>
            <w:tcW w:w="2013" w:type="dxa"/>
            <w:tcBorders>
              <w:top w:val="nil"/>
              <w:left w:val="nil"/>
              <w:bottom w:val="single" w:sz="4" w:space="0" w:color="auto"/>
            </w:tcBorders>
            <w:shd w:val="clear" w:color="auto" w:fill="auto"/>
            <w:vAlign w:val="center"/>
            <w:hideMark/>
          </w:tcPr>
          <w:p w14:paraId="26DC500E" w14:textId="77777777" w:rsidR="002B2ED7" w:rsidRPr="002B2ED7" w:rsidRDefault="002B2ED7" w:rsidP="002B2ED7">
            <w:pPr>
              <w:widowControl/>
              <w:autoSpaceDE/>
              <w:autoSpaceDN/>
              <w:rPr>
                <w:rFonts w:eastAsia="Times New Roman"/>
                <w:color w:val="000000"/>
                <w:sz w:val="18"/>
                <w:szCs w:val="18"/>
                <w:lang w:eastAsia="pt-BR" w:bidi="ar-SA"/>
              </w:rPr>
            </w:pPr>
            <w:r w:rsidRPr="002B2ED7">
              <w:rPr>
                <w:rFonts w:eastAsia="Times New Roman"/>
                <w:color w:val="000000"/>
                <w:sz w:val="18"/>
                <w:szCs w:val="18"/>
                <w:lang w:eastAsia="pt-BR" w:bidi="ar-SA"/>
              </w:rPr>
              <w:t> </w:t>
            </w:r>
          </w:p>
        </w:tc>
      </w:tr>
      <w:tr w:rsidR="002B2ED7" w:rsidRPr="002B2ED7" w14:paraId="6ACFC6FF" w14:textId="77777777" w:rsidTr="002B2ED7">
        <w:trPr>
          <w:trHeight w:val="510"/>
        </w:trPr>
        <w:tc>
          <w:tcPr>
            <w:tcW w:w="1612" w:type="dxa"/>
            <w:vMerge/>
            <w:tcBorders>
              <w:top w:val="nil"/>
              <w:bottom w:val="single" w:sz="8" w:space="0" w:color="000000"/>
              <w:right w:val="single" w:sz="4" w:space="0" w:color="auto"/>
            </w:tcBorders>
            <w:vAlign w:val="center"/>
            <w:hideMark/>
          </w:tcPr>
          <w:p w14:paraId="7FBDA4FA" w14:textId="77777777" w:rsidR="002B2ED7" w:rsidRPr="002B2ED7" w:rsidRDefault="002B2ED7" w:rsidP="002B2ED7">
            <w:pPr>
              <w:widowControl/>
              <w:autoSpaceDE/>
              <w:autoSpaceDN/>
              <w:rPr>
                <w:rFonts w:eastAsia="Times New Roman"/>
                <w:sz w:val="20"/>
                <w:szCs w:val="20"/>
                <w:lang w:eastAsia="pt-BR" w:bidi="ar-SA"/>
              </w:rPr>
            </w:pPr>
          </w:p>
        </w:tc>
        <w:tc>
          <w:tcPr>
            <w:tcW w:w="1594" w:type="dxa"/>
            <w:vMerge/>
            <w:tcBorders>
              <w:top w:val="nil"/>
              <w:left w:val="single" w:sz="4" w:space="0" w:color="auto"/>
              <w:bottom w:val="single" w:sz="8" w:space="0" w:color="000000"/>
              <w:right w:val="single" w:sz="4" w:space="0" w:color="auto"/>
            </w:tcBorders>
            <w:vAlign w:val="center"/>
            <w:hideMark/>
          </w:tcPr>
          <w:p w14:paraId="296EFC0A" w14:textId="77777777" w:rsidR="002B2ED7" w:rsidRPr="002B2ED7" w:rsidRDefault="002B2ED7" w:rsidP="002B2ED7">
            <w:pPr>
              <w:widowControl/>
              <w:autoSpaceDE/>
              <w:autoSpaceDN/>
              <w:rPr>
                <w:rFonts w:eastAsia="Times New Roman"/>
                <w:sz w:val="20"/>
                <w:szCs w:val="20"/>
                <w:lang w:eastAsia="pt-BR" w:bidi="ar-SA"/>
              </w:rPr>
            </w:pPr>
          </w:p>
        </w:tc>
        <w:tc>
          <w:tcPr>
            <w:tcW w:w="3357" w:type="dxa"/>
            <w:tcBorders>
              <w:top w:val="nil"/>
              <w:left w:val="nil"/>
              <w:bottom w:val="single" w:sz="4" w:space="0" w:color="auto"/>
              <w:right w:val="single" w:sz="4" w:space="0" w:color="auto"/>
            </w:tcBorders>
            <w:shd w:val="clear" w:color="auto" w:fill="auto"/>
            <w:vAlign w:val="center"/>
            <w:hideMark/>
          </w:tcPr>
          <w:p w14:paraId="21C7D0CB" w14:textId="77777777" w:rsidR="002B2ED7" w:rsidRPr="002B2ED7" w:rsidRDefault="002B2ED7" w:rsidP="002B2ED7">
            <w:pPr>
              <w:widowControl/>
              <w:autoSpaceDE/>
              <w:autoSpaceDN/>
              <w:rPr>
                <w:rFonts w:eastAsia="Times New Roman"/>
                <w:color w:val="000000"/>
                <w:sz w:val="20"/>
                <w:szCs w:val="20"/>
                <w:lang w:eastAsia="pt-BR" w:bidi="ar-SA"/>
              </w:rPr>
            </w:pPr>
            <w:r w:rsidRPr="002B2ED7">
              <w:rPr>
                <w:rFonts w:eastAsia="Times New Roman"/>
                <w:color w:val="000000"/>
                <w:sz w:val="20"/>
                <w:szCs w:val="20"/>
                <w:lang w:eastAsia="pt-BR" w:bidi="ar-SA"/>
              </w:rPr>
              <w:t xml:space="preserve">5. Apresentar 01 proposta de fomento para transporte de passageiros até dez 2021 </w:t>
            </w:r>
          </w:p>
        </w:tc>
        <w:tc>
          <w:tcPr>
            <w:tcW w:w="1053" w:type="dxa"/>
            <w:tcBorders>
              <w:top w:val="nil"/>
              <w:left w:val="nil"/>
              <w:bottom w:val="single" w:sz="4" w:space="0" w:color="auto"/>
              <w:right w:val="single" w:sz="4" w:space="0" w:color="auto"/>
            </w:tcBorders>
            <w:shd w:val="clear" w:color="000000" w:fill="C5ADCB"/>
            <w:vAlign w:val="center"/>
            <w:hideMark/>
          </w:tcPr>
          <w:p w14:paraId="09A1C854"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t>0,00%</w:t>
            </w:r>
          </w:p>
        </w:tc>
        <w:tc>
          <w:tcPr>
            <w:tcW w:w="2013" w:type="dxa"/>
            <w:tcBorders>
              <w:top w:val="nil"/>
              <w:left w:val="nil"/>
              <w:bottom w:val="single" w:sz="4" w:space="0" w:color="auto"/>
            </w:tcBorders>
            <w:shd w:val="clear" w:color="auto" w:fill="auto"/>
            <w:vAlign w:val="center"/>
            <w:hideMark/>
          </w:tcPr>
          <w:p w14:paraId="1E8EE40F" w14:textId="77777777" w:rsidR="002B2ED7" w:rsidRPr="002B2ED7" w:rsidRDefault="002B2ED7" w:rsidP="002B2ED7">
            <w:pPr>
              <w:widowControl/>
              <w:autoSpaceDE/>
              <w:autoSpaceDN/>
              <w:rPr>
                <w:rFonts w:eastAsia="Times New Roman"/>
                <w:color w:val="000000"/>
                <w:sz w:val="18"/>
                <w:szCs w:val="18"/>
                <w:lang w:eastAsia="pt-BR" w:bidi="ar-SA"/>
              </w:rPr>
            </w:pPr>
            <w:r w:rsidRPr="002B2ED7">
              <w:rPr>
                <w:rFonts w:eastAsia="Times New Roman"/>
                <w:color w:val="000000"/>
                <w:sz w:val="18"/>
                <w:szCs w:val="18"/>
                <w:lang w:eastAsia="pt-BR" w:bidi="ar-SA"/>
              </w:rPr>
              <w:t>A meta 1.1.5 foi paralisada por redefinição de mérito, sendo substituída pela meta 1.1.7.</w:t>
            </w:r>
          </w:p>
        </w:tc>
      </w:tr>
      <w:tr w:rsidR="002B2ED7" w:rsidRPr="002B2ED7" w14:paraId="22949CEA" w14:textId="77777777" w:rsidTr="002B2ED7">
        <w:trPr>
          <w:trHeight w:val="1440"/>
        </w:trPr>
        <w:tc>
          <w:tcPr>
            <w:tcW w:w="1612" w:type="dxa"/>
            <w:vMerge/>
            <w:tcBorders>
              <w:top w:val="nil"/>
              <w:bottom w:val="single" w:sz="8" w:space="0" w:color="000000"/>
              <w:right w:val="single" w:sz="4" w:space="0" w:color="auto"/>
            </w:tcBorders>
            <w:vAlign w:val="center"/>
            <w:hideMark/>
          </w:tcPr>
          <w:p w14:paraId="401223A4" w14:textId="77777777" w:rsidR="002B2ED7" w:rsidRPr="002B2ED7" w:rsidRDefault="002B2ED7" w:rsidP="002B2ED7">
            <w:pPr>
              <w:widowControl/>
              <w:autoSpaceDE/>
              <w:autoSpaceDN/>
              <w:rPr>
                <w:rFonts w:eastAsia="Times New Roman"/>
                <w:sz w:val="20"/>
                <w:szCs w:val="20"/>
                <w:lang w:eastAsia="pt-BR" w:bidi="ar-SA"/>
              </w:rPr>
            </w:pPr>
          </w:p>
        </w:tc>
        <w:tc>
          <w:tcPr>
            <w:tcW w:w="1594" w:type="dxa"/>
            <w:vMerge/>
            <w:tcBorders>
              <w:top w:val="nil"/>
              <w:left w:val="single" w:sz="4" w:space="0" w:color="auto"/>
              <w:bottom w:val="single" w:sz="8" w:space="0" w:color="000000"/>
              <w:right w:val="single" w:sz="4" w:space="0" w:color="auto"/>
            </w:tcBorders>
            <w:vAlign w:val="center"/>
            <w:hideMark/>
          </w:tcPr>
          <w:p w14:paraId="12EE1FED" w14:textId="77777777" w:rsidR="002B2ED7" w:rsidRPr="002B2ED7" w:rsidRDefault="002B2ED7" w:rsidP="002B2ED7">
            <w:pPr>
              <w:widowControl/>
              <w:autoSpaceDE/>
              <w:autoSpaceDN/>
              <w:rPr>
                <w:rFonts w:eastAsia="Times New Roman"/>
                <w:sz w:val="20"/>
                <w:szCs w:val="20"/>
                <w:lang w:eastAsia="pt-BR" w:bidi="ar-SA"/>
              </w:rPr>
            </w:pPr>
          </w:p>
        </w:tc>
        <w:tc>
          <w:tcPr>
            <w:tcW w:w="3357" w:type="dxa"/>
            <w:tcBorders>
              <w:top w:val="nil"/>
              <w:left w:val="nil"/>
              <w:bottom w:val="single" w:sz="4" w:space="0" w:color="auto"/>
              <w:right w:val="single" w:sz="4" w:space="0" w:color="auto"/>
            </w:tcBorders>
            <w:shd w:val="clear" w:color="auto" w:fill="auto"/>
            <w:vAlign w:val="center"/>
            <w:hideMark/>
          </w:tcPr>
          <w:p w14:paraId="544B764D" w14:textId="77777777" w:rsidR="002B2ED7" w:rsidRPr="002B2ED7" w:rsidRDefault="002B2ED7" w:rsidP="002B2ED7">
            <w:pPr>
              <w:widowControl/>
              <w:autoSpaceDE/>
              <w:autoSpaceDN/>
              <w:rPr>
                <w:rFonts w:eastAsia="Times New Roman"/>
                <w:color w:val="000000"/>
                <w:sz w:val="20"/>
                <w:szCs w:val="20"/>
                <w:lang w:eastAsia="pt-BR" w:bidi="ar-SA"/>
              </w:rPr>
            </w:pPr>
            <w:r w:rsidRPr="002B2ED7">
              <w:rPr>
                <w:rFonts w:eastAsia="Times New Roman"/>
                <w:color w:val="000000"/>
                <w:sz w:val="20"/>
                <w:szCs w:val="20"/>
                <w:lang w:eastAsia="pt-BR" w:bidi="ar-SA"/>
              </w:rPr>
              <w:t xml:space="preserve">6. Publicar Edital de Licitação / Iniciar a execução do contrato / 100% de km mantidos </w:t>
            </w:r>
          </w:p>
        </w:tc>
        <w:tc>
          <w:tcPr>
            <w:tcW w:w="1053" w:type="dxa"/>
            <w:tcBorders>
              <w:top w:val="nil"/>
              <w:left w:val="nil"/>
              <w:bottom w:val="single" w:sz="4" w:space="0" w:color="auto"/>
              <w:right w:val="single" w:sz="4" w:space="0" w:color="auto"/>
            </w:tcBorders>
            <w:shd w:val="clear" w:color="000000" w:fill="C5ADCB"/>
            <w:vAlign w:val="center"/>
            <w:hideMark/>
          </w:tcPr>
          <w:p w14:paraId="6E065271"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t>100,00%</w:t>
            </w:r>
          </w:p>
        </w:tc>
        <w:tc>
          <w:tcPr>
            <w:tcW w:w="2013" w:type="dxa"/>
            <w:tcBorders>
              <w:top w:val="nil"/>
              <w:left w:val="nil"/>
              <w:bottom w:val="single" w:sz="4" w:space="0" w:color="auto"/>
            </w:tcBorders>
            <w:shd w:val="clear" w:color="auto" w:fill="auto"/>
            <w:vAlign w:val="center"/>
            <w:hideMark/>
          </w:tcPr>
          <w:p w14:paraId="0395BD87" w14:textId="77777777" w:rsidR="002B2ED7" w:rsidRPr="002B2ED7" w:rsidRDefault="002B2ED7" w:rsidP="002B2ED7">
            <w:pPr>
              <w:widowControl/>
              <w:autoSpaceDE/>
              <w:autoSpaceDN/>
              <w:rPr>
                <w:rFonts w:eastAsia="Times New Roman"/>
                <w:color w:val="000000"/>
                <w:sz w:val="18"/>
                <w:szCs w:val="18"/>
                <w:lang w:eastAsia="pt-BR" w:bidi="ar-SA"/>
              </w:rPr>
            </w:pPr>
            <w:r w:rsidRPr="002B2ED7">
              <w:rPr>
                <w:rFonts w:eastAsia="Times New Roman"/>
                <w:color w:val="000000"/>
                <w:sz w:val="18"/>
                <w:szCs w:val="18"/>
                <w:lang w:eastAsia="pt-BR" w:bidi="ar-SA"/>
              </w:rPr>
              <w:t>A meta 1.1.6 fica suspensa em virtude do leilão da FIOL que dispensa a Valec de responsabilidades estratégicas. Ressalta-se que essa meta, no que tange ao ano de 2021, foi concluída antes da sua paralisação no período do PEI 2020-2024</w:t>
            </w:r>
          </w:p>
        </w:tc>
      </w:tr>
      <w:tr w:rsidR="002B2ED7" w:rsidRPr="002B2ED7" w14:paraId="1960EF5C" w14:textId="77777777" w:rsidTr="002B2ED7">
        <w:trPr>
          <w:trHeight w:val="780"/>
        </w:trPr>
        <w:tc>
          <w:tcPr>
            <w:tcW w:w="1612" w:type="dxa"/>
            <w:vMerge/>
            <w:tcBorders>
              <w:top w:val="nil"/>
              <w:bottom w:val="single" w:sz="8" w:space="0" w:color="000000"/>
              <w:right w:val="single" w:sz="4" w:space="0" w:color="auto"/>
            </w:tcBorders>
            <w:vAlign w:val="center"/>
            <w:hideMark/>
          </w:tcPr>
          <w:p w14:paraId="3A5491AD" w14:textId="77777777" w:rsidR="002B2ED7" w:rsidRPr="002B2ED7" w:rsidRDefault="002B2ED7" w:rsidP="002B2ED7">
            <w:pPr>
              <w:widowControl/>
              <w:autoSpaceDE/>
              <w:autoSpaceDN/>
              <w:rPr>
                <w:rFonts w:eastAsia="Times New Roman"/>
                <w:sz w:val="20"/>
                <w:szCs w:val="20"/>
                <w:lang w:eastAsia="pt-BR" w:bidi="ar-SA"/>
              </w:rPr>
            </w:pPr>
          </w:p>
        </w:tc>
        <w:tc>
          <w:tcPr>
            <w:tcW w:w="1594" w:type="dxa"/>
            <w:vMerge/>
            <w:tcBorders>
              <w:top w:val="nil"/>
              <w:left w:val="single" w:sz="4" w:space="0" w:color="auto"/>
              <w:bottom w:val="single" w:sz="8" w:space="0" w:color="000000"/>
              <w:right w:val="single" w:sz="4" w:space="0" w:color="auto"/>
            </w:tcBorders>
            <w:vAlign w:val="center"/>
            <w:hideMark/>
          </w:tcPr>
          <w:p w14:paraId="59657D6D" w14:textId="77777777" w:rsidR="002B2ED7" w:rsidRPr="002B2ED7" w:rsidRDefault="002B2ED7" w:rsidP="002B2ED7">
            <w:pPr>
              <w:widowControl/>
              <w:autoSpaceDE/>
              <w:autoSpaceDN/>
              <w:rPr>
                <w:rFonts w:eastAsia="Times New Roman"/>
                <w:sz w:val="20"/>
                <w:szCs w:val="20"/>
                <w:lang w:eastAsia="pt-BR" w:bidi="ar-SA"/>
              </w:rPr>
            </w:pPr>
          </w:p>
        </w:tc>
        <w:tc>
          <w:tcPr>
            <w:tcW w:w="3357" w:type="dxa"/>
            <w:tcBorders>
              <w:top w:val="nil"/>
              <w:left w:val="nil"/>
              <w:bottom w:val="single" w:sz="8" w:space="0" w:color="auto"/>
              <w:right w:val="single" w:sz="4" w:space="0" w:color="auto"/>
            </w:tcBorders>
            <w:shd w:val="clear" w:color="auto" w:fill="auto"/>
            <w:vAlign w:val="center"/>
            <w:hideMark/>
          </w:tcPr>
          <w:p w14:paraId="2589A7CD" w14:textId="77777777" w:rsidR="002B2ED7" w:rsidRPr="002B2ED7" w:rsidRDefault="002B2ED7" w:rsidP="002B2ED7">
            <w:pPr>
              <w:widowControl/>
              <w:autoSpaceDE/>
              <w:autoSpaceDN/>
              <w:rPr>
                <w:rFonts w:eastAsia="Times New Roman"/>
                <w:color w:val="000000"/>
                <w:sz w:val="20"/>
                <w:szCs w:val="20"/>
                <w:lang w:eastAsia="pt-BR" w:bidi="ar-SA"/>
              </w:rPr>
            </w:pPr>
            <w:r w:rsidRPr="002B2ED7">
              <w:rPr>
                <w:rFonts w:eastAsia="Times New Roman"/>
                <w:color w:val="000000"/>
                <w:sz w:val="20"/>
                <w:szCs w:val="20"/>
                <w:lang w:eastAsia="pt-BR" w:bidi="ar-SA"/>
              </w:rPr>
              <w:t>7. Identificar 3 oportunidades de prestação de serviço de transporte ferroviário de passageiros até dezembro 2021</w:t>
            </w:r>
          </w:p>
        </w:tc>
        <w:tc>
          <w:tcPr>
            <w:tcW w:w="1053" w:type="dxa"/>
            <w:tcBorders>
              <w:top w:val="nil"/>
              <w:left w:val="nil"/>
              <w:bottom w:val="single" w:sz="8" w:space="0" w:color="auto"/>
              <w:right w:val="single" w:sz="4" w:space="0" w:color="auto"/>
            </w:tcBorders>
            <w:shd w:val="clear" w:color="000000" w:fill="00B050"/>
            <w:vAlign w:val="center"/>
            <w:hideMark/>
          </w:tcPr>
          <w:p w14:paraId="2CF717D9"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t>100,00%</w:t>
            </w:r>
          </w:p>
        </w:tc>
        <w:tc>
          <w:tcPr>
            <w:tcW w:w="2013" w:type="dxa"/>
            <w:tcBorders>
              <w:top w:val="nil"/>
              <w:left w:val="nil"/>
              <w:bottom w:val="single" w:sz="8" w:space="0" w:color="auto"/>
            </w:tcBorders>
            <w:shd w:val="clear" w:color="auto" w:fill="auto"/>
            <w:vAlign w:val="center"/>
            <w:hideMark/>
          </w:tcPr>
          <w:p w14:paraId="1E5AB866" w14:textId="77777777" w:rsidR="002B2ED7" w:rsidRPr="002B2ED7" w:rsidRDefault="002B2ED7" w:rsidP="002B2ED7">
            <w:pPr>
              <w:widowControl/>
              <w:autoSpaceDE/>
              <w:autoSpaceDN/>
              <w:rPr>
                <w:rFonts w:eastAsia="Times New Roman"/>
                <w:color w:val="000000"/>
                <w:sz w:val="18"/>
                <w:szCs w:val="18"/>
                <w:lang w:eastAsia="pt-BR" w:bidi="ar-SA"/>
              </w:rPr>
            </w:pPr>
            <w:r w:rsidRPr="002B2ED7">
              <w:rPr>
                <w:rFonts w:eastAsia="Times New Roman"/>
                <w:color w:val="000000"/>
                <w:sz w:val="18"/>
                <w:szCs w:val="18"/>
                <w:lang w:eastAsia="pt-BR" w:bidi="ar-SA"/>
              </w:rPr>
              <w:t> </w:t>
            </w:r>
          </w:p>
        </w:tc>
      </w:tr>
      <w:tr w:rsidR="002B2ED7" w:rsidRPr="002B2ED7" w14:paraId="3CA300D3" w14:textId="77777777" w:rsidTr="002B2ED7">
        <w:trPr>
          <w:trHeight w:val="1020"/>
        </w:trPr>
        <w:tc>
          <w:tcPr>
            <w:tcW w:w="1612" w:type="dxa"/>
            <w:vMerge w:val="restart"/>
            <w:tcBorders>
              <w:top w:val="nil"/>
              <w:bottom w:val="single" w:sz="8" w:space="0" w:color="000000"/>
              <w:right w:val="single" w:sz="4" w:space="0" w:color="auto"/>
            </w:tcBorders>
            <w:shd w:val="clear" w:color="auto" w:fill="auto"/>
            <w:vAlign w:val="center"/>
            <w:hideMark/>
          </w:tcPr>
          <w:p w14:paraId="36CB48C8"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t>Objetivo 1.2 - Buscar reconhecimento como empresa pública</w:t>
            </w:r>
          </w:p>
        </w:tc>
        <w:tc>
          <w:tcPr>
            <w:tcW w:w="1594" w:type="dxa"/>
            <w:vMerge w:val="restart"/>
            <w:tcBorders>
              <w:top w:val="nil"/>
              <w:left w:val="single" w:sz="4" w:space="0" w:color="auto"/>
              <w:bottom w:val="single" w:sz="8" w:space="0" w:color="000000"/>
              <w:right w:val="single" w:sz="4" w:space="0" w:color="auto"/>
            </w:tcBorders>
            <w:shd w:val="clear" w:color="000000" w:fill="00B050"/>
            <w:vAlign w:val="center"/>
            <w:hideMark/>
          </w:tcPr>
          <w:p w14:paraId="2FB3E884" w14:textId="77777777" w:rsidR="002B2ED7" w:rsidRPr="002B2ED7" w:rsidRDefault="002B2ED7" w:rsidP="002B2ED7">
            <w:pPr>
              <w:widowControl/>
              <w:autoSpaceDE/>
              <w:autoSpaceDN/>
              <w:jc w:val="center"/>
              <w:rPr>
                <w:rFonts w:eastAsia="Times New Roman"/>
                <w:sz w:val="20"/>
                <w:szCs w:val="20"/>
                <w:lang w:eastAsia="pt-BR" w:bidi="ar-SA"/>
              </w:rPr>
            </w:pPr>
            <w:r w:rsidRPr="002B2ED7">
              <w:rPr>
                <w:rFonts w:eastAsia="Times New Roman"/>
                <w:sz w:val="20"/>
                <w:szCs w:val="20"/>
                <w:lang w:eastAsia="pt-BR" w:bidi="ar-SA"/>
              </w:rPr>
              <w:t>96,17%</w:t>
            </w:r>
          </w:p>
        </w:tc>
        <w:tc>
          <w:tcPr>
            <w:tcW w:w="3357" w:type="dxa"/>
            <w:tcBorders>
              <w:top w:val="nil"/>
              <w:left w:val="nil"/>
              <w:bottom w:val="single" w:sz="4" w:space="0" w:color="auto"/>
              <w:right w:val="single" w:sz="4" w:space="0" w:color="auto"/>
            </w:tcBorders>
            <w:shd w:val="clear" w:color="auto" w:fill="auto"/>
            <w:vAlign w:val="center"/>
            <w:hideMark/>
          </w:tcPr>
          <w:p w14:paraId="23EBCAD9" w14:textId="77777777" w:rsidR="002B2ED7" w:rsidRPr="002B2ED7" w:rsidRDefault="002B2ED7" w:rsidP="002B2ED7">
            <w:pPr>
              <w:widowControl/>
              <w:autoSpaceDE/>
              <w:autoSpaceDN/>
              <w:rPr>
                <w:rFonts w:eastAsia="Times New Roman"/>
                <w:color w:val="000000"/>
                <w:sz w:val="20"/>
                <w:szCs w:val="20"/>
                <w:lang w:eastAsia="pt-BR" w:bidi="ar-SA"/>
              </w:rPr>
            </w:pPr>
            <w:r w:rsidRPr="002B2ED7">
              <w:rPr>
                <w:rFonts w:eastAsia="Times New Roman"/>
                <w:color w:val="000000"/>
                <w:sz w:val="20"/>
                <w:szCs w:val="20"/>
                <w:lang w:eastAsia="pt-BR" w:bidi="ar-SA"/>
              </w:rPr>
              <w:t>1. Ampliar o alcance nas redes sociais até dez/2021: Facebook: 2000 seguidores; Instagram: 10.000 seguidores; Twitter: 10.000 seguidores; e Linkedin: 10.000 seguidores</w:t>
            </w:r>
          </w:p>
        </w:tc>
        <w:tc>
          <w:tcPr>
            <w:tcW w:w="1053" w:type="dxa"/>
            <w:tcBorders>
              <w:top w:val="nil"/>
              <w:left w:val="nil"/>
              <w:bottom w:val="single" w:sz="4" w:space="0" w:color="auto"/>
              <w:right w:val="single" w:sz="4" w:space="0" w:color="auto"/>
            </w:tcBorders>
            <w:shd w:val="clear" w:color="000000" w:fill="00B050"/>
            <w:vAlign w:val="center"/>
            <w:hideMark/>
          </w:tcPr>
          <w:p w14:paraId="27D1B7D5"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t>84,69%</w:t>
            </w:r>
          </w:p>
        </w:tc>
        <w:tc>
          <w:tcPr>
            <w:tcW w:w="2013" w:type="dxa"/>
            <w:tcBorders>
              <w:top w:val="nil"/>
              <w:left w:val="nil"/>
              <w:bottom w:val="single" w:sz="4" w:space="0" w:color="auto"/>
            </w:tcBorders>
            <w:shd w:val="clear" w:color="auto" w:fill="auto"/>
            <w:vAlign w:val="center"/>
            <w:hideMark/>
          </w:tcPr>
          <w:p w14:paraId="3386276B" w14:textId="77777777" w:rsidR="002B2ED7" w:rsidRPr="002B2ED7" w:rsidRDefault="002B2ED7" w:rsidP="002B2ED7">
            <w:pPr>
              <w:widowControl/>
              <w:autoSpaceDE/>
              <w:autoSpaceDN/>
              <w:rPr>
                <w:rFonts w:eastAsia="Times New Roman"/>
                <w:color w:val="000000"/>
                <w:sz w:val="18"/>
                <w:szCs w:val="18"/>
                <w:lang w:eastAsia="pt-BR" w:bidi="ar-SA"/>
              </w:rPr>
            </w:pPr>
            <w:r w:rsidRPr="002B2ED7">
              <w:rPr>
                <w:rFonts w:eastAsia="Times New Roman"/>
                <w:color w:val="000000"/>
                <w:sz w:val="18"/>
                <w:szCs w:val="18"/>
                <w:lang w:eastAsia="pt-BR" w:bidi="ar-SA"/>
              </w:rPr>
              <w:t> </w:t>
            </w:r>
          </w:p>
        </w:tc>
      </w:tr>
      <w:tr w:rsidR="002B2ED7" w:rsidRPr="002B2ED7" w14:paraId="08802475" w14:textId="77777777" w:rsidTr="002B2ED7">
        <w:trPr>
          <w:trHeight w:val="510"/>
        </w:trPr>
        <w:tc>
          <w:tcPr>
            <w:tcW w:w="1612" w:type="dxa"/>
            <w:vMerge/>
            <w:tcBorders>
              <w:top w:val="nil"/>
              <w:bottom w:val="single" w:sz="8" w:space="0" w:color="000000"/>
              <w:right w:val="single" w:sz="4" w:space="0" w:color="auto"/>
            </w:tcBorders>
            <w:vAlign w:val="center"/>
            <w:hideMark/>
          </w:tcPr>
          <w:p w14:paraId="54636708" w14:textId="77777777" w:rsidR="002B2ED7" w:rsidRPr="002B2ED7" w:rsidRDefault="002B2ED7" w:rsidP="002B2ED7">
            <w:pPr>
              <w:widowControl/>
              <w:autoSpaceDE/>
              <w:autoSpaceDN/>
              <w:rPr>
                <w:rFonts w:eastAsia="Times New Roman"/>
                <w:color w:val="000000"/>
                <w:sz w:val="20"/>
                <w:szCs w:val="20"/>
                <w:lang w:eastAsia="pt-BR" w:bidi="ar-SA"/>
              </w:rPr>
            </w:pPr>
          </w:p>
        </w:tc>
        <w:tc>
          <w:tcPr>
            <w:tcW w:w="1594" w:type="dxa"/>
            <w:vMerge/>
            <w:tcBorders>
              <w:top w:val="nil"/>
              <w:left w:val="single" w:sz="4" w:space="0" w:color="auto"/>
              <w:bottom w:val="single" w:sz="8" w:space="0" w:color="000000"/>
              <w:right w:val="single" w:sz="4" w:space="0" w:color="auto"/>
            </w:tcBorders>
            <w:vAlign w:val="center"/>
            <w:hideMark/>
          </w:tcPr>
          <w:p w14:paraId="04748995" w14:textId="77777777" w:rsidR="002B2ED7" w:rsidRPr="002B2ED7" w:rsidRDefault="002B2ED7" w:rsidP="002B2ED7">
            <w:pPr>
              <w:widowControl/>
              <w:autoSpaceDE/>
              <w:autoSpaceDN/>
              <w:rPr>
                <w:rFonts w:eastAsia="Times New Roman"/>
                <w:sz w:val="20"/>
                <w:szCs w:val="20"/>
                <w:lang w:eastAsia="pt-BR" w:bidi="ar-SA"/>
              </w:rPr>
            </w:pPr>
          </w:p>
        </w:tc>
        <w:tc>
          <w:tcPr>
            <w:tcW w:w="3357" w:type="dxa"/>
            <w:tcBorders>
              <w:top w:val="nil"/>
              <w:left w:val="nil"/>
              <w:bottom w:val="single" w:sz="4" w:space="0" w:color="auto"/>
              <w:right w:val="single" w:sz="4" w:space="0" w:color="auto"/>
            </w:tcBorders>
            <w:shd w:val="clear" w:color="auto" w:fill="auto"/>
            <w:vAlign w:val="center"/>
            <w:hideMark/>
          </w:tcPr>
          <w:p w14:paraId="05CECD48" w14:textId="77777777" w:rsidR="002B2ED7" w:rsidRPr="002B2ED7" w:rsidRDefault="002B2ED7" w:rsidP="002B2ED7">
            <w:pPr>
              <w:widowControl/>
              <w:autoSpaceDE/>
              <w:autoSpaceDN/>
              <w:rPr>
                <w:rFonts w:eastAsia="Times New Roman"/>
                <w:color w:val="000000"/>
                <w:sz w:val="20"/>
                <w:szCs w:val="20"/>
                <w:lang w:eastAsia="pt-BR" w:bidi="ar-SA"/>
              </w:rPr>
            </w:pPr>
            <w:r w:rsidRPr="002B2ED7">
              <w:rPr>
                <w:rFonts w:eastAsia="Times New Roman"/>
                <w:color w:val="000000"/>
                <w:sz w:val="20"/>
                <w:szCs w:val="20"/>
                <w:lang w:eastAsia="pt-BR" w:bidi="ar-SA"/>
              </w:rPr>
              <w:t>2. Participar como convidado protagonista em 12 eventos e/ou seminários</w:t>
            </w:r>
          </w:p>
        </w:tc>
        <w:tc>
          <w:tcPr>
            <w:tcW w:w="1053" w:type="dxa"/>
            <w:tcBorders>
              <w:top w:val="nil"/>
              <w:left w:val="nil"/>
              <w:bottom w:val="single" w:sz="4" w:space="0" w:color="auto"/>
              <w:right w:val="single" w:sz="4" w:space="0" w:color="auto"/>
            </w:tcBorders>
            <w:shd w:val="clear" w:color="000000" w:fill="00B050"/>
            <w:vAlign w:val="center"/>
            <w:hideMark/>
          </w:tcPr>
          <w:p w14:paraId="69A606D0"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t>133,33%</w:t>
            </w:r>
          </w:p>
        </w:tc>
        <w:tc>
          <w:tcPr>
            <w:tcW w:w="2013" w:type="dxa"/>
            <w:tcBorders>
              <w:top w:val="nil"/>
              <w:left w:val="nil"/>
              <w:bottom w:val="single" w:sz="4" w:space="0" w:color="auto"/>
            </w:tcBorders>
            <w:shd w:val="clear" w:color="auto" w:fill="auto"/>
            <w:vAlign w:val="center"/>
            <w:hideMark/>
          </w:tcPr>
          <w:p w14:paraId="21605A97" w14:textId="77777777" w:rsidR="002B2ED7" w:rsidRPr="002B2ED7" w:rsidRDefault="002B2ED7" w:rsidP="002B2ED7">
            <w:pPr>
              <w:widowControl/>
              <w:autoSpaceDE/>
              <w:autoSpaceDN/>
              <w:rPr>
                <w:rFonts w:eastAsia="Times New Roman"/>
                <w:color w:val="000000"/>
                <w:sz w:val="18"/>
                <w:szCs w:val="18"/>
                <w:lang w:eastAsia="pt-BR" w:bidi="ar-SA"/>
              </w:rPr>
            </w:pPr>
            <w:r w:rsidRPr="002B2ED7">
              <w:rPr>
                <w:rFonts w:eastAsia="Times New Roman"/>
                <w:color w:val="000000"/>
                <w:sz w:val="18"/>
                <w:szCs w:val="18"/>
                <w:lang w:eastAsia="pt-BR" w:bidi="ar-SA"/>
              </w:rPr>
              <w:t> </w:t>
            </w:r>
          </w:p>
        </w:tc>
      </w:tr>
      <w:tr w:rsidR="002B2ED7" w:rsidRPr="002B2ED7" w14:paraId="523774A3" w14:textId="77777777" w:rsidTr="002B2ED7">
        <w:trPr>
          <w:trHeight w:val="510"/>
        </w:trPr>
        <w:tc>
          <w:tcPr>
            <w:tcW w:w="1612" w:type="dxa"/>
            <w:vMerge/>
            <w:tcBorders>
              <w:top w:val="nil"/>
              <w:bottom w:val="single" w:sz="8" w:space="0" w:color="000000"/>
              <w:right w:val="single" w:sz="4" w:space="0" w:color="auto"/>
            </w:tcBorders>
            <w:vAlign w:val="center"/>
            <w:hideMark/>
          </w:tcPr>
          <w:p w14:paraId="37034890" w14:textId="77777777" w:rsidR="002B2ED7" w:rsidRPr="002B2ED7" w:rsidRDefault="002B2ED7" w:rsidP="002B2ED7">
            <w:pPr>
              <w:widowControl/>
              <w:autoSpaceDE/>
              <w:autoSpaceDN/>
              <w:rPr>
                <w:rFonts w:eastAsia="Times New Roman"/>
                <w:color w:val="000000"/>
                <w:sz w:val="20"/>
                <w:szCs w:val="20"/>
                <w:lang w:eastAsia="pt-BR" w:bidi="ar-SA"/>
              </w:rPr>
            </w:pPr>
          </w:p>
        </w:tc>
        <w:tc>
          <w:tcPr>
            <w:tcW w:w="1594" w:type="dxa"/>
            <w:vMerge/>
            <w:tcBorders>
              <w:top w:val="nil"/>
              <w:left w:val="single" w:sz="4" w:space="0" w:color="auto"/>
              <w:bottom w:val="single" w:sz="8" w:space="0" w:color="000000"/>
              <w:right w:val="single" w:sz="4" w:space="0" w:color="auto"/>
            </w:tcBorders>
            <w:vAlign w:val="center"/>
            <w:hideMark/>
          </w:tcPr>
          <w:p w14:paraId="14038EA9" w14:textId="77777777" w:rsidR="002B2ED7" w:rsidRPr="002B2ED7" w:rsidRDefault="002B2ED7" w:rsidP="002B2ED7">
            <w:pPr>
              <w:widowControl/>
              <w:autoSpaceDE/>
              <w:autoSpaceDN/>
              <w:rPr>
                <w:rFonts w:eastAsia="Times New Roman"/>
                <w:sz w:val="20"/>
                <w:szCs w:val="20"/>
                <w:lang w:eastAsia="pt-BR" w:bidi="ar-SA"/>
              </w:rPr>
            </w:pPr>
          </w:p>
        </w:tc>
        <w:tc>
          <w:tcPr>
            <w:tcW w:w="3357" w:type="dxa"/>
            <w:tcBorders>
              <w:top w:val="nil"/>
              <w:left w:val="nil"/>
              <w:bottom w:val="single" w:sz="4" w:space="0" w:color="auto"/>
              <w:right w:val="single" w:sz="4" w:space="0" w:color="auto"/>
            </w:tcBorders>
            <w:shd w:val="clear" w:color="auto" w:fill="auto"/>
            <w:vAlign w:val="center"/>
            <w:hideMark/>
          </w:tcPr>
          <w:p w14:paraId="6784B4C5" w14:textId="77777777" w:rsidR="002B2ED7" w:rsidRPr="002B2ED7" w:rsidRDefault="002B2ED7" w:rsidP="002B2ED7">
            <w:pPr>
              <w:widowControl/>
              <w:autoSpaceDE/>
              <w:autoSpaceDN/>
              <w:rPr>
                <w:rFonts w:eastAsia="Times New Roman"/>
                <w:color w:val="000000"/>
                <w:sz w:val="20"/>
                <w:szCs w:val="20"/>
                <w:lang w:eastAsia="pt-BR" w:bidi="ar-SA"/>
              </w:rPr>
            </w:pPr>
            <w:r w:rsidRPr="002B2ED7">
              <w:rPr>
                <w:rFonts w:eastAsia="Times New Roman"/>
                <w:color w:val="000000"/>
                <w:sz w:val="20"/>
                <w:szCs w:val="20"/>
                <w:lang w:eastAsia="pt-BR" w:bidi="ar-SA"/>
              </w:rPr>
              <w:t>3. Promover 4 eventos presenciais ou online em 2021</w:t>
            </w:r>
          </w:p>
        </w:tc>
        <w:tc>
          <w:tcPr>
            <w:tcW w:w="1053" w:type="dxa"/>
            <w:tcBorders>
              <w:top w:val="nil"/>
              <w:left w:val="nil"/>
              <w:bottom w:val="single" w:sz="4" w:space="0" w:color="auto"/>
              <w:right w:val="single" w:sz="4" w:space="0" w:color="auto"/>
            </w:tcBorders>
            <w:shd w:val="clear" w:color="000000" w:fill="00B050"/>
            <w:vAlign w:val="center"/>
            <w:hideMark/>
          </w:tcPr>
          <w:p w14:paraId="6917DF6D"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t>125,00%</w:t>
            </w:r>
          </w:p>
        </w:tc>
        <w:tc>
          <w:tcPr>
            <w:tcW w:w="2013" w:type="dxa"/>
            <w:tcBorders>
              <w:top w:val="nil"/>
              <w:left w:val="nil"/>
              <w:bottom w:val="single" w:sz="4" w:space="0" w:color="auto"/>
            </w:tcBorders>
            <w:shd w:val="clear" w:color="auto" w:fill="auto"/>
            <w:vAlign w:val="center"/>
            <w:hideMark/>
          </w:tcPr>
          <w:p w14:paraId="53E34E16" w14:textId="77777777" w:rsidR="002B2ED7" w:rsidRPr="002B2ED7" w:rsidRDefault="002B2ED7" w:rsidP="002B2ED7">
            <w:pPr>
              <w:widowControl/>
              <w:autoSpaceDE/>
              <w:autoSpaceDN/>
              <w:rPr>
                <w:rFonts w:eastAsia="Times New Roman"/>
                <w:color w:val="000000"/>
                <w:sz w:val="18"/>
                <w:szCs w:val="18"/>
                <w:lang w:eastAsia="pt-BR" w:bidi="ar-SA"/>
              </w:rPr>
            </w:pPr>
            <w:r w:rsidRPr="002B2ED7">
              <w:rPr>
                <w:rFonts w:eastAsia="Times New Roman"/>
                <w:color w:val="000000"/>
                <w:sz w:val="18"/>
                <w:szCs w:val="18"/>
                <w:lang w:eastAsia="pt-BR" w:bidi="ar-SA"/>
              </w:rPr>
              <w:t> </w:t>
            </w:r>
          </w:p>
        </w:tc>
      </w:tr>
      <w:tr w:rsidR="002B2ED7" w:rsidRPr="002B2ED7" w14:paraId="31BC215F" w14:textId="77777777" w:rsidTr="002B2ED7">
        <w:trPr>
          <w:trHeight w:val="525"/>
        </w:trPr>
        <w:tc>
          <w:tcPr>
            <w:tcW w:w="1612" w:type="dxa"/>
            <w:vMerge/>
            <w:tcBorders>
              <w:top w:val="nil"/>
              <w:bottom w:val="single" w:sz="8" w:space="0" w:color="000000"/>
              <w:right w:val="single" w:sz="4" w:space="0" w:color="auto"/>
            </w:tcBorders>
            <w:vAlign w:val="center"/>
            <w:hideMark/>
          </w:tcPr>
          <w:p w14:paraId="34827878" w14:textId="77777777" w:rsidR="002B2ED7" w:rsidRPr="002B2ED7" w:rsidRDefault="002B2ED7" w:rsidP="002B2ED7">
            <w:pPr>
              <w:widowControl/>
              <w:autoSpaceDE/>
              <w:autoSpaceDN/>
              <w:rPr>
                <w:rFonts w:eastAsia="Times New Roman"/>
                <w:color w:val="000000"/>
                <w:sz w:val="20"/>
                <w:szCs w:val="20"/>
                <w:lang w:eastAsia="pt-BR" w:bidi="ar-SA"/>
              </w:rPr>
            </w:pPr>
          </w:p>
        </w:tc>
        <w:tc>
          <w:tcPr>
            <w:tcW w:w="1594" w:type="dxa"/>
            <w:vMerge/>
            <w:tcBorders>
              <w:top w:val="nil"/>
              <w:left w:val="single" w:sz="4" w:space="0" w:color="auto"/>
              <w:bottom w:val="single" w:sz="8" w:space="0" w:color="000000"/>
              <w:right w:val="single" w:sz="4" w:space="0" w:color="auto"/>
            </w:tcBorders>
            <w:vAlign w:val="center"/>
            <w:hideMark/>
          </w:tcPr>
          <w:p w14:paraId="0C54529D" w14:textId="77777777" w:rsidR="002B2ED7" w:rsidRPr="002B2ED7" w:rsidRDefault="002B2ED7" w:rsidP="002B2ED7">
            <w:pPr>
              <w:widowControl/>
              <w:autoSpaceDE/>
              <w:autoSpaceDN/>
              <w:rPr>
                <w:rFonts w:eastAsia="Times New Roman"/>
                <w:sz w:val="20"/>
                <w:szCs w:val="20"/>
                <w:lang w:eastAsia="pt-BR" w:bidi="ar-SA"/>
              </w:rPr>
            </w:pPr>
          </w:p>
        </w:tc>
        <w:tc>
          <w:tcPr>
            <w:tcW w:w="3357" w:type="dxa"/>
            <w:tcBorders>
              <w:top w:val="nil"/>
              <w:left w:val="nil"/>
              <w:bottom w:val="single" w:sz="8" w:space="0" w:color="auto"/>
              <w:right w:val="single" w:sz="4" w:space="0" w:color="auto"/>
            </w:tcBorders>
            <w:shd w:val="clear" w:color="auto" w:fill="auto"/>
            <w:vAlign w:val="center"/>
            <w:hideMark/>
          </w:tcPr>
          <w:p w14:paraId="19F1FB4C" w14:textId="77777777" w:rsidR="002B2ED7" w:rsidRPr="002B2ED7" w:rsidRDefault="002B2ED7" w:rsidP="002B2ED7">
            <w:pPr>
              <w:widowControl/>
              <w:autoSpaceDE/>
              <w:autoSpaceDN/>
              <w:rPr>
                <w:rFonts w:eastAsia="Times New Roman"/>
                <w:color w:val="000000"/>
                <w:sz w:val="20"/>
                <w:szCs w:val="20"/>
                <w:lang w:eastAsia="pt-BR" w:bidi="ar-SA"/>
              </w:rPr>
            </w:pPr>
            <w:r w:rsidRPr="002B2ED7">
              <w:rPr>
                <w:rFonts w:eastAsia="Times New Roman"/>
                <w:color w:val="000000"/>
                <w:sz w:val="20"/>
                <w:szCs w:val="20"/>
                <w:lang w:eastAsia="pt-BR" w:bidi="ar-SA"/>
              </w:rPr>
              <w:t xml:space="preserve">4. Promover a inserção anual em 05 pautas nas principais mídias especializadas  </w:t>
            </w:r>
          </w:p>
        </w:tc>
        <w:tc>
          <w:tcPr>
            <w:tcW w:w="1053" w:type="dxa"/>
            <w:tcBorders>
              <w:top w:val="nil"/>
              <w:left w:val="nil"/>
              <w:bottom w:val="single" w:sz="8" w:space="0" w:color="auto"/>
              <w:right w:val="single" w:sz="4" w:space="0" w:color="auto"/>
            </w:tcBorders>
            <w:shd w:val="clear" w:color="000000" w:fill="00B050"/>
            <w:vAlign w:val="center"/>
            <w:hideMark/>
          </w:tcPr>
          <w:p w14:paraId="7342572A"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t>200,00%</w:t>
            </w:r>
          </w:p>
        </w:tc>
        <w:tc>
          <w:tcPr>
            <w:tcW w:w="2013" w:type="dxa"/>
            <w:tcBorders>
              <w:top w:val="nil"/>
              <w:left w:val="nil"/>
              <w:bottom w:val="single" w:sz="8" w:space="0" w:color="auto"/>
            </w:tcBorders>
            <w:shd w:val="clear" w:color="auto" w:fill="auto"/>
            <w:vAlign w:val="center"/>
            <w:hideMark/>
          </w:tcPr>
          <w:p w14:paraId="5316EE2D" w14:textId="77777777" w:rsidR="002B2ED7" w:rsidRPr="002B2ED7" w:rsidRDefault="002B2ED7" w:rsidP="002B2ED7">
            <w:pPr>
              <w:widowControl/>
              <w:autoSpaceDE/>
              <w:autoSpaceDN/>
              <w:rPr>
                <w:rFonts w:eastAsia="Times New Roman"/>
                <w:color w:val="000000"/>
                <w:sz w:val="18"/>
                <w:szCs w:val="18"/>
                <w:lang w:eastAsia="pt-BR" w:bidi="ar-SA"/>
              </w:rPr>
            </w:pPr>
            <w:r w:rsidRPr="002B2ED7">
              <w:rPr>
                <w:rFonts w:eastAsia="Times New Roman"/>
                <w:color w:val="000000"/>
                <w:sz w:val="18"/>
                <w:szCs w:val="18"/>
                <w:lang w:eastAsia="pt-BR" w:bidi="ar-SA"/>
              </w:rPr>
              <w:t> </w:t>
            </w:r>
          </w:p>
        </w:tc>
      </w:tr>
      <w:tr w:rsidR="002B2ED7" w:rsidRPr="002B2ED7" w14:paraId="066A7259" w14:textId="77777777" w:rsidTr="002B2ED7">
        <w:trPr>
          <w:trHeight w:val="510"/>
        </w:trPr>
        <w:tc>
          <w:tcPr>
            <w:tcW w:w="1612" w:type="dxa"/>
            <w:vMerge w:val="restart"/>
            <w:tcBorders>
              <w:top w:val="nil"/>
              <w:bottom w:val="single" w:sz="8" w:space="0" w:color="000000"/>
              <w:right w:val="single" w:sz="4" w:space="0" w:color="auto"/>
            </w:tcBorders>
            <w:shd w:val="clear" w:color="auto" w:fill="auto"/>
            <w:vAlign w:val="center"/>
            <w:hideMark/>
          </w:tcPr>
          <w:p w14:paraId="1958F801"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t>Objetivo 2.1 - Desenvolver produtos/serviços visando geração de receitas e fomentar pesquisa de mercado na área logística</w:t>
            </w:r>
          </w:p>
        </w:tc>
        <w:tc>
          <w:tcPr>
            <w:tcW w:w="1594" w:type="dxa"/>
            <w:vMerge w:val="restart"/>
            <w:tcBorders>
              <w:top w:val="nil"/>
              <w:left w:val="single" w:sz="4" w:space="0" w:color="auto"/>
              <w:bottom w:val="single" w:sz="8" w:space="0" w:color="000000"/>
              <w:right w:val="single" w:sz="4" w:space="0" w:color="auto"/>
            </w:tcBorders>
            <w:shd w:val="clear" w:color="000000" w:fill="00B050"/>
            <w:vAlign w:val="center"/>
            <w:hideMark/>
          </w:tcPr>
          <w:p w14:paraId="052F0493" w14:textId="77777777" w:rsidR="002B2ED7" w:rsidRPr="002B2ED7" w:rsidRDefault="002B2ED7" w:rsidP="002B2ED7">
            <w:pPr>
              <w:widowControl/>
              <w:autoSpaceDE/>
              <w:autoSpaceDN/>
              <w:jc w:val="center"/>
              <w:rPr>
                <w:rFonts w:eastAsia="Times New Roman"/>
                <w:sz w:val="20"/>
                <w:szCs w:val="20"/>
                <w:lang w:eastAsia="pt-BR" w:bidi="ar-SA"/>
              </w:rPr>
            </w:pPr>
            <w:r w:rsidRPr="002B2ED7">
              <w:rPr>
                <w:rFonts w:eastAsia="Times New Roman"/>
                <w:sz w:val="20"/>
                <w:szCs w:val="20"/>
                <w:lang w:eastAsia="pt-BR" w:bidi="ar-SA"/>
              </w:rPr>
              <w:t>82,67%</w:t>
            </w:r>
          </w:p>
        </w:tc>
        <w:tc>
          <w:tcPr>
            <w:tcW w:w="3357" w:type="dxa"/>
            <w:tcBorders>
              <w:top w:val="nil"/>
              <w:left w:val="nil"/>
              <w:bottom w:val="single" w:sz="4" w:space="0" w:color="auto"/>
              <w:right w:val="single" w:sz="4" w:space="0" w:color="auto"/>
            </w:tcBorders>
            <w:shd w:val="clear" w:color="auto" w:fill="auto"/>
            <w:vAlign w:val="center"/>
            <w:hideMark/>
          </w:tcPr>
          <w:p w14:paraId="77CF3671" w14:textId="77777777" w:rsidR="002B2ED7" w:rsidRPr="002B2ED7" w:rsidRDefault="002B2ED7" w:rsidP="002B2ED7">
            <w:pPr>
              <w:widowControl/>
              <w:autoSpaceDE/>
              <w:autoSpaceDN/>
              <w:rPr>
                <w:rFonts w:eastAsia="Times New Roman"/>
                <w:color w:val="000000"/>
                <w:sz w:val="20"/>
                <w:szCs w:val="20"/>
                <w:lang w:eastAsia="pt-BR" w:bidi="ar-SA"/>
              </w:rPr>
            </w:pPr>
            <w:r w:rsidRPr="002B2ED7">
              <w:rPr>
                <w:rFonts w:eastAsia="Times New Roman"/>
                <w:color w:val="000000"/>
                <w:sz w:val="20"/>
                <w:szCs w:val="20"/>
                <w:lang w:eastAsia="pt-BR" w:bidi="ar-SA"/>
              </w:rPr>
              <w:t>1.</w:t>
            </w:r>
            <w:r w:rsidRPr="002B2ED7">
              <w:rPr>
                <w:rFonts w:eastAsia="Times New Roman"/>
                <w:b/>
                <w:bCs/>
                <w:color w:val="000000"/>
                <w:sz w:val="20"/>
                <w:szCs w:val="20"/>
                <w:lang w:eastAsia="pt-BR" w:bidi="ar-SA"/>
              </w:rPr>
              <w:t xml:space="preserve"> </w:t>
            </w:r>
            <w:r w:rsidRPr="002B2ED7">
              <w:rPr>
                <w:rFonts w:eastAsia="Times New Roman"/>
                <w:color w:val="000000"/>
                <w:sz w:val="20"/>
                <w:szCs w:val="20"/>
                <w:lang w:eastAsia="pt-BR" w:bidi="ar-SA"/>
              </w:rPr>
              <w:t>Atingir o faturamento de R$6 milhões de receita operacional até dezembro de 2021</w:t>
            </w:r>
          </w:p>
        </w:tc>
        <w:tc>
          <w:tcPr>
            <w:tcW w:w="1053" w:type="dxa"/>
            <w:tcBorders>
              <w:top w:val="nil"/>
              <w:left w:val="nil"/>
              <w:bottom w:val="single" w:sz="4" w:space="0" w:color="auto"/>
              <w:right w:val="single" w:sz="4" w:space="0" w:color="auto"/>
            </w:tcBorders>
            <w:shd w:val="clear" w:color="000000" w:fill="00B050"/>
            <w:vAlign w:val="center"/>
            <w:hideMark/>
          </w:tcPr>
          <w:p w14:paraId="63689259"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t>576,58%</w:t>
            </w:r>
          </w:p>
        </w:tc>
        <w:tc>
          <w:tcPr>
            <w:tcW w:w="2013" w:type="dxa"/>
            <w:tcBorders>
              <w:top w:val="nil"/>
              <w:left w:val="nil"/>
              <w:bottom w:val="single" w:sz="4" w:space="0" w:color="auto"/>
            </w:tcBorders>
            <w:shd w:val="clear" w:color="auto" w:fill="auto"/>
            <w:vAlign w:val="center"/>
            <w:hideMark/>
          </w:tcPr>
          <w:p w14:paraId="3DC33F91" w14:textId="77777777" w:rsidR="002B2ED7" w:rsidRPr="002B2ED7" w:rsidRDefault="002B2ED7" w:rsidP="002B2ED7">
            <w:pPr>
              <w:widowControl/>
              <w:autoSpaceDE/>
              <w:autoSpaceDN/>
              <w:rPr>
                <w:rFonts w:eastAsia="Times New Roman"/>
                <w:color w:val="000000"/>
                <w:sz w:val="18"/>
                <w:szCs w:val="18"/>
                <w:lang w:eastAsia="pt-BR" w:bidi="ar-SA"/>
              </w:rPr>
            </w:pPr>
            <w:r w:rsidRPr="002B2ED7">
              <w:rPr>
                <w:rFonts w:eastAsia="Times New Roman"/>
                <w:color w:val="000000"/>
                <w:sz w:val="18"/>
                <w:szCs w:val="18"/>
                <w:lang w:eastAsia="pt-BR" w:bidi="ar-SA"/>
              </w:rPr>
              <w:t> </w:t>
            </w:r>
          </w:p>
        </w:tc>
      </w:tr>
      <w:tr w:rsidR="002B2ED7" w:rsidRPr="002B2ED7" w14:paraId="6A7810B9" w14:textId="77777777" w:rsidTr="002B2ED7">
        <w:trPr>
          <w:trHeight w:val="510"/>
        </w:trPr>
        <w:tc>
          <w:tcPr>
            <w:tcW w:w="1612" w:type="dxa"/>
            <w:vMerge/>
            <w:tcBorders>
              <w:top w:val="nil"/>
              <w:bottom w:val="single" w:sz="8" w:space="0" w:color="000000"/>
              <w:right w:val="single" w:sz="4" w:space="0" w:color="auto"/>
            </w:tcBorders>
            <w:vAlign w:val="center"/>
            <w:hideMark/>
          </w:tcPr>
          <w:p w14:paraId="3CB17D8D" w14:textId="77777777" w:rsidR="002B2ED7" w:rsidRPr="002B2ED7" w:rsidRDefault="002B2ED7" w:rsidP="002B2ED7">
            <w:pPr>
              <w:widowControl/>
              <w:autoSpaceDE/>
              <w:autoSpaceDN/>
              <w:rPr>
                <w:rFonts w:eastAsia="Times New Roman"/>
                <w:color w:val="000000"/>
                <w:sz w:val="20"/>
                <w:szCs w:val="20"/>
                <w:lang w:eastAsia="pt-BR" w:bidi="ar-SA"/>
              </w:rPr>
            </w:pPr>
          </w:p>
        </w:tc>
        <w:tc>
          <w:tcPr>
            <w:tcW w:w="1594" w:type="dxa"/>
            <w:vMerge/>
            <w:tcBorders>
              <w:top w:val="nil"/>
              <w:left w:val="single" w:sz="4" w:space="0" w:color="auto"/>
              <w:bottom w:val="single" w:sz="8" w:space="0" w:color="000000"/>
              <w:right w:val="single" w:sz="4" w:space="0" w:color="auto"/>
            </w:tcBorders>
            <w:vAlign w:val="center"/>
            <w:hideMark/>
          </w:tcPr>
          <w:p w14:paraId="002A4D10" w14:textId="77777777" w:rsidR="002B2ED7" w:rsidRPr="002B2ED7" w:rsidRDefault="002B2ED7" w:rsidP="002B2ED7">
            <w:pPr>
              <w:widowControl/>
              <w:autoSpaceDE/>
              <w:autoSpaceDN/>
              <w:rPr>
                <w:rFonts w:eastAsia="Times New Roman"/>
                <w:sz w:val="20"/>
                <w:szCs w:val="20"/>
                <w:lang w:eastAsia="pt-BR" w:bidi="ar-SA"/>
              </w:rPr>
            </w:pPr>
          </w:p>
        </w:tc>
        <w:tc>
          <w:tcPr>
            <w:tcW w:w="3357" w:type="dxa"/>
            <w:tcBorders>
              <w:top w:val="nil"/>
              <w:left w:val="nil"/>
              <w:bottom w:val="single" w:sz="4" w:space="0" w:color="auto"/>
              <w:right w:val="single" w:sz="4" w:space="0" w:color="auto"/>
            </w:tcBorders>
            <w:shd w:val="clear" w:color="auto" w:fill="auto"/>
            <w:vAlign w:val="center"/>
            <w:hideMark/>
          </w:tcPr>
          <w:p w14:paraId="71DB132F" w14:textId="77777777" w:rsidR="002B2ED7" w:rsidRPr="002B2ED7" w:rsidRDefault="002B2ED7" w:rsidP="002B2ED7">
            <w:pPr>
              <w:widowControl/>
              <w:autoSpaceDE/>
              <w:autoSpaceDN/>
              <w:rPr>
                <w:rFonts w:eastAsia="Times New Roman"/>
                <w:color w:val="000000"/>
                <w:sz w:val="20"/>
                <w:szCs w:val="20"/>
                <w:lang w:eastAsia="pt-BR" w:bidi="ar-SA"/>
              </w:rPr>
            </w:pPr>
            <w:r w:rsidRPr="002B2ED7">
              <w:rPr>
                <w:rFonts w:eastAsia="Times New Roman"/>
                <w:color w:val="000000"/>
                <w:sz w:val="20"/>
                <w:szCs w:val="20"/>
                <w:lang w:eastAsia="pt-BR" w:bidi="ar-SA"/>
              </w:rPr>
              <w:t>2. Lançar 4 novos produtos para o mercado até dezembro de 2021</w:t>
            </w:r>
          </w:p>
        </w:tc>
        <w:tc>
          <w:tcPr>
            <w:tcW w:w="1053" w:type="dxa"/>
            <w:tcBorders>
              <w:top w:val="nil"/>
              <w:left w:val="nil"/>
              <w:bottom w:val="single" w:sz="4" w:space="0" w:color="auto"/>
              <w:right w:val="single" w:sz="4" w:space="0" w:color="auto"/>
            </w:tcBorders>
            <w:shd w:val="clear" w:color="000000" w:fill="FFFF00"/>
            <w:vAlign w:val="center"/>
            <w:hideMark/>
          </w:tcPr>
          <w:p w14:paraId="7C7BF100"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t>30,00%</w:t>
            </w:r>
          </w:p>
        </w:tc>
        <w:tc>
          <w:tcPr>
            <w:tcW w:w="2013" w:type="dxa"/>
            <w:tcBorders>
              <w:top w:val="nil"/>
              <w:left w:val="nil"/>
              <w:bottom w:val="single" w:sz="4" w:space="0" w:color="auto"/>
            </w:tcBorders>
            <w:shd w:val="clear" w:color="auto" w:fill="auto"/>
            <w:vAlign w:val="center"/>
            <w:hideMark/>
          </w:tcPr>
          <w:p w14:paraId="39D9900D" w14:textId="77777777" w:rsidR="002B2ED7" w:rsidRPr="002B2ED7" w:rsidRDefault="002B2ED7" w:rsidP="002B2ED7">
            <w:pPr>
              <w:widowControl/>
              <w:autoSpaceDE/>
              <w:autoSpaceDN/>
              <w:rPr>
                <w:rFonts w:eastAsia="Times New Roman"/>
                <w:color w:val="000000"/>
                <w:sz w:val="18"/>
                <w:szCs w:val="18"/>
                <w:lang w:eastAsia="pt-BR" w:bidi="ar-SA"/>
              </w:rPr>
            </w:pPr>
            <w:r w:rsidRPr="002B2ED7">
              <w:rPr>
                <w:rFonts w:eastAsia="Times New Roman"/>
                <w:color w:val="000000"/>
                <w:sz w:val="18"/>
                <w:szCs w:val="18"/>
                <w:lang w:eastAsia="pt-BR" w:bidi="ar-SA"/>
              </w:rPr>
              <w:t> </w:t>
            </w:r>
          </w:p>
        </w:tc>
      </w:tr>
      <w:tr w:rsidR="002B2ED7" w:rsidRPr="002B2ED7" w14:paraId="48C450E8" w14:textId="77777777" w:rsidTr="002B2ED7">
        <w:trPr>
          <w:trHeight w:val="510"/>
        </w:trPr>
        <w:tc>
          <w:tcPr>
            <w:tcW w:w="1612" w:type="dxa"/>
            <w:vMerge/>
            <w:tcBorders>
              <w:top w:val="nil"/>
              <w:bottom w:val="single" w:sz="8" w:space="0" w:color="000000"/>
              <w:right w:val="single" w:sz="4" w:space="0" w:color="auto"/>
            </w:tcBorders>
            <w:vAlign w:val="center"/>
            <w:hideMark/>
          </w:tcPr>
          <w:p w14:paraId="1B26666C" w14:textId="77777777" w:rsidR="002B2ED7" w:rsidRPr="002B2ED7" w:rsidRDefault="002B2ED7" w:rsidP="002B2ED7">
            <w:pPr>
              <w:widowControl/>
              <w:autoSpaceDE/>
              <w:autoSpaceDN/>
              <w:rPr>
                <w:rFonts w:eastAsia="Times New Roman"/>
                <w:color w:val="000000"/>
                <w:sz w:val="20"/>
                <w:szCs w:val="20"/>
                <w:lang w:eastAsia="pt-BR" w:bidi="ar-SA"/>
              </w:rPr>
            </w:pPr>
          </w:p>
        </w:tc>
        <w:tc>
          <w:tcPr>
            <w:tcW w:w="1594" w:type="dxa"/>
            <w:vMerge/>
            <w:tcBorders>
              <w:top w:val="nil"/>
              <w:left w:val="single" w:sz="4" w:space="0" w:color="auto"/>
              <w:bottom w:val="single" w:sz="8" w:space="0" w:color="000000"/>
              <w:right w:val="single" w:sz="4" w:space="0" w:color="auto"/>
            </w:tcBorders>
            <w:vAlign w:val="center"/>
            <w:hideMark/>
          </w:tcPr>
          <w:p w14:paraId="2B33EF37" w14:textId="77777777" w:rsidR="002B2ED7" w:rsidRPr="002B2ED7" w:rsidRDefault="002B2ED7" w:rsidP="002B2ED7">
            <w:pPr>
              <w:widowControl/>
              <w:autoSpaceDE/>
              <w:autoSpaceDN/>
              <w:rPr>
                <w:rFonts w:eastAsia="Times New Roman"/>
                <w:sz w:val="20"/>
                <w:szCs w:val="20"/>
                <w:lang w:eastAsia="pt-BR" w:bidi="ar-SA"/>
              </w:rPr>
            </w:pPr>
          </w:p>
        </w:tc>
        <w:tc>
          <w:tcPr>
            <w:tcW w:w="3357" w:type="dxa"/>
            <w:tcBorders>
              <w:top w:val="nil"/>
              <w:left w:val="nil"/>
              <w:bottom w:val="single" w:sz="4" w:space="0" w:color="auto"/>
              <w:right w:val="single" w:sz="4" w:space="0" w:color="auto"/>
            </w:tcBorders>
            <w:shd w:val="clear" w:color="auto" w:fill="auto"/>
            <w:vAlign w:val="center"/>
            <w:hideMark/>
          </w:tcPr>
          <w:p w14:paraId="026CCA61" w14:textId="77777777" w:rsidR="002B2ED7" w:rsidRPr="002B2ED7" w:rsidRDefault="002B2ED7" w:rsidP="002B2ED7">
            <w:pPr>
              <w:widowControl/>
              <w:autoSpaceDE/>
              <w:autoSpaceDN/>
              <w:rPr>
                <w:rFonts w:eastAsia="Times New Roman"/>
                <w:color w:val="000000"/>
                <w:sz w:val="20"/>
                <w:szCs w:val="20"/>
                <w:lang w:eastAsia="pt-BR" w:bidi="ar-SA"/>
              </w:rPr>
            </w:pPr>
            <w:r w:rsidRPr="002B2ED7">
              <w:rPr>
                <w:rFonts w:eastAsia="Times New Roman"/>
                <w:color w:val="000000"/>
                <w:sz w:val="20"/>
                <w:szCs w:val="20"/>
                <w:lang w:eastAsia="pt-BR" w:bidi="ar-SA"/>
              </w:rPr>
              <w:t>3. Delegar 3 terminais ou áreas até dezembro de 2021</w:t>
            </w:r>
          </w:p>
        </w:tc>
        <w:tc>
          <w:tcPr>
            <w:tcW w:w="1053" w:type="dxa"/>
            <w:tcBorders>
              <w:top w:val="nil"/>
              <w:left w:val="nil"/>
              <w:bottom w:val="single" w:sz="4" w:space="0" w:color="auto"/>
              <w:right w:val="single" w:sz="4" w:space="0" w:color="auto"/>
            </w:tcBorders>
            <w:shd w:val="clear" w:color="000000" w:fill="00B050"/>
            <w:vAlign w:val="center"/>
            <w:hideMark/>
          </w:tcPr>
          <w:p w14:paraId="229CA3F6"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t>108,00%</w:t>
            </w:r>
          </w:p>
        </w:tc>
        <w:tc>
          <w:tcPr>
            <w:tcW w:w="2013" w:type="dxa"/>
            <w:tcBorders>
              <w:top w:val="nil"/>
              <w:left w:val="nil"/>
              <w:bottom w:val="single" w:sz="4" w:space="0" w:color="auto"/>
            </w:tcBorders>
            <w:shd w:val="clear" w:color="auto" w:fill="auto"/>
            <w:vAlign w:val="center"/>
            <w:hideMark/>
          </w:tcPr>
          <w:p w14:paraId="6E4ADB19" w14:textId="77777777" w:rsidR="002B2ED7" w:rsidRPr="002B2ED7" w:rsidRDefault="002B2ED7" w:rsidP="002B2ED7">
            <w:pPr>
              <w:widowControl/>
              <w:autoSpaceDE/>
              <w:autoSpaceDN/>
              <w:rPr>
                <w:rFonts w:eastAsia="Times New Roman"/>
                <w:color w:val="000000"/>
                <w:sz w:val="18"/>
                <w:szCs w:val="18"/>
                <w:lang w:eastAsia="pt-BR" w:bidi="ar-SA"/>
              </w:rPr>
            </w:pPr>
            <w:r w:rsidRPr="002B2ED7">
              <w:rPr>
                <w:rFonts w:eastAsia="Times New Roman"/>
                <w:color w:val="000000"/>
                <w:sz w:val="18"/>
                <w:szCs w:val="18"/>
                <w:lang w:eastAsia="pt-BR" w:bidi="ar-SA"/>
              </w:rPr>
              <w:t> </w:t>
            </w:r>
          </w:p>
        </w:tc>
      </w:tr>
      <w:tr w:rsidR="002B2ED7" w:rsidRPr="002B2ED7" w14:paraId="0329C899" w14:textId="77777777" w:rsidTr="002B2ED7">
        <w:trPr>
          <w:trHeight w:val="510"/>
        </w:trPr>
        <w:tc>
          <w:tcPr>
            <w:tcW w:w="1612" w:type="dxa"/>
            <w:vMerge/>
            <w:tcBorders>
              <w:top w:val="nil"/>
              <w:bottom w:val="single" w:sz="8" w:space="0" w:color="000000"/>
              <w:right w:val="single" w:sz="4" w:space="0" w:color="auto"/>
            </w:tcBorders>
            <w:vAlign w:val="center"/>
            <w:hideMark/>
          </w:tcPr>
          <w:p w14:paraId="2E60B3D1" w14:textId="77777777" w:rsidR="002B2ED7" w:rsidRPr="002B2ED7" w:rsidRDefault="002B2ED7" w:rsidP="002B2ED7">
            <w:pPr>
              <w:widowControl/>
              <w:autoSpaceDE/>
              <w:autoSpaceDN/>
              <w:rPr>
                <w:rFonts w:eastAsia="Times New Roman"/>
                <w:color w:val="000000"/>
                <w:sz w:val="20"/>
                <w:szCs w:val="20"/>
                <w:lang w:eastAsia="pt-BR" w:bidi="ar-SA"/>
              </w:rPr>
            </w:pPr>
          </w:p>
        </w:tc>
        <w:tc>
          <w:tcPr>
            <w:tcW w:w="1594" w:type="dxa"/>
            <w:vMerge/>
            <w:tcBorders>
              <w:top w:val="nil"/>
              <w:left w:val="single" w:sz="4" w:space="0" w:color="auto"/>
              <w:bottom w:val="single" w:sz="8" w:space="0" w:color="000000"/>
              <w:right w:val="single" w:sz="4" w:space="0" w:color="auto"/>
            </w:tcBorders>
            <w:vAlign w:val="center"/>
            <w:hideMark/>
          </w:tcPr>
          <w:p w14:paraId="4EDF231B" w14:textId="77777777" w:rsidR="002B2ED7" w:rsidRPr="002B2ED7" w:rsidRDefault="002B2ED7" w:rsidP="002B2ED7">
            <w:pPr>
              <w:widowControl/>
              <w:autoSpaceDE/>
              <w:autoSpaceDN/>
              <w:rPr>
                <w:rFonts w:eastAsia="Times New Roman"/>
                <w:sz w:val="20"/>
                <w:szCs w:val="20"/>
                <w:lang w:eastAsia="pt-BR" w:bidi="ar-SA"/>
              </w:rPr>
            </w:pPr>
          </w:p>
        </w:tc>
        <w:tc>
          <w:tcPr>
            <w:tcW w:w="3357" w:type="dxa"/>
            <w:tcBorders>
              <w:top w:val="nil"/>
              <w:left w:val="nil"/>
              <w:bottom w:val="single" w:sz="4" w:space="0" w:color="auto"/>
              <w:right w:val="single" w:sz="4" w:space="0" w:color="auto"/>
            </w:tcBorders>
            <w:shd w:val="clear" w:color="auto" w:fill="auto"/>
            <w:vAlign w:val="center"/>
            <w:hideMark/>
          </w:tcPr>
          <w:p w14:paraId="615295E7" w14:textId="77777777" w:rsidR="002B2ED7" w:rsidRPr="002B2ED7" w:rsidRDefault="002B2ED7" w:rsidP="002B2ED7">
            <w:pPr>
              <w:widowControl/>
              <w:autoSpaceDE/>
              <w:autoSpaceDN/>
              <w:rPr>
                <w:rFonts w:eastAsia="Times New Roman"/>
                <w:color w:val="000000"/>
                <w:sz w:val="20"/>
                <w:szCs w:val="20"/>
                <w:lang w:eastAsia="pt-BR" w:bidi="ar-SA"/>
              </w:rPr>
            </w:pPr>
            <w:r w:rsidRPr="002B2ED7">
              <w:rPr>
                <w:rFonts w:eastAsia="Times New Roman"/>
                <w:color w:val="000000"/>
                <w:sz w:val="20"/>
                <w:szCs w:val="20"/>
                <w:lang w:eastAsia="pt-BR" w:bidi="ar-SA"/>
              </w:rPr>
              <w:t>4. Pesquisar 4 segmentos de mercado até dezembro de 2021</w:t>
            </w:r>
          </w:p>
        </w:tc>
        <w:tc>
          <w:tcPr>
            <w:tcW w:w="1053" w:type="dxa"/>
            <w:tcBorders>
              <w:top w:val="nil"/>
              <w:left w:val="nil"/>
              <w:bottom w:val="single" w:sz="4" w:space="0" w:color="auto"/>
              <w:right w:val="single" w:sz="4" w:space="0" w:color="auto"/>
            </w:tcBorders>
            <w:shd w:val="clear" w:color="000000" w:fill="00B050"/>
            <w:vAlign w:val="center"/>
            <w:hideMark/>
          </w:tcPr>
          <w:p w14:paraId="384DA99E"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t>100,00%</w:t>
            </w:r>
          </w:p>
        </w:tc>
        <w:tc>
          <w:tcPr>
            <w:tcW w:w="2013" w:type="dxa"/>
            <w:tcBorders>
              <w:top w:val="nil"/>
              <w:left w:val="nil"/>
              <w:bottom w:val="single" w:sz="4" w:space="0" w:color="auto"/>
            </w:tcBorders>
            <w:shd w:val="clear" w:color="auto" w:fill="auto"/>
            <w:vAlign w:val="center"/>
            <w:hideMark/>
          </w:tcPr>
          <w:p w14:paraId="1670DF0E" w14:textId="77777777" w:rsidR="002B2ED7" w:rsidRPr="002B2ED7" w:rsidRDefault="002B2ED7" w:rsidP="002B2ED7">
            <w:pPr>
              <w:widowControl/>
              <w:autoSpaceDE/>
              <w:autoSpaceDN/>
              <w:rPr>
                <w:rFonts w:eastAsia="Times New Roman"/>
                <w:color w:val="000000"/>
                <w:sz w:val="18"/>
                <w:szCs w:val="18"/>
                <w:lang w:eastAsia="pt-BR" w:bidi="ar-SA"/>
              </w:rPr>
            </w:pPr>
            <w:r w:rsidRPr="002B2ED7">
              <w:rPr>
                <w:rFonts w:eastAsia="Times New Roman"/>
                <w:color w:val="000000"/>
                <w:sz w:val="18"/>
                <w:szCs w:val="18"/>
                <w:lang w:eastAsia="pt-BR" w:bidi="ar-SA"/>
              </w:rPr>
              <w:t> </w:t>
            </w:r>
          </w:p>
        </w:tc>
      </w:tr>
      <w:tr w:rsidR="002B2ED7" w:rsidRPr="002B2ED7" w14:paraId="4AA3FD65" w14:textId="77777777" w:rsidTr="002B2ED7">
        <w:trPr>
          <w:trHeight w:val="765"/>
        </w:trPr>
        <w:tc>
          <w:tcPr>
            <w:tcW w:w="1612" w:type="dxa"/>
            <w:vMerge/>
            <w:tcBorders>
              <w:top w:val="nil"/>
              <w:bottom w:val="single" w:sz="8" w:space="0" w:color="000000"/>
              <w:right w:val="single" w:sz="4" w:space="0" w:color="auto"/>
            </w:tcBorders>
            <w:vAlign w:val="center"/>
            <w:hideMark/>
          </w:tcPr>
          <w:p w14:paraId="75014502" w14:textId="77777777" w:rsidR="002B2ED7" w:rsidRPr="002B2ED7" w:rsidRDefault="002B2ED7" w:rsidP="002B2ED7">
            <w:pPr>
              <w:widowControl/>
              <w:autoSpaceDE/>
              <w:autoSpaceDN/>
              <w:rPr>
                <w:rFonts w:eastAsia="Times New Roman"/>
                <w:color w:val="000000"/>
                <w:sz w:val="20"/>
                <w:szCs w:val="20"/>
                <w:lang w:eastAsia="pt-BR" w:bidi="ar-SA"/>
              </w:rPr>
            </w:pPr>
          </w:p>
        </w:tc>
        <w:tc>
          <w:tcPr>
            <w:tcW w:w="1594" w:type="dxa"/>
            <w:vMerge/>
            <w:tcBorders>
              <w:top w:val="nil"/>
              <w:left w:val="single" w:sz="4" w:space="0" w:color="auto"/>
              <w:bottom w:val="single" w:sz="8" w:space="0" w:color="000000"/>
              <w:right w:val="single" w:sz="4" w:space="0" w:color="auto"/>
            </w:tcBorders>
            <w:vAlign w:val="center"/>
            <w:hideMark/>
          </w:tcPr>
          <w:p w14:paraId="4CC15D1B" w14:textId="77777777" w:rsidR="002B2ED7" w:rsidRPr="002B2ED7" w:rsidRDefault="002B2ED7" w:rsidP="002B2ED7">
            <w:pPr>
              <w:widowControl/>
              <w:autoSpaceDE/>
              <w:autoSpaceDN/>
              <w:rPr>
                <w:rFonts w:eastAsia="Times New Roman"/>
                <w:sz w:val="20"/>
                <w:szCs w:val="20"/>
                <w:lang w:eastAsia="pt-BR" w:bidi="ar-SA"/>
              </w:rPr>
            </w:pPr>
          </w:p>
        </w:tc>
        <w:tc>
          <w:tcPr>
            <w:tcW w:w="3357" w:type="dxa"/>
            <w:tcBorders>
              <w:top w:val="nil"/>
              <w:left w:val="nil"/>
              <w:bottom w:val="single" w:sz="4" w:space="0" w:color="auto"/>
              <w:right w:val="single" w:sz="4" w:space="0" w:color="auto"/>
            </w:tcBorders>
            <w:shd w:val="clear" w:color="auto" w:fill="auto"/>
            <w:vAlign w:val="center"/>
            <w:hideMark/>
          </w:tcPr>
          <w:p w14:paraId="311DBDA2" w14:textId="77777777" w:rsidR="002B2ED7" w:rsidRPr="002B2ED7" w:rsidRDefault="002B2ED7" w:rsidP="002B2ED7">
            <w:pPr>
              <w:widowControl/>
              <w:autoSpaceDE/>
              <w:autoSpaceDN/>
              <w:rPr>
                <w:rFonts w:eastAsia="Times New Roman"/>
                <w:color w:val="000000"/>
                <w:sz w:val="20"/>
                <w:szCs w:val="20"/>
                <w:lang w:eastAsia="pt-BR" w:bidi="ar-SA"/>
              </w:rPr>
            </w:pPr>
            <w:r w:rsidRPr="002B2ED7">
              <w:rPr>
                <w:rFonts w:eastAsia="Times New Roman"/>
                <w:color w:val="000000"/>
                <w:sz w:val="20"/>
                <w:szCs w:val="20"/>
                <w:lang w:eastAsia="pt-BR" w:bidi="ar-SA"/>
              </w:rPr>
              <w:t xml:space="preserve">5. Desenvolver estudos e instrumentos para subsidiar a implantação do DTe até junho de 2022 </w:t>
            </w:r>
          </w:p>
        </w:tc>
        <w:tc>
          <w:tcPr>
            <w:tcW w:w="1053" w:type="dxa"/>
            <w:tcBorders>
              <w:top w:val="nil"/>
              <w:left w:val="nil"/>
              <w:bottom w:val="single" w:sz="4" w:space="0" w:color="auto"/>
              <w:right w:val="single" w:sz="4" w:space="0" w:color="auto"/>
            </w:tcBorders>
            <w:shd w:val="clear" w:color="000000" w:fill="66FF33"/>
            <w:vAlign w:val="center"/>
            <w:hideMark/>
          </w:tcPr>
          <w:p w14:paraId="5D00CE1C"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t>66,00%</w:t>
            </w:r>
          </w:p>
        </w:tc>
        <w:tc>
          <w:tcPr>
            <w:tcW w:w="2013" w:type="dxa"/>
            <w:tcBorders>
              <w:top w:val="nil"/>
              <w:left w:val="nil"/>
              <w:bottom w:val="single" w:sz="4" w:space="0" w:color="auto"/>
            </w:tcBorders>
            <w:shd w:val="clear" w:color="auto" w:fill="auto"/>
            <w:vAlign w:val="center"/>
            <w:hideMark/>
          </w:tcPr>
          <w:p w14:paraId="02EFF559" w14:textId="77777777" w:rsidR="002B2ED7" w:rsidRPr="002B2ED7" w:rsidRDefault="002B2ED7" w:rsidP="002B2ED7">
            <w:pPr>
              <w:widowControl/>
              <w:autoSpaceDE/>
              <w:autoSpaceDN/>
              <w:rPr>
                <w:rFonts w:eastAsia="Times New Roman"/>
                <w:color w:val="000000"/>
                <w:sz w:val="18"/>
                <w:szCs w:val="18"/>
                <w:lang w:eastAsia="pt-BR" w:bidi="ar-SA"/>
              </w:rPr>
            </w:pPr>
            <w:r w:rsidRPr="002B2ED7">
              <w:rPr>
                <w:rFonts w:eastAsia="Times New Roman"/>
                <w:color w:val="000000"/>
                <w:sz w:val="18"/>
                <w:szCs w:val="18"/>
                <w:lang w:eastAsia="pt-BR" w:bidi="ar-SA"/>
              </w:rPr>
              <w:t>Essa iniciativa também está na lista de iniciativas do Objetivo 3.1, mas o escopo do plano de ação é diferente.</w:t>
            </w:r>
          </w:p>
        </w:tc>
      </w:tr>
      <w:tr w:rsidR="002B2ED7" w:rsidRPr="002B2ED7" w14:paraId="338B3118" w14:textId="77777777" w:rsidTr="002B2ED7">
        <w:trPr>
          <w:trHeight w:val="525"/>
        </w:trPr>
        <w:tc>
          <w:tcPr>
            <w:tcW w:w="1612" w:type="dxa"/>
            <w:vMerge/>
            <w:tcBorders>
              <w:top w:val="nil"/>
              <w:bottom w:val="single" w:sz="8" w:space="0" w:color="000000"/>
              <w:right w:val="single" w:sz="4" w:space="0" w:color="auto"/>
            </w:tcBorders>
            <w:vAlign w:val="center"/>
            <w:hideMark/>
          </w:tcPr>
          <w:p w14:paraId="103CF007" w14:textId="77777777" w:rsidR="002B2ED7" w:rsidRPr="002B2ED7" w:rsidRDefault="002B2ED7" w:rsidP="002B2ED7">
            <w:pPr>
              <w:widowControl/>
              <w:autoSpaceDE/>
              <w:autoSpaceDN/>
              <w:rPr>
                <w:rFonts w:eastAsia="Times New Roman"/>
                <w:color w:val="000000"/>
                <w:sz w:val="20"/>
                <w:szCs w:val="20"/>
                <w:lang w:eastAsia="pt-BR" w:bidi="ar-SA"/>
              </w:rPr>
            </w:pPr>
          </w:p>
        </w:tc>
        <w:tc>
          <w:tcPr>
            <w:tcW w:w="1594" w:type="dxa"/>
            <w:vMerge/>
            <w:tcBorders>
              <w:top w:val="nil"/>
              <w:left w:val="single" w:sz="4" w:space="0" w:color="auto"/>
              <w:bottom w:val="single" w:sz="8" w:space="0" w:color="000000"/>
              <w:right w:val="single" w:sz="4" w:space="0" w:color="auto"/>
            </w:tcBorders>
            <w:vAlign w:val="center"/>
            <w:hideMark/>
          </w:tcPr>
          <w:p w14:paraId="0CD0E8FB" w14:textId="77777777" w:rsidR="002B2ED7" w:rsidRPr="002B2ED7" w:rsidRDefault="002B2ED7" w:rsidP="002B2ED7">
            <w:pPr>
              <w:widowControl/>
              <w:autoSpaceDE/>
              <w:autoSpaceDN/>
              <w:rPr>
                <w:rFonts w:eastAsia="Times New Roman"/>
                <w:sz w:val="20"/>
                <w:szCs w:val="20"/>
                <w:lang w:eastAsia="pt-BR" w:bidi="ar-SA"/>
              </w:rPr>
            </w:pPr>
          </w:p>
        </w:tc>
        <w:tc>
          <w:tcPr>
            <w:tcW w:w="3357" w:type="dxa"/>
            <w:tcBorders>
              <w:top w:val="nil"/>
              <w:left w:val="nil"/>
              <w:bottom w:val="single" w:sz="8" w:space="0" w:color="auto"/>
              <w:right w:val="single" w:sz="4" w:space="0" w:color="auto"/>
            </w:tcBorders>
            <w:shd w:val="clear" w:color="auto" w:fill="auto"/>
            <w:vAlign w:val="center"/>
            <w:hideMark/>
          </w:tcPr>
          <w:p w14:paraId="45868DA5" w14:textId="77777777" w:rsidR="002B2ED7" w:rsidRPr="002B2ED7" w:rsidRDefault="002B2ED7" w:rsidP="002B2ED7">
            <w:pPr>
              <w:widowControl/>
              <w:autoSpaceDE/>
              <w:autoSpaceDN/>
              <w:rPr>
                <w:rFonts w:eastAsia="Times New Roman"/>
                <w:color w:val="000000"/>
                <w:sz w:val="20"/>
                <w:szCs w:val="20"/>
                <w:lang w:eastAsia="pt-BR" w:bidi="ar-SA"/>
              </w:rPr>
            </w:pPr>
            <w:r w:rsidRPr="002B2ED7">
              <w:rPr>
                <w:rFonts w:eastAsia="Times New Roman"/>
                <w:color w:val="000000"/>
                <w:sz w:val="20"/>
                <w:szCs w:val="20"/>
                <w:lang w:eastAsia="pt-BR" w:bidi="ar-SA"/>
              </w:rPr>
              <w:t>6. Promover 05 benchmarkings de mercado até dezembro de 2021</w:t>
            </w:r>
          </w:p>
        </w:tc>
        <w:tc>
          <w:tcPr>
            <w:tcW w:w="1053" w:type="dxa"/>
            <w:tcBorders>
              <w:top w:val="nil"/>
              <w:left w:val="nil"/>
              <w:bottom w:val="single" w:sz="8" w:space="0" w:color="auto"/>
              <w:right w:val="single" w:sz="4" w:space="0" w:color="auto"/>
            </w:tcBorders>
            <w:shd w:val="clear" w:color="000000" w:fill="00B050"/>
            <w:vAlign w:val="center"/>
            <w:hideMark/>
          </w:tcPr>
          <w:p w14:paraId="55F4D014"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t>100,00%</w:t>
            </w:r>
          </w:p>
        </w:tc>
        <w:tc>
          <w:tcPr>
            <w:tcW w:w="2013" w:type="dxa"/>
            <w:tcBorders>
              <w:top w:val="nil"/>
              <w:left w:val="nil"/>
              <w:bottom w:val="single" w:sz="8" w:space="0" w:color="auto"/>
            </w:tcBorders>
            <w:shd w:val="clear" w:color="auto" w:fill="auto"/>
            <w:vAlign w:val="center"/>
            <w:hideMark/>
          </w:tcPr>
          <w:p w14:paraId="2BDF60A4" w14:textId="77777777" w:rsidR="002B2ED7" w:rsidRPr="002B2ED7" w:rsidRDefault="002B2ED7" w:rsidP="002B2ED7">
            <w:pPr>
              <w:widowControl/>
              <w:autoSpaceDE/>
              <w:autoSpaceDN/>
              <w:rPr>
                <w:rFonts w:eastAsia="Times New Roman"/>
                <w:color w:val="000000"/>
                <w:sz w:val="18"/>
                <w:szCs w:val="18"/>
                <w:lang w:eastAsia="pt-BR" w:bidi="ar-SA"/>
              </w:rPr>
            </w:pPr>
            <w:r w:rsidRPr="002B2ED7">
              <w:rPr>
                <w:rFonts w:eastAsia="Times New Roman"/>
                <w:color w:val="000000"/>
                <w:sz w:val="18"/>
                <w:szCs w:val="18"/>
                <w:lang w:eastAsia="pt-BR" w:bidi="ar-SA"/>
              </w:rPr>
              <w:t> </w:t>
            </w:r>
          </w:p>
        </w:tc>
      </w:tr>
      <w:tr w:rsidR="002B2ED7" w:rsidRPr="002B2ED7" w14:paraId="26941D84" w14:textId="77777777" w:rsidTr="002B2ED7">
        <w:trPr>
          <w:trHeight w:val="765"/>
        </w:trPr>
        <w:tc>
          <w:tcPr>
            <w:tcW w:w="1612" w:type="dxa"/>
            <w:vMerge w:val="restart"/>
            <w:tcBorders>
              <w:top w:val="nil"/>
              <w:bottom w:val="single" w:sz="8" w:space="0" w:color="000000"/>
              <w:right w:val="single" w:sz="4" w:space="0" w:color="auto"/>
            </w:tcBorders>
            <w:shd w:val="clear" w:color="auto" w:fill="auto"/>
            <w:vAlign w:val="center"/>
            <w:hideMark/>
          </w:tcPr>
          <w:p w14:paraId="7DE7446D"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lastRenderedPageBreak/>
              <w:t>Objetivo 2.2 - Promover melhoria contínua em estudos, projetos e obras para o sistema ferroviário</w:t>
            </w:r>
          </w:p>
        </w:tc>
        <w:tc>
          <w:tcPr>
            <w:tcW w:w="1594" w:type="dxa"/>
            <w:vMerge w:val="restart"/>
            <w:tcBorders>
              <w:top w:val="nil"/>
              <w:left w:val="single" w:sz="4" w:space="0" w:color="auto"/>
              <w:bottom w:val="single" w:sz="8" w:space="0" w:color="000000"/>
              <w:right w:val="single" w:sz="4" w:space="0" w:color="auto"/>
            </w:tcBorders>
            <w:shd w:val="clear" w:color="000000" w:fill="00B050"/>
            <w:vAlign w:val="center"/>
            <w:hideMark/>
          </w:tcPr>
          <w:p w14:paraId="2C38FA37" w14:textId="77777777" w:rsidR="002B2ED7" w:rsidRPr="002B2ED7" w:rsidRDefault="002B2ED7" w:rsidP="002B2ED7">
            <w:pPr>
              <w:widowControl/>
              <w:autoSpaceDE/>
              <w:autoSpaceDN/>
              <w:jc w:val="center"/>
              <w:rPr>
                <w:rFonts w:eastAsia="Times New Roman"/>
                <w:sz w:val="20"/>
                <w:szCs w:val="20"/>
                <w:lang w:eastAsia="pt-BR" w:bidi="ar-SA"/>
              </w:rPr>
            </w:pPr>
            <w:r w:rsidRPr="002B2ED7">
              <w:rPr>
                <w:rFonts w:eastAsia="Times New Roman"/>
                <w:sz w:val="20"/>
                <w:szCs w:val="20"/>
                <w:lang w:eastAsia="pt-BR" w:bidi="ar-SA"/>
              </w:rPr>
              <w:t>89,29%</w:t>
            </w:r>
          </w:p>
        </w:tc>
        <w:tc>
          <w:tcPr>
            <w:tcW w:w="3357" w:type="dxa"/>
            <w:tcBorders>
              <w:top w:val="nil"/>
              <w:left w:val="nil"/>
              <w:bottom w:val="single" w:sz="4" w:space="0" w:color="auto"/>
              <w:right w:val="single" w:sz="4" w:space="0" w:color="auto"/>
            </w:tcBorders>
            <w:shd w:val="clear" w:color="auto" w:fill="auto"/>
            <w:vAlign w:val="center"/>
            <w:hideMark/>
          </w:tcPr>
          <w:p w14:paraId="20E3EA1F" w14:textId="77777777" w:rsidR="002B2ED7" w:rsidRPr="002B2ED7" w:rsidRDefault="002B2ED7" w:rsidP="002B2ED7">
            <w:pPr>
              <w:widowControl/>
              <w:autoSpaceDE/>
              <w:autoSpaceDN/>
              <w:rPr>
                <w:rFonts w:eastAsia="Times New Roman"/>
                <w:color w:val="000000"/>
                <w:sz w:val="20"/>
                <w:szCs w:val="20"/>
                <w:lang w:eastAsia="pt-BR" w:bidi="ar-SA"/>
              </w:rPr>
            </w:pPr>
            <w:r w:rsidRPr="002B2ED7">
              <w:rPr>
                <w:rFonts w:eastAsia="Times New Roman"/>
                <w:color w:val="000000"/>
                <w:sz w:val="20"/>
                <w:szCs w:val="20"/>
                <w:lang w:eastAsia="pt-BR" w:bidi="ar-SA"/>
              </w:rPr>
              <w:t>1. 03 parcerias com instituições renomadas para cooperação técnica e internalização de conhecimento até dezembro de 2021</w:t>
            </w:r>
          </w:p>
        </w:tc>
        <w:tc>
          <w:tcPr>
            <w:tcW w:w="1053" w:type="dxa"/>
            <w:tcBorders>
              <w:top w:val="nil"/>
              <w:left w:val="nil"/>
              <w:bottom w:val="single" w:sz="4" w:space="0" w:color="auto"/>
              <w:right w:val="single" w:sz="4" w:space="0" w:color="auto"/>
            </w:tcBorders>
            <w:shd w:val="clear" w:color="000000" w:fill="66FF33"/>
            <w:vAlign w:val="center"/>
            <w:hideMark/>
          </w:tcPr>
          <w:p w14:paraId="62996E71"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t>66,67%</w:t>
            </w:r>
          </w:p>
        </w:tc>
        <w:tc>
          <w:tcPr>
            <w:tcW w:w="2013" w:type="dxa"/>
            <w:tcBorders>
              <w:top w:val="nil"/>
              <w:left w:val="nil"/>
              <w:bottom w:val="single" w:sz="4" w:space="0" w:color="auto"/>
            </w:tcBorders>
            <w:shd w:val="clear" w:color="auto" w:fill="auto"/>
            <w:vAlign w:val="center"/>
            <w:hideMark/>
          </w:tcPr>
          <w:p w14:paraId="332ED452" w14:textId="77777777" w:rsidR="002B2ED7" w:rsidRPr="002B2ED7" w:rsidRDefault="002B2ED7" w:rsidP="002B2ED7">
            <w:pPr>
              <w:widowControl/>
              <w:autoSpaceDE/>
              <w:autoSpaceDN/>
              <w:rPr>
                <w:rFonts w:eastAsia="Times New Roman"/>
                <w:color w:val="000000"/>
                <w:sz w:val="18"/>
                <w:szCs w:val="18"/>
                <w:lang w:eastAsia="pt-BR" w:bidi="ar-SA"/>
              </w:rPr>
            </w:pPr>
            <w:r w:rsidRPr="002B2ED7">
              <w:rPr>
                <w:rFonts w:eastAsia="Times New Roman"/>
                <w:color w:val="000000"/>
                <w:sz w:val="18"/>
                <w:szCs w:val="18"/>
                <w:lang w:eastAsia="pt-BR" w:bidi="ar-SA"/>
              </w:rPr>
              <w:t> </w:t>
            </w:r>
          </w:p>
        </w:tc>
      </w:tr>
      <w:tr w:rsidR="002B2ED7" w:rsidRPr="002B2ED7" w14:paraId="4B31621E" w14:textId="77777777" w:rsidTr="002B2ED7">
        <w:trPr>
          <w:trHeight w:val="1020"/>
        </w:trPr>
        <w:tc>
          <w:tcPr>
            <w:tcW w:w="1612" w:type="dxa"/>
            <w:vMerge/>
            <w:tcBorders>
              <w:top w:val="nil"/>
              <w:bottom w:val="single" w:sz="8" w:space="0" w:color="000000"/>
              <w:right w:val="single" w:sz="4" w:space="0" w:color="auto"/>
            </w:tcBorders>
            <w:vAlign w:val="center"/>
            <w:hideMark/>
          </w:tcPr>
          <w:p w14:paraId="1B3D0E9F" w14:textId="77777777" w:rsidR="002B2ED7" w:rsidRPr="002B2ED7" w:rsidRDefault="002B2ED7" w:rsidP="002B2ED7">
            <w:pPr>
              <w:widowControl/>
              <w:autoSpaceDE/>
              <w:autoSpaceDN/>
              <w:rPr>
                <w:rFonts w:eastAsia="Times New Roman"/>
                <w:color w:val="000000"/>
                <w:sz w:val="20"/>
                <w:szCs w:val="20"/>
                <w:lang w:eastAsia="pt-BR" w:bidi="ar-SA"/>
              </w:rPr>
            </w:pPr>
          </w:p>
        </w:tc>
        <w:tc>
          <w:tcPr>
            <w:tcW w:w="1594" w:type="dxa"/>
            <w:vMerge/>
            <w:tcBorders>
              <w:top w:val="nil"/>
              <w:left w:val="single" w:sz="4" w:space="0" w:color="auto"/>
              <w:bottom w:val="single" w:sz="8" w:space="0" w:color="000000"/>
              <w:right w:val="single" w:sz="4" w:space="0" w:color="auto"/>
            </w:tcBorders>
            <w:vAlign w:val="center"/>
            <w:hideMark/>
          </w:tcPr>
          <w:p w14:paraId="1066B00C" w14:textId="77777777" w:rsidR="002B2ED7" w:rsidRPr="002B2ED7" w:rsidRDefault="002B2ED7" w:rsidP="002B2ED7">
            <w:pPr>
              <w:widowControl/>
              <w:autoSpaceDE/>
              <w:autoSpaceDN/>
              <w:rPr>
                <w:rFonts w:eastAsia="Times New Roman"/>
                <w:sz w:val="20"/>
                <w:szCs w:val="20"/>
                <w:lang w:eastAsia="pt-BR" w:bidi="ar-SA"/>
              </w:rPr>
            </w:pPr>
          </w:p>
        </w:tc>
        <w:tc>
          <w:tcPr>
            <w:tcW w:w="3357" w:type="dxa"/>
            <w:tcBorders>
              <w:top w:val="nil"/>
              <w:left w:val="nil"/>
              <w:bottom w:val="single" w:sz="4" w:space="0" w:color="auto"/>
              <w:right w:val="single" w:sz="4" w:space="0" w:color="auto"/>
            </w:tcBorders>
            <w:shd w:val="clear" w:color="auto" w:fill="auto"/>
            <w:vAlign w:val="center"/>
            <w:hideMark/>
          </w:tcPr>
          <w:p w14:paraId="4E7C7E5F" w14:textId="77777777" w:rsidR="002B2ED7" w:rsidRPr="002B2ED7" w:rsidRDefault="002B2ED7" w:rsidP="002B2ED7">
            <w:pPr>
              <w:widowControl/>
              <w:autoSpaceDE/>
              <w:autoSpaceDN/>
              <w:rPr>
                <w:rFonts w:eastAsia="Times New Roman"/>
                <w:color w:val="000000"/>
                <w:sz w:val="20"/>
                <w:szCs w:val="20"/>
                <w:lang w:eastAsia="pt-BR" w:bidi="ar-SA"/>
              </w:rPr>
            </w:pPr>
            <w:r w:rsidRPr="002B2ED7">
              <w:rPr>
                <w:rFonts w:eastAsia="Times New Roman"/>
                <w:color w:val="000000"/>
                <w:sz w:val="20"/>
                <w:szCs w:val="20"/>
                <w:lang w:eastAsia="pt-BR" w:bidi="ar-SA"/>
              </w:rPr>
              <w:t xml:space="preserve">2. “100% das etapas de contratação da ABNT finalizadas”, “5 normativos técnicos revisados” e “100% normativos disponibilizados” </w:t>
            </w:r>
          </w:p>
        </w:tc>
        <w:tc>
          <w:tcPr>
            <w:tcW w:w="1053" w:type="dxa"/>
            <w:tcBorders>
              <w:top w:val="nil"/>
              <w:left w:val="nil"/>
              <w:bottom w:val="single" w:sz="4" w:space="0" w:color="auto"/>
              <w:right w:val="single" w:sz="4" w:space="0" w:color="auto"/>
            </w:tcBorders>
            <w:shd w:val="clear" w:color="000000" w:fill="00B050"/>
            <w:vAlign w:val="center"/>
            <w:hideMark/>
          </w:tcPr>
          <w:p w14:paraId="1908DD54"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t>98,00%</w:t>
            </w:r>
          </w:p>
        </w:tc>
        <w:tc>
          <w:tcPr>
            <w:tcW w:w="2013" w:type="dxa"/>
            <w:tcBorders>
              <w:top w:val="nil"/>
              <w:left w:val="nil"/>
              <w:bottom w:val="single" w:sz="4" w:space="0" w:color="auto"/>
            </w:tcBorders>
            <w:shd w:val="clear" w:color="auto" w:fill="auto"/>
            <w:vAlign w:val="center"/>
            <w:hideMark/>
          </w:tcPr>
          <w:p w14:paraId="041F98B1" w14:textId="77777777" w:rsidR="002B2ED7" w:rsidRPr="002B2ED7" w:rsidRDefault="002B2ED7" w:rsidP="002B2ED7">
            <w:pPr>
              <w:widowControl/>
              <w:autoSpaceDE/>
              <w:autoSpaceDN/>
              <w:rPr>
                <w:rFonts w:eastAsia="Times New Roman"/>
                <w:color w:val="000000"/>
                <w:sz w:val="18"/>
                <w:szCs w:val="18"/>
                <w:lang w:eastAsia="pt-BR" w:bidi="ar-SA"/>
              </w:rPr>
            </w:pPr>
            <w:r w:rsidRPr="002B2ED7">
              <w:rPr>
                <w:rFonts w:eastAsia="Times New Roman"/>
                <w:color w:val="000000"/>
                <w:sz w:val="18"/>
                <w:szCs w:val="18"/>
                <w:lang w:eastAsia="pt-BR" w:bidi="ar-SA"/>
              </w:rPr>
              <w:t> </w:t>
            </w:r>
          </w:p>
        </w:tc>
      </w:tr>
      <w:tr w:rsidR="002B2ED7" w:rsidRPr="002B2ED7" w14:paraId="648AF465" w14:textId="77777777" w:rsidTr="002B2ED7">
        <w:trPr>
          <w:trHeight w:val="510"/>
        </w:trPr>
        <w:tc>
          <w:tcPr>
            <w:tcW w:w="1612" w:type="dxa"/>
            <w:vMerge/>
            <w:tcBorders>
              <w:top w:val="nil"/>
              <w:bottom w:val="single" w:sz="8" w:space="0" w:color="000000"/>
              <w:right w:val="single" w:sz="4" w:space="0" w:color="auto"/>
            </w:tcBorders>
            <w:vAlign w:val="center"/>
            <w:hideMark/>
          </w:tcPr>
          <w:p w14:paraId="408DEBFF" w14:textId="77777777" w:rsidR="002B2ED7" w:rsidRPr="002B2ED7" w:rsidRDefault="002B2ED7" w:rsidP="002B2ED7">
            <w:pPr>
              <w:widowControl/>
              <w:autoSpaceDE/>
              <w:autoSpaceDN/>
              <w:rPr>
                <w:rFonts w:eastAsia="Times New Roman"/>
                <w:color w:val="000000"/>
                <w:sz w:val="20"/>
                <w:szCs w:val="20"/>
                <w:lang w:eastAsia="pt-BR" w:bidi="ar-SA"/>
              </w:rPr>
            </w:pPr>
          </w:p>
        </w:tc>
        <w:tc>
          <w:tcPr>
            <w:tcW w:w="1594" w:type="dxa"/>
            <w:vMerge/>
            <w:tcBorders>
              <w:top w:val="nil"/>
              <w:left w:val="single" w:sz="4" w:space="0" w:color="auto"/>
              <w:bottom w:val="single" w:sz="8" w:space="0" w:color="000000"/>
              <w:right w:val="single" w:sz="4" w:space="0" w:color="auto"/>
            </w:tcBorders>
            <w:vAlign w:val="center"/>
            <w:hideMark/>
          </w:tcPr>
          <w:p w14:paraId="1FA359F9" w14:textId="77777777" w:rsidR="002B2ED7" w:rsidRPr="002B2ED7" w:rsidRDefault="002B2ED7" w:rsidP="002B2ED7">
            <w:pPr>
              <w:widowControl/>
              <w:autoSpaceDE/>
              <w:autoSpaceDN/>
              <w:rPr>
                <w:rFonts w:eastAsia="Times New Roman"/>
                <w:sz w:val="20"/>
                <w:szCs w:val="20"/>
                <w:lang w:eastAsia="pt-BR" w:bidi="ar-SA"/>
              </w:rPr>
            </w:pPr>
          </w:p>
        </w:tc>
        <w:tc>
          <w:tcPr>
            <w:tcW w:w="3357" w:type="dxa"/>
            <w:tcBorders>
              <w:top w:val="nil"/>
              <w:left w:val="nil"/>
              <w:bottom w:val="single" w:sz="4" w:space="0" w:color="auto"/>
              <w:right w:val="single" w:sz="4" w:space="0" w:color="auto"/>
            </w:tcBorders>
            <w:shd w:val="clear" w:color="auto" w:fill="auto"/>
            <w:vAlign w:val="center"/>
            <w:hideMark/>
          </w:tcPr>
          <w:p w14:paraId="58BF721C" w14:textId="77777777" w:rsidR="002B2ED7" w:rsidRPr="002B2ED7" w:rsidRDefault="002B2ED7" w:rsidP="002B2ED7">
            <w:pPr>
              <w:widowControl/>
              <w:autoSpaceDE/>
              <w:autoSpaceDN/>
              <w:rPr>
                <w:rFonts w:eastAsia="Times New Roman"/>
                <w:color w:val="000000"/>
                <w:sz w:val="20"/>
                <w:szCs w:val="20"/>
                <w:lang w:eastAsia="pt-BR" w:bidi="ar-SA"/>
              </w:rPr>
            </w:pPr>
            <w:r w:rsidRPr="002B2ED7">
              <w:rPr>
                <w:rFonts w:eastAsia="Times New Roman"/>
                <w:color w:val="000000"/>
                <w:sz w:val="20"/>
                <w:szCs w:val="20"/>
                <w:lang w:eastAsia="pt-BR" w:bidi="ar-SA"/>
              </w:rPr>
              <w:t>3. Finalizar 100% das etapas para Implantação do BIM na Valec</w:t>
            </w:r>
          </w:p>
        </w:tc>
        <w:tc>
          <w:tcPr>
            <w:tcW w:w="1053" w:type="dxa"/>
            <w:tcBorders>
              <w:top w:val="nil"/>
              <w:left w:val="nil"/>
              <w:bottom w:val="single" w:sz="4" w:space="0" w:color="auto"/>
              <w:right w:val="single" w:sz="4" w:space="0" w:color="auto"/>
            </w:tcBorders>
            <w:shd w:val="clear" w:color="000000" w:fill="00B050"/>
            <w:vAlign w:val="center"/>
            <w:hideMark/>
          </w:tcPr>
          <w:p w14:paraId="43896F0B"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t>92,50%</w:t>
            </w:r>
          </w:p>
        </w:tc>
        <w:tc>
          <w:tcPr>
            <w:tcW w:w="2013" w:type="dxa"/>
            <w:tcBorders>
              <w:top w:val="nil"/>
              <w:left w:val="nil"/>
              <w:bottom w:val="single" w:sz="4" w:space="0" w:color="auto"/>
            </w:tcBorders>
            <w:shd w:val="clear" w:color="auto" w:fill="auto"/>
            <w:vAlign w:val="center"/>
            <w:hideMark/>
          </w:tcPr>
          <w:p w14:paraId="0A75CECB" w14:textId="77777777" w:rsidR="002B2ED7" w:rsidRPr="002B2ED7" w:rsidRDefault="002B2ED7" w:rsidP="002B2ED7">
            <w:pPr>
              <w:widowControl/>
              <w:autoSpaceDE/>
              <w:autoSpaceDN/>
              <w:rPr>
                <w:rFonts w:eastAsia="Times New Roman"/>
                <w:color w:val="000000"/>
                <w:sz w:val="18"/>
                <w:szCs w:val="18"/>
                <w:lang w:eastAsia="pt-BR" w:bidi="ar-SA"/>
              </w:rPr>
            </w:pPr>
            <w:r w:rsidRPr="002B2ED7">
              <w:rPr>
                <w:rFonts w:eastAsia="Times New Roman"/>
                <w:color w:val="000000"/>
                <w:sz w:val="18"/>
                <w:szCs w:val="18"/>
                <w:lang w:eastAsia="pt-BR" w:bidi="ar-SA"/>
              </w:rPr>
              <w:t> </w:t>
            </w:r>
          </w:p>
        </w:tc>
      </w:tr>
      <w:tr w:rsidR="002B2ED7" w:rsidRPr="002B2ED7" w14:paraId="6D5C201D" w14:textId="77777777" w:rsidTr="002B2ED7">
        <w:trPr>
          <w:trHeight w:val="510"/>
        </w:trPr>
        <w:tc>
          <w:tcPr>
            <w:tcW w:w="1612" w:type="dxa"/>
            <w:vMerge/>
            <w:tcBorders>
              <w:top w:val="nil"/>
              <w:bottom w:val="single" w:sz="8" w:space="0" w:color="000000"/>
              <w:right w:val="single" w:sz="4" w:space="0" w:color="auto"/>
            </w:tcBorders>
            <w:vAlign w:val="center"/>
            <w:hideMark/>
          </w:tcPr>
          <w:p w14:paraId="41CEBECD" w14:textId="77777777" w:rsidR="002B2ED7" w:rsidRPr="002B2ED7" w:rsidRDefault="002B2ED7" w:rsidP="002B2ED7">
            <w:pPr>
              <w:widowControl/>
              <w:autoSpaceDE/>
              <w:autoSpaceDN/>
              <w:rPr>
                <w:rFonts w:eastAsia="Times New Roman"/>
                <w:color w:val="000000"/>
                <w:sz w:val="20"/>
                <w:szCs w:val="20"/>
                <w:lang w:eastAsia="pt-BR" w:bidi="ar-SA"/>
              </w:rPr>
            </w:pPr>
          </w:p>
        </w:tc>
        <w:tc>
          <w:tcPr>
            <w:tcW w:w="1594" w:type="dxa"/>
            <w:vMerge/>
            <w:tcBorders>
              <w:top w:val="nil"/>
              <w:left w:val="single" w:sz="4" w:space="0" w:color="auto"/>
              <w:bottom w:val="single" w:sz="8" w:space="0" w:color="000000"/>
              <w:right w:val="single" w:sz="4" w:space="0" w:color="auto"/>
            </w:tcBorders>
            <w:vAlign w:val="center"/>
            <w:hideMark/>
          </w:tcPr>
          <w:p w14:paraId="337A9ED5" w14:textId="77777777" w:rsidR="002B2ED7" w:rsidRPr="002B2ED7" w:rsidRDefault="002B2ED7" w:rsidP="002B2ED7">
            <w:pPr>
              <w:widowControl/>
              <w:autoSpaceDE/>
              <w:autoSpaceDN/>
              <w:rPr>
                <w:rFonts w:eastAsia="Times New Roman"/>
                <w:sz w:val="20"/>
                <w:szCs w:val="20"/>
                <w:lang w:eastAsia="pt-BR" w:bidi="ar-SA"/>
              </w:rPr>
            </w:pPr>
          </w:p>
        </w:tc>
        <w:tc>
          <w:tcPr>
            <w:tcW w:w="3357" w:type="dxa"/>
            <w:tcBorders>
              <w:top w:val="nil"/>
              <w:left w:val="nil"/>
              <w:bottom w:val="single" w:sz="4" w:space="0" w:color="auto"/>
              <w:right w:val="single" w:sz="4" w:space="0" w:color="auto"/>
            </w:tcBorders>
            <w:shd w:val="clear" w:color="auto" w:fill="auto"/>
            <w:vAlign w:val="center"/>
            <w:hideMark/>
          </w:tcPr>
          <w:p w14:paraId="022C1B7D" w14:textId="77777777" w:rsidR="002B2ED7" w:rsidRPr="002B2ED7" w:rsidRDefault="002B2ED7" w:rsidP="002B2ED7">
            <w:pPr>
              <w:widowControl/>
              <w:autoSpaceDE/>
              <w:autoSpaceDN/>
              <w:rPr>
                <w:rFonts w:eastAsia="Times New Roman"/>
                <w:color w:val="000000"/>
                <w:sz w:val="20"/>
                <w:szCs w:val="20"/>
                <w:lang w:eastAsia="pt-BR" w:bidi="ar-SA"/>
              </w:rPr>
            </w:pPr>
            <w:r w:rsidRPr="002B2ED7">
              <w:rPr>
                <w:rFonts w:eastAsia="Times New Roman"/>
                <w:color w:val="000000"/>
                <w:sz w:val="20"/>
                <w:szCs w:val="20"/>
                <w:lang w:eastAsia="pt-BR" w:bidi="ar-SA"/>
              </w:rPr>
              <w:t>4. 100 % dos analistas/técnicos que atuam com BIM capacitados até dezembro de 2021</w:t>
            </w:r>
          </w:p>
        </w:tc>
        <w:tc>
          <w:tcPr>
            <w:tcW w:w="1053" w:type="dxa"/>
            <w:tcBorders>
              <w:top w:val="nil"/>
              <w:left w:val="nil"/>
              <w:bottom w:val="single" w:sz="4" w:space="0" w:color="auto"/>
              <w:right w:val="single" w:sz="4" w:space="0" w:color="auto"/>
            </w:tcBorders>
            <w:shd w:val="clear" w:color="000000" w:fill="00B050"/>
            <w:vAlign w:val="center"/>
            <w:hideMark/>
          </w:tcPr>
          <w:p w14:paraId="7127302C"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t>100,00%</w:t>
            </w:r>
          </w:p>
        </w:tc>
        <w:tc>
          <w:tcPr>
            <w:tcW w:w="2013" w:type="dxa"/>
            <w:tcBorders>
              <w:top w:val="nil"/>
              <w:left w:val="nil"/>
              <w:bottom w:val="single" w:sz="4" w:space="0" w:color="auto"/>
            </w:tcBorders>
            <w:shd w:val="clear" w:color="auto" w:fill="auto"/>
            <w:vAlign w:val="center"/>
            <w:hideMark/>
          </w:tcPr>
          <w:p w14:paraId="076FF6CF" w14:textId="77777777" w:rsidR="002B2ED7" w:rsidRPr="002B2ED7" w:rsidRDefault="002B2ED7" w:rsidP="002B2ED7">
            <w:pPr>
              <w:widowControl/>
              <w:autoSpaceDE/>
              <w:autoSpaceDN/>
              <w:rPr>
                <w:rFonts w:eastAsia="Times New Roman"/>
                <w:color w:val="000000"/>
                <w:sz w:val="18"/>
                <w:szCs w:val="18"/>
                <w:lang w:eastAsia="pt-BR" w:bidi="ar-SA"/>
              </w:rPr>
            </w:pPr>
            <w:r w:rsidRPr="002B2ED7">
              <w:rPr>
                <w:rFonts w:eastAsia="Times New Roman"/>
                <w:color w:val="000000"/>
                <w:sz w:val="18"/>
                <w:szCs w:val="18"/>
                <w:lang w:eastAsia="pt-BR" w:bidi="ar-SA"/>
              </w:rPr>
              <w:t> </w:t>
            </w:r>
          </w:p>
        </w:tc>
      </w:tr>
      <w:tr w:rsidR="002B2ED7" w:rsidRPr="002B2ED7" w14:paraId="22C65F0A" w14:textId="77777777" w:rsidTr="002B2ED7">
        <w:trPr>
          <w:trHeight w:val="525"/>
        </w:trPr>
        <w:tc>
          <w:tcPr>
            <w:tcW w:w="1612" w:type="dxa"/>
            <w:vMerge/>
            <w:tcBorders>
              <w:top w:val="nil"/>
              <w:bottom w:val="single" w:sz="8" w:space="0" w:color="000000"/>
              <w:right w:val="single" w:sz="4" w:space="0" w:color="auto"/>
            </w:tcBorders>
            <w:vAlign w:val="center"/>
            <w:hideMark/>
          </w:tcPr>
          <w:p w14:paraId="0248EC3B" w14:textId="77777777" w:rsidR="002B2ED7" w:rsidRPr="002B2ED7" w:rsidRDefault="002B2ED7" w:rsidP="002B2ED7">
            <w:pPr>
              <w:widowControl/>
              <w:autoSpaceDE/>
              <w:autoSpaceDN/>
              <w:rPr>
                <w:rFonts w:eastAsia="Times New Roman"/>
                <w:color w:val="000000"/>
                <w:sz w:val="20"/>
                <w:szCs w:val="20"/>
                <w:lang w:eastAsia="pt-BR" w:bidi="ar-SA"/>
              </w:rPr>
            </w:pPr>
          </w:p>
        </w:tc>
        <w:tc>
          <w:tcPr>
            <w:tcW w:w="1594" w:type="dxa"/>
            <w:vMerge/>
            <w:tcBorders>
              <w:top w:val="nil"/>
              <w:left w:val="single" w:sz="4" w:space="0" w:color="auto"/>
              <w:bottom w:val="single" w:sz="8" w:space="0" w:color="000000"/>
              <w:right w:val="single" w:sz="4" w:space="0" w:color="auto"/>
            </w:tcBorders>
            <w:vAlign w:val="center"/>
            <w:hideMark/>
          </w:tcPr>
          <w:p w14:paraId="429B31EE" w14:textId="77777777" w:rsidR="002B2ED7" w:rsidRPr="002B2ED7" w:rsidRDefault="002B2ED7" w:rsidP="002B2ED7">
            <w:pPr>
              <w:widowControl/>
              <w:autoSpaceDE/>
              <w:autoSpaceDN/>
              <w:rPr>
                <w:rFonts w:eastAsia="Times New Roman"/>
                <w:sz w:val="20"/>
                <w:szCs w:val="20"/>
                <w:lang w:eastAsia="pt-BR" w:bidi="ar-SA"/>
              </w:rPr>
            </w:pPr>
          </w:p>
        </w:tc>
        <w:tc>
          <w:tcPr>
            <w:tcW w:w="3357" w:type="dxa"/>
            <w:tcBorders>
              <w:top w:val="nil"/>
              <w:left w:val="nil"/>
              <w:bottom w:val="single" w:sz="8" w:space="0" w:color="auto"/>
              <w:right w:val="single" w:sz="4" w:space="0" w:color="auto"/>
            </w:tcBorders>
            <w:shd w:val="clear" w:color="auto" w:fill="auto"/>
            <w:vAlign w:val="center"/>
            <w:hideMark/>
          </w:tcPr>
          <w:p w14:paraId="56D74E87" w14:textId="77777777" w:rsidR="002B2ED7" w:rsidRPr="002B2ED7" w:rsidRDefault="002B2ED7" w:rsidP="002B2ED7">
            <w:pPr>
              <w:widowControl/>
              <w:autoSpaceDE/>
              <w:autoSpaceDN/>
              <w:rPr>
                <w:rFonts w:eastAsia="Times New Roman"/>
                <w:color w:val="000000"/>
                <w:sz w:val="20"/>
                <w:szCs w:val="20"/>
                <w:lang w:eastAsia="pt-BR" w:bidi="ar-SA"/>
              </w:rPr>
            </w:pPr>
            <w:r w:rsidRPr="002B2ED7">
              <w:rPr>
                <w:rFonts w:eastAsia="Times New Roman"/>
                <w:color w:val="000000"/>
                <w:sz w:val="20"/>
                <w:szCs w:val="20"/>
                <w:lang w:eastAsia="pt-BR" w:bidi="ar-SA"/>
              </w:rPr>
              <w:t>5. Implantar Portal Corporativo de Banco de Conhecimento até dez/2021</w:t>
            </w:r>
          </w:p>
        </w:tc>
        <w:tc>
          <w:tcPr>
            <w:tcW w:w="1053" w:type="dxa"/>
            <w:tcBorders>
              <w:top w:val="nil"/>
              <w:left w:val="nil"/>
              <w:bottom w:val="single" w:sz="8" w:space="0" w:color="auto"/>
              <w:right w:val="single" w:sz="4" w:space="0" w:color="auto"/>
            </w:tcBorders>
            <w:shd w:val="clear" w:color="000000" w:fill="00B050"/>
            <w:vAlign w:val="center"/>
            <w:hideMark/>
          </w:tcPr>
          <w:p w14:paraId="1CEC846F"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t>89,00%</w:t>
            </w:r>
          </w:p>
        </w:tc>
        <w:tc>
          <w:tcPr>
            <w:tcW w:w="2013" w:type="dxa"/>
            <w:tcBorders>
              <w:top w:val="nil"/>
              <w:left w:val="nil"/>
              <w:bottom w:val="single" w:sz="8" w:space="0" w:color="auto"/>
            </w:tcBorders>
            <w:shd w:val="clear" w:color="auto" w:fill="auto"/>
            <w:vAlign w:val="center"/>
            <w:hideMark/>
          </w:tcPr>
          <w:p w14:paraId="38A165AD" w14:textId="77777777" w:rsidR="002B2ED7" w:rsidRPr="002B2ED7" w:rsidRDefault="002B2ED7" w:rsidP="002B2ED7">
            <w:pPr>
              <w:widowControl/>
              <w:autoSpaceDE/>
              <w:autoSpaceDN/>
              <w:rPr>
                <w:rFonts w:eastAsia="Times New Roman"/>
                <w:color w:val="000000"/>
                <w:sz w:val="18"/>
                <w:szCs w:val="18"/>
                <w:lang w:eastAsia="pt-BR" w:bidi="ar-SA"/>
              </w:rPr>
            </w:pPr>
            <w:r w:rsidRPr="002B2ED7">
              <w:rPr>
                <w:rFonts w:eastAsia="Times New Roman"/>
                <w:color w:val="000000"/>
                <w:sz w:val="18"/>
                <w:szCs w:val="18"/>
                <w:lang w:eastAsia="pt-BR" w:bidi="ar-SA"/>
              </w:rPr>
              <w:t> </w:t>
            </w:r>
          </w:p>
        </w:tc>
      </w:tr>
      <w:tr w:rsidR="002B2ED7" w:rsidRPr="002B2ED7" w14:paraId="1338C59F" w14:textId="77777777" w:rsidTr="002B2ED7">
        <w:trPr>
          <w:trHeight w:val="765"/>
        </w:trPr>
        <w:tc>
          <w:tcPr>
            <w:tcW w:w="1612" w:type="dxa"/>
            <w:vMerge w:val="restart"/>
            <w:tcBorders>
              <w:top w:val="nil"/>
              <w:bottom w:val="single" w:sz="8" w:space="0" w:color="000000"/>
              <w:right w:val="single" w:sz="4" w:space="0" w:color="auto"/>
            </w:tcBorders>
            <w:shd w:val="clear" w:color="auto" w:fill="auto"/>
            <w:vAlign w:val="center"/>
            <w:hideMark/>
          </w:tcPr>
          <w:p w14:paraId="2F38B729"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t>Objetivo 2.3 - Otimizar a gestão de custos e gastos</w:t>
            </w:r>
          </w:p>
        </w:tc>
        <w:tc>
          <w:tcPr>
            <w:tcW w:w="1594" w:type="dxa"/>
            <w:vMerge w:val="restart"/>
            <w:tcBorders>
              <w:top w:val="nil"/>
              <w:left w:val="single" w:sz="4" w:space="0" w:color="auto"/>
              <w:bottom w:val="single" w:sz="8" w:space="0" w:color="000000"/>
              <w:right w:val="single" w:sz="4" w:space="0" w:color="auto"/>
            </w:tcBorders>
            <w:shd w:val="clear" w:color="000000" w:fill="66FF33"/>
            <w:vAlign w:val="center"/>
            <w:hideMark/>
          </w:tcPr>
          <w:p w14:paraId="2DD76009" w14:textId="77777777" w:rsidR="002B2ED7" w:rsidRPr="002B2ED7" w:rsidRDefault="002B2ED7" w:rsidP="002B2ED7">
            <w:pPr>
              <w:widowControl/>
              <w:autoSpaceDE/>
              <w:autoSpaceDN/>
              <w:jc w:val="center"/>
              <w:rPr>
                <w:rFonts w:eastAsia="Times New Roman"/>
                <w:sz w:val="20"/>
                <w:szCs w:val="20"/>
                <w:lang w:eastAsia="pt-BR" w:bidi="ar-SA"/>
              </w:rPr>
            </w:pPr>
            <w:r w:rsidRPr="002B2ED7">
              <w:rPr>
                <w:rFonts w:eastAsia="Times New Roman"/>
                <w:sz w:val="20"/>
                <w:szCs w:val="20"/>
                <w:lang w:eastAsia="pt-BR" w:bidi="ar-SA"/>
              </w:rPr>
              <w:t>75,05%</w:t>
            </w:r>
          </w:p>
        </w:tc>
        <w:tc>
          <w:tcPr>
            <w:tcW w:w="3357" w:type="dxa"/>
            <w:tcBorders>
              <w:top w:val="nil"/>
              <w:left w:val="nil"/>
              <w:bottom w:val="single" w:sz="4" w:space="0" w:color="auto"/>
              <w:right w:val="single" w:sz="4" w:space="0" w:color="auto"/>
            </w:tcBorders>
            <w:shd w:val="clear" w:color="auto" w:fill="auto"/>
            <w:vAlign w:val="center"/>
            <w:hideMark/>
          </w:tcPr>
          <w:p w14:paraId="3A8BFF54" w14:textId="77777777" w:rsidR="002B2ED7" w:rsidRPr="002B2ED7" w:rsidRDefault="002B2ED7" w:rsidP="002B2ED7">
            <w:pPr>
              <w:widowControl/>
              <w:autoSpaceDE/>
              <w:autoSpaceDN/>
              <w:rPr>
                <w:rFonts w:eastAsia="Times New Roman"/>
                <w:color w:val="000000"/>
                <w:sz w:val="20"/>
                <w:szCs w:val="20"/>
                <w:lang w:eastAsia="pt-BR" w:bidi="ar-SA"/>
              </w:rPr>
            </w:pPr>
            <w:r w:rsidRPr="002B2ED7">
              <w:rPr>
                <w:rFonts w:eastAsia="Times New Roman"/>
                <w:color w:val="000000"/>
                <w:sz w:val="20"/>
                <w:szCs w:val="20"/>
                <w:lang w:eastAsia="pt-BR" w:bidi="ar-SA"/>
              </w:rPr>
              <w:t>1. Ampliar orçamento da Valec em 10% da proposta original (proposta de orçamento encaminhada ao Congresso Nacional)</w:t>
            </w:r>
          </w:p>
        </w:tc>
        <w:tc>
          <w:tcPr>
            <w:tcW w:w="1053" w:type="dxa"/>
            <w:tcBorders>
              <w:top w:val="nil"/>
              <w:left w:val="nil"/>
              <w:bottom w:val="single" w:sz="4" w:space="0" w:color="auto"/>
              <w:right w:val="single" w:sz="4" w:space="0" w:color="auto"/>
            </w:tcBorders>
            <w:shd w:val="clear" w:color="000000" w:fill="FF0000"/>
            <w:vAlign w:val="center"/>
            <w:hideMark/>
          </w:tcPr>
          <w:p w14:paraId="27CF0CFD"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t>0,20%</w:t>
            </w:r>
          </w:p>
        </w:tc>
        <w:tc>
          <w:tcPr>
            <w:tcW w:w="2013" w:type="dxa"/>
            <w:tcBorders>
              <w:top w:val="nil"/>
              <w:left w:val="nil"/>
              <w:bottom w:val="single" w:sz="4" w:space="0" w:color="auto"/>
            </w:tcBorders>
            <w:shd w:val="clear" w:color="auto" w:fill="auto"/>
            <w:vAlign w:val="center"/>
            <w:hideMark/>
          </w:tcPr>
          <w:p w14:paraId="4D3206B9" w14:textId="77777777" w:rsidR="002B2ED7" w:rsidRPr="002B2ED7" w:rsidRDefault="002B2ED7" w:rsidP="002B2ED7">
            <w:pPr>
              <w:widowControl/>
              <w:autoSpaceDE/>
              <w:autoSpaceDN/>
              <w:rPr>
                <w:rFonts w:eastAsia="Times New Roman"/>
                <w:color w:val="000000"/>
                <w:sz w:val="18"/>
                <w:szCs w:val="18"/>
                <w:lang w:eastAsia="pt-BR" w:bidi="ar-SA"/>
              </w:rPr>
            </w:pPr>
            <w:r w:rsidRPr="002B2ED7">
              <w:rPr>
                <w:rFonts w:eastAsia="Times New Roman"/>
                <w:color w:val="000000"/>
                <w:sz w:val="18"/>
                <w:szCs w:val="18"/>
                <w:lang w:eastAsia="pt-BR" w:bidi="ar-SA"/>
              </w:rPr>
              <w:t> </w:t>
            </w:r>
          </w:p>
        </w:tc>
      </w:tr>
      <w:tr w:rsidR="002B2ED7" w:rsidRPr="002B2ED7" w14:paraId="586582D6" w14:textId="77777777" w:rsidTr="002B2ED7">
        <w:trPr>
          <w:trHeight w:val="1020"/>
        </w:trPr>
        <w:tc>
          <w:tcPr>
            <w:tcW w:w="1612" w:type="dxa"/>
            <w:vMerge/>
            <w:tcBorders>
              <w:top w:val="nil"/>
              <w:bottom w:val="single" w:sz="8" w:space="0" w:color="000000"/>
              <w:right w:val="single" w:sz="4" w:space="0" w:color="auto"/>
            </w:tcBorders>
            <w:vAlign w:val="center"/>
            <w:hideMark/>
          </w:tcPr>
          <w:p w14:paraId="04021325" w14:textId="77777777" w:rsidR="002B2ED7" w:rsidRPr="002B2ED7" w:rsidRDefault="002B2ED7" w:rsidP="002B2ED7">
            <w:pPr>
              <w:widowControl/>
              <w:autoSpaceDE/>
              <w:autoSpaceDN/>
              <w:rPr>
                <w:rFonts w:eastAsia="Times New Roman"/>
                <w:color w:val="000000"/>
                <w:sz w:val="20"/>
                <w:szCs w:val="20"/>
                <w:lang w:eastAsia="pt-BR" w:bidi="ar-SA"/>
              </w:rPr>
            </w:pPr>
          </w:p>
        </w:tc>
        <w:tc>
          <w:tcPr>
            <w:tcW w:w="1594" w:type="dxa"/>
            <w:vMerge/>
            <w:tcBorders>
              <w:top w:val="nil"/>
              <w:left w:val="single" w:sz="4" w:space="0" w:color="auto"/>
              <w:bottom w:val="single" w:sz="8" w:space="0" w:color="000000"/>
              <w:right w:val="single" w:sz="4" w:space="0" w:color="auto"/>
            </w:tcBorders>
            <w:vAlign w:val="center"/>
            <w:hideMark/>
          </w:tcPr>
          <w:p w14:paraId="5EA536A0" w14:textId="77777777" w:rsidR="002B2ED7" w:rsidRPr="002B2ED7" w:rsidRDefault="002B2ED7" w:rsidP="002B2ED7">
            <w:pPr>
              <w:widowControl/>
              <w:autoSpaceDE/>
              <w:autoSpaceDN/>
              <w:rPr>
                <w:rFonts w:eastAsia="Times New Roman"/>
                <w:sz w:val="20"/>
                <w:szCs w:val="20"/>
                <w:lang w:eastAsia="pt-BR" w:bidi="ar-SA"/>
              </w:rPr>
            </w:pPr>
          </w:p>
        </w:tc>
        <w:tc>
          <w:tcPr>
            <w:tcW w:w="3357" w:type="dxa"/>
            <w:tcBorders>
              <w:top w:val="nil"/>
              <w:left w:val="nil"/>
              <w:bottom w:val="single" w:sz="4" w:space="0" w:color="auto"/>
              <w:right w:val="single" w:sz="4" w:space="0" w:color="auto"/>
            </w:tcBorders>
            <w:shd w:val="clear" w:color="auto" w:fill="auto"/>
            <w:vAlign w:val="center"/>
            <w:hideMark/>
          </w:tcPr>
          <w:p w14:paraId="032D7D35" w14:textId="77777777" w:rsidR="002B2ED7" w:rsidRPr="002B2ED7" w:rsidRDefault="002B2ED7" w:rsidP="002B2ED7">
            <w:pPr>
              <w:widowControl/>
              <w:autoSpaceDE/>
              <w:autoSpaceDN/>
              <w:rPr>
                <w:rFonts w:eastAsia="Times New Roman"/>
                <w:color w:val="000000"/>
                <w:sz w:val="20"/>
                <w:szCs w:val="20"/>
                <w:lang w:eastAsia="pt-BR" w:bidi="ar-SA"/>
              </w:rPr>
            </w:pPr>
            <w:r w:rsidRPr="002B2ED7">
              <w:rPr>
                <w:rFonts w:eastAsia="Times New Roman"/>
                <w:color w:val="000000"/>
                <w:sz w:val="20"/>
                <w:szCs w:val="20"/>
                <w:lang w:eastAsia="pt-BR" w:bidi="ar-SA"/>
              </w:rPr>
              <w:t>2. Reduzir despesa de custeio em R$ 6 milhões (anualizados), com base de comparação do orçamento de 2019, até março de 2021</w:t>
            </w:r>
          </w:p>
        </w:tc>
        <w:tc>
          <w:tcPr>
            <w:tcW w:w="1053" w:type="dxa"/>
            <w:tcBorders>
              <w:top w:val="nil"/>
              <w:left w:val="nil"/>
              <w:bottom w:val="single" w:sz="4" w:space="0" w:color="auto"/>
              <w:right w:val="single" w:sz="4" w:space="0" w:color="auto"/>
            </w:tcBorders>
            <w:shd w:val="clear" w:color="000000" w:fill="00B050"/>
            <w:vAlign w:val="center"/>
            <w:hideMark/>
          </w:tcPr>
          <w:p w14:paraId="03290F02"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t>123,33%</w:t>
            </w:r>
          </w:p>
        </w:tc>
        <w:tc>
          <w:tcPr>
            <w:tcW w:w="2013" w:type="dxa"/>
            <w:tcBorders>
              <w:top w:val="nil"/>
              <w:left w:val="nil"/>
              <w:bottom w:val="single" w:sz="4" w:space="0" w:color="auto"/>
            </w:tcBorders>
            <w:shd w:val="clear" w:color="auto" w:fill="auto"/>
            <w:vAlign w:val="center"/>
            <w:hideMark/>
          </w:tcPr>
          <w:p w14:paraId="59316E68" w14:textId="77777777" w:rsidR="002B2ED7" w:rsidRPr="002B2ED7" w:rsidRDefault="002B2ED7" w:rsidP="002B2ED7">
            <w:pPr>
              <w:widowControl/>
              <w:autoSpaceDE/>
              <w:autoSpaceDN/>
              <w:rPr>
                <w:rFonts w:eastAsia="Times New Roman"/>
                <w:color w:val="000000"/>
                <w:sz w:val="18"/>
                <w:szCs w:val="18"/>
                <w:lang w:eastAsia="pt-BR" w:bidi="ar-SA"/>
              </w:rPr>
            </w:pPr>
            <w:r w:rsidRPr="002B2ED7">
              <w:rPr>
                <w:rFonts w:eastAsia="Times New Roman"/>
                <w:color w:val="000000"/>
                <w:sz w:val="18"/>
                <w:szCs w:val="18"/>
                <w:lang w:eastAsia="pt-BR" w:bidi="ar-SA"/>
              </w:rPr>
              <w:t> </w:t>
            </w:r>
          </w:p>
        </w:tc>
      </w:tr>
      <w:tr w:rsidR="002B2ED7" w:rsidRPr="002B2ED7" w14:paraId="0C3E6876" w14:textId="77777777" w:rsidTr="002B2ED7">
        <w:trPr>
          <w:trHeight w:val="510"/>
        </w:trPr>
        <w:tc>
          <w:tcPr>
            <w:tcW w:w="1612" w:type="dxa"/>
            <w:vMerge/>
            <w:tcBorders>
              <w:top w:val="nil"/>
              <w:bottom w:val="single" w:sz="8" w:space="0" w:color="000000"/>
              <w:right w:val="single" w:sz="4" w:space="0" w:color="auto"/>
            </w:tcBorders>
            <w:vAlign w:val="center"/>
            <w:hideMark/>
          </w:tcPr>
          <w:p w14:paraId="495935FE" w14:textId="77777777" w:rsidR="002B2ED7" w:rsidRPr="002B2ED7" w:rsidRDefault="002B2ED7" w:rsidP="002B2ED7">
            <w:pPr>
              <w:widowControl/>
              <w:autoSpaceDE/>
              <w:autoSpaceDN/>
              <w:rPr>
                <w:rFonts w:eastAsia="Times New Roman"/>
                <w:color w:val="000000"/>
                <w:sz w:val="20"/>
                <w:szCs w:val="20"/>
                <w:lang w:eastAsia="pt-BR" w:bidi="ar-SA"/>
              </w:rPr>
            </w:pPr>
          </w:p>
        </w:tc>
        <w:tc>
          <w:tcPr>
            <w:tcW w:w="1594" w:type="dxa"/>
            <w:vMerge/>
            <w:tcBorders>
              <w:top w:val="nil"/>
              <w:left w:val="single" w:sz="4" w:space="0" w:color="auto"/>
              <w:bottom w:val="single" w:sz="8" w:space="0" w:color="000000"/>
              <w:right w:val="single" w:sz="4" w:space="0" w:color="auto"/>
            </w:tcBorders>
            <w:vAlign w:val="center"/>
            <w:hideMark/>
          </w:tcPr>
          <w:p w14:paraId="7E791A7A" w14:textId="77777777" w:rsidR="002B2ED7" w:rsidRPr="002B2ED7" w:rsidRDefault="002B2ED7" w:rsidP="002B2ED7">
            <w:pPr>
              <w:widowControl/>
              <w:autoSpaceDE/>
              <w:autoSpaceDN/>
              <w:rPr>
                <w:rFonts w:eastAsia="Times New Roman"/>
                <w:sz w:val="20"/>
                <w:szCs w:val="20"/>
                <w:lang w:eastAsia="pt-BR" w:bidi="ar-SA"/>
              </w:rPr>
            </w:pPr>
          </w:p>
        </w:tc>
        <w:tc>
          <w:tcPr>
            <w:tcW w:w="3357" w:type="dxa"/>
            <w:tcBorders>
              <w:top w:val="nil"/>
              <w:left w:val="nil"/>
              <w:bottom w:val="single" w:sz="4" w:space="0" w:color="auto"/>
              <w:right w:val="single" w:sz="4" w:space="0" w:color="auto"/>
            </w:tcBorders>
            <w:shd w:val="clear" w:color="auto" w:fill="auto"/>
            <w:vAlign w:val="center"/>
            <w:hideMark/>
          </w:tcPr>
          <w:p w14:paraId="06F9A5EC" w14:textId="77777777" w:rsidR="002B2ED7" w:rsidRPr="002B2ED7" w:rsidRDefault="002B2ED7" w:rsidP="002B2ED7">
            <w:pPr>
              <w:widowControl/>
              <w:autoSpaceDE/>
              <w:autoSpaceDN/>
              <w:rPr>
                <w:rFonts w:eastAsia="Times New Roman"/>
                <w:color w:val="000000"/>
                <w:sz w:val="20"/>
                <w:szCs w:val="20"/>
                <w:lang w:eastAsia="pt-BR" w:bidi="ar-SA"/>
              </w:rPr>
            </w:pPr>
            <w:r w:rsidRPr="002B2ED7">
              <w:rPr>
                <w:rFonts w:eastAsia="Times New Roman"/>
                <w:color w:val="000000"/>
                <w:sz w:val="20"/>
                <w:szCs w:val="20"/>
                <w:lang w:eastAsia="pt-BR" w:bidi="ar-SA"/>
              </w:rPr>
              <w:t>3. Reduzir nível de dependência da Valec em 10% até dezembro de 2021</w:t>
            </w:r>
          </w:p>
        </w:tc>
        <w:tc>
          <w:tcPr>
            <w:tcW w:w="1053" w:type="dxa"/>
            <w:tcBorders>
              <w:top w:val="nil"/>
              <w:left w:val="nil"/>
              <w:bottom w:val="single" w:sz="4" w:space="0" w:color="auto"/>
              <w:right w:val="single" w:sz="4" w:space="0" w:color="auto"/>
            </w:tcBorders>
            <w:shd w:val="clear" w:color="000000" w:fill="00B050"/>
            <w:vAlign w:val="center"/>
            <w:hideMark/>
          </w:tcPr>
          <w:p w14:paraId="325EFBEB"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t>124,77%</w:t>
            </w:r>
          </w:p>
        </w:tc>
        <w:tc>
          <w:tcPr>
            <w:tcW w:w="2013" w:type="dxa"/>
            <w:tcBorders>
              <w:top w:val="nil"/>
              <w:left w:val="nil"/>
              <w:bottom w:val="single" w:sz="4" w:space="0" w:color="auto"/>
            </w:tcBorders>
            <w:shd w:val="clear" w:color="auto" w:fill="auto"/>
            <w:vAlign w:val="center"/>
            <w:hideMark/>
          </w:tcPr>
          <w:p w14:paraId="00F32E28" w14:textId="77777777" w:rsidR="002B2ED7" w:rsidRPr="002B2ED7" w:rsidRDefault="002B2ED7" w:rsidP="002B2ED7">
            <w:pPr>
              <w:widowControl/>
              <w:autoSpaceDE/>
              <w:autoSpaceDN/>
              <w:rPr>
                <w:rFonts w:eastAsia="Times New Roman"/>
                <w:color w:val="000000"/>
                <w:sz w:val="18"/>
                <w:szCs w:val="18"/>
                <w:lang w:eastAsia="pt-BR" w:bidi="ar-SA"/>
              </w:rPr>
            </w:pPr>
            <w:r w:rsidRPr="002B2ED7">
              <w:rPr>
                <w:rFonts w:eastAsia="Times New Roman"/>
                <w:color w:val="000000"/>
                <w:sz w:val="18"/>
                <w:szCs w:val="18"/>
                <w:lang w:eastAsia="pt-BR" w:bidi="ar-SA"/>
              </w:rPr>
              <w:t> </w:t>
            </w:r>
          </w:p>
        </w:tc>
      </w:tr>
      <w:tr w:rsidR="002B2ED7" w:rsidRPr="002B2ED7" w14:paraId="510A9C9C" w14:textId="77777777" w:rsidTr="002B2ED7">
        <w:trPr>
          <w:trHeight w:val="780"/>
        </w:trPr>
        <w:tc>
          <w:tcPr>
            <w:tcW w:w="1612" w:type="dxa"/>
            <w:vMerge/>
            <w:tcBorders>
              <w:top w:val="nil"/>
              <w:bottom w:val="single" w:sz="8" w:space="0" w:color="000000"/>
              <w:right w:val="single" w:sz="4" w:space="0" w:color="auto"/>
            </w:tcBorders>
            <w:vAlign w:val="center"/>
            <w:hideMark/>
          </w:tcPr>
          <w:p w14:paraId="513A259F" w14:textId="77777777" w:rsidR="002B2ED7" w:rsidRPr="002B2ED7" w:rsidRDefault="002B2ED7" w:rsidP="002B2ED7">
            <w:pPr>
              <w:widowControl/>
              <w:autoSpaceDE/>
              <w:autoSpaceDN/>
              <w:rPr>
                <w:rFonts w:eastAsia="Times New Roman"/>
                <w:color w:val="000000"/>
                <w:sz w:val="20"/>
                <w:szCs w:val="20"/>
                <w:lang w:eastAsia="pt-BR" w:bidi="ar-SA"/>
              </w:rPr>
            </w:pPr>
          </w:p>
        </w:tc>
        <w:tc>
          <w:tcPr>
            <w:tcW w:w="1594" w:type="dxa"/>
            <w:vMerge/>
            <w:tcBorders>
              <w:top w:val="nil"/>
              <w:left w:val="single" w:sz="4" w:space="0" w:color="auto"/>
              <w:bottom w:val="single" w:sz="8" w:space="0" w:color="000000"/>
              <w:right w:val="single" w:sz="4" w:space="0" w:color="auto"/>
            </w:tcBorders>
            <w:vAlign w:val="center"/>
            <w:hideMark/>
          </w:tcPr>
          <w:p w14:paraId="3EC2374A" w14:textId="77777777" w:rsidR="002B2ED7" w:rsidRPr="002B2ED7" w:rsidRDefault="002B2ED7" w:rsidP="002B2ED7">
            <w:pPr>
              <w:widowControl/>
              <w:autoSpaceDE/>
              <w:autoSpaceDN/>
              <w:rPr>
                <w:rFonts w:eastAsia="Times New Roman"/>
                <w:sz w:val="20"/>
                <w:szCs w:val="20"/>
                <w:lang w:eastAsia="pt-BR" w:bidi="ar-SA"/>
              </w:rPr>
            </w:pPr>
          </w:p>
        </w:tc>
        <w:tc>
          <w:tcPr>
            <w:tcW w:w="3357" w:type="dxa"/>
            <w:tcBorders>
              <w:top w:val="nil"/>
              <w:left w:val="nil"/>
              <w:bottom w:val="single" w:sz="8" w:space="0" w:color="auto"/>
              <w:right w:val="single" w:sz="4" w:space="0" w:color="auto"/>
            </w:tcBorders>
            <w:shd w:val="clear" w:color="auto" w:fill="auto"/>
            <w:vAlign w:val="center"/>
            <w:hideMark/>
          </w:tcPr>
          <w:p w14:paraId="3BCFF10B" w14:textId="77777777" w:rsidR="002B2ED7" w:rsidRPr="002B2ED7" w:rsidRDefault="002B2ED7" w:rsidP="002B2ED7">
            <w:pPr>
              <w:widowControl/>
              <w:autoSpaceDE/>
              <w:autoSpaceDN/>
              <w:rPr>
                <w:rFonts w:eastAsia="Times New Roman"/>
                <w:color w:val="000000"/>
                <w:sz w:val="20"/>
                <w:szCs w:val="20"/>
                <w:lang w:eastAsia="pt-BR" w:bidi="ar-SA"/>
              </w:rPr>
            </w:pPr>
            <w:r w:rsidRPr="002B2ED7">
              <w:rPr>
                <w:rFonts w:eastAsia="Times New Roman"/>
                <w:color w:val="000000"/>
                <w:sz w:val="20"/>
                <w:szCs w:val="20"/>
                <w:lang w:eastAsia="pt-BR" w:bidi="ar-SA"/>
              </w:rPr>
              <w:t>4.</w:t>
            </w:r>
            <w:r w:rsidRPr="002B2ED7">
              <w:rPr>
                <w:rFonts w:eastAsia="Times New Roman"/>
                <w:b/>
                <w:bCs/>
                <w:color w:val="000000"/>
                <w:sz w:val="20"/>
                <w:szCs w:val="20"/>
                <w:lang w:eastAsia="pt-BR" w:bidi="ar-SA"/>
              </w:rPr>
              <w:t xml:space="preserve"> </w:t>
            </w:r>
            <w:r w:rsidRPr="002B2ED7">
              <w:rPr>
                <w:rFonts w:eastAsia="Times New Roman"/>
                <w:color w:val="000000"/>
                <w:sz w:val="20"/>
                <w:szCs w:val="20"/>
                <w:lang w:eastAsia="pt-BR" w:bidi="ar-SA"/>
              </w:rPr>
              <w:t>Atingir a despesa mensal de funcionamento em R$ 1 milhão (sem gasto de TI) até março de 2021</w:t>
            </w:r>
          </w:p>
        </w:tc>
        <w:tc>
          <w:tcPr>
            <w:tcW w:w="1053" w:type="dxa"/>
            <w:tcBorders>
              <w:top w:val="nil"/>
              <w:left w:val="nil"/>
              <w:bottom w:val="single" w:sz="8" w:space="0" w:color="auto"/>
              <w:right w:val="single" w:sz="4" w:space="0" w:color="auto"/>
            </w:tcBorders>
            <w:shd w:val="clear" w:color="000000" w:fill="00B050"/>
            <w:vAlign w:val="center"/>
            <w:hideMark/>
          </w:tcPr>
          <w:p w14:paraId="335F00B3"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t>107,50%</w:t>
            </w:r>
          </w:p>
        </w:tc>
        <w:tc>
          <w:tcPr>
            <w:tcW w:w="2013" w:type="dxa"/>
            <w:tcBorders>
              <w:top w:val="nil"/>
              <w:left w:val="nil"/>
              <w:bottom w:val="single" w:sz="8" w:space="0" w:color="auto"/>
            </w:tcBorders>
            <w:shd w:val="clear" w:color="auto" w:fill="auto"/>
            <w:vAlign w:val="center"/>
            <w:hideMark/>
          </w:tcPr>
          <w:p w14:paraId="5EAA945D" w14:textId="77777777" w:rsidR="002B2ED7" w:rsidRPr="002B2ED7" w:rsidRDefault="002B2ED7" w:rsidP="002B2ED7">
            <w:pPr>
              <w:widowControl/>
              <w:autoSpaceDE/>
              <w:autoSpaceDN/>
              <w:rPr>
                <w:rFonts w:eastAsia="Times New Roman"/>
                <w:color w:val="000000"/>
                <w:sz w:val="18"/>
                <w:szCs w:val="18"/>
                <w:lang w:eastAsia="pt-BR" w:bidi="ar-SA"/>
              </w:rPr>
            </w:pPr>
            <w:r w:rsidRPr="002B2ED7">
              <w:rPr>
                <w:rFonts w:eastAsia="Times New Roman"/>
                <w:color w:val="000000"/>
                <w:sz w:val="18"/>
                <w:szCs w:val="18"/>
                <w:lang w:eastAsia="pt-BR" w:bidi="ar-SA"/>
              </w:rPr>
              <w:t> </w:t>
            </w:r>
          </w:p>
        </w:tc>
      </w:tr>
      <w:tr w:rsidR="002B2ED7" w:rsidRPr="002B2ED7" w14:paraId="6545DBA1" w14:textId="77777777" w:rsidTr="002B2ED7">
        <w:trPr>
          <w:trHeight w:val="765"/>
        </w:trPr>
        <w:tc>
          <w:tcPr>
            <w:tcW w:w="1612" w:type="dxa"/>
            <w:vMerge w:val="restart"/>
            <w:tcBorders>
              <w:top w:val="nil"/>
              <w:bottom w:val="single" w:sz="8" w:space="0" w:color="000000"/>
              <w:right w:val="single" w:sz="4" w:space="0" w:color="auto"/>
            </w:tcBorders>
            <w:shd w:val="clear" w:color="auto" w:fill="auto"/>
            <w:vAlign w:val="center"/>
            <w:hideMark/>
          </w:tcPr>
          <w:p w14:paraId="1F26EAEF"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t>Objetivo 3.1 - Modernizar a infraestrutura de TI, visando utilizá-la como instrumento de inovação para tomada de decisão</w:t>
            </w:r>
          </w:p>
        </w:tc>
        <w:tc>
          <w:tcPr>
            <w:tcW w:w="1594" w:type="dxa"/>
            <w:vMerge w:val="restart"/>
            <w:tcBorders>
              <w:top w:val="nil"/>
              <w:left w:val="single" w:sz="4" w:space="0" w:color="auto"/>
              <w:bottom w:val="single" w:sz="8" w:space="0" w:color="000000"/>
              <w:right w:val="single" w:sz="4" w:space="0" w:color="auto"/>
            </w:tcBorders>
            <w:shd w:val="clear" w:color="000000" w:fill="00B050"/>
            <w:vAlign w:val="center"/>
            <w:hideMark/>
          </w:tcPr>
          <w:p w14:paraId="330F99A2" w14:textId="77777777" w:rsidR="002B2ED7" w:rsidRPr="002B2ED7" w:rsidRDefault="002B2ED7" w:rsidP="002B2ED7">
            <w:pPr>
              <w:widowControl/>
              <w:autoSpaceDE/>
              <w:autoSpaceDN/>
              <w:jc w:val="center"/>
              <w:rPr>
                <w:rFonts w:eastAsia="Times New Roman"/>
                <w:sz w:val="20"/>
                <w:szCs w:val="20"/>
                <w:lang w:eastAsia="pt-BR" w:bidi="ar-SA"/>
              </w:rPr>
            </w:pPr>
            <w:r w:rsidRPr="002B2ED7">
              <w:rPr>
                <w:rFonts w:eastAsia="Times New Roman"/>
                <w:sz w:val="20"/>
                <w:szCs w:val="20"/>
                <w:lang w:eastAsia="pt-BR" w:bidi="ar-SA"/>
              </w:rPr>
              <w:t>96,20%</w:t>
            </w:r>
          </w:p>
        </w:tc>
        <w:tc>
          <w:tcPr>
            <w:tcW w:w="3357" w:type="dxa"/>
            <w:tcBorders>
              <w:top w:val="nil"/>
              <w:left w:val="nil"/>
              <w:bottom w:val="single" w:sz="4" w:space="0" w:color="auto"/>
              <w:right w:val="single" w:sz="4" w:space="0" w:color="auto"/>
            </w:tcBorders>
            <w:shd w:val="clear" w:color="auto" w:fill="auto"/>
            <w:vAlign w:val="center"/>
            <w:hideMark/>
          </w:tcPr>
          <w:p w14:paraId="7885A846" w14:textId="77777777" w:rsidR="002B2ED7" w:rsidRPr="002B2ED7" w:rsidRDefault="002B2ED7" w:rsidP="002B2ED7">
            <w:pPr>
              <w:widowControl/>
              <w:autoSpaceDE/>
              <w:autoSpaceDN/>
              <w:rPr>
                <w:rFonts w:eastAsia="Times New Roman"/>
                <w:color w:val="000000"/>
                <w:sz w:val="20"/>
                <w:szCs w:val="20"/>
                <w:lang w:eastAsia="pt-BR" w:bidi="ar-SA"/>
              </w:rPr>
            </w:pPr>
            <w:r w:rsidRPr="002B2ED7">
              <w:rPr>
                <w:rFonts w:eastAsia="Times New Roman"/>
                <w:color w:val="000000"/>
                <w:sz w:val="20"/>
                <w:szCs w:val="20"/>
                <w:lang w:eastAsia="pt-BR" w:bidi="ar-SA"/>
              </w:rPr>
              <w:t>1. Assegurar a disponibilidade da Infraestrutura dos serviços de TIC em 99.97% até dezembro de 2021</w:t>
            </w:r>
          </w:p>
        </w:tc>
        <w:tc>
          <w:tcPr>
            <w:tcW w:w="1053" w:type="dxa"/>
            <w:tcBorders>
              <w:top w:val="nil"/>
              <w:left w:val="nil"/>
              <w:bottom w:val="single" w:sz="4" w:space="0" w:color="auto"/>
              <w:right w:val="single" w:sz="4" w:space="0" w:color="auto"/>
            </w:tcBorders>
            <w:shd w:val="clear" w:color="000000" w:fill="00B050"/>
            <w:vAlign w:val="center"/>
            <w:hideMark/>
          </w:tcPr>
          <w:p w14:paraId="3A95901F"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t>100,00%</w:t>
            </w:r>
          </w:p>
        </w:tc>
        <w:tc>
          <w:tcPr>
            <w:tcW w:w="2013" w:type="dxa"/>
            <w:tcBorders>
              <w:top w:val="nil"/>
              <w:left w:val="nil"/>
              <w:bottom w:val="single" w:sz="4" w:space="0" w:color="auto"/>
            </w:tcBorders>
            <w:shd w:val="clear" w:color="auto" w:fill="auto"/>
            <w:vAlign w:val="center"/>
            <w:hideMark/>
          </w:tcPr>
          <w:p w14:paraId="16C6D77F" w14:textId="77777777" w:rsidR="002B2ED7" w:rsidRPr="002B2ED7" w:rsidRDefault="002B2ED7" w:rsidP="002B2ED7">
            <w:pPr>
              <w:widowControl/>
              <w:autoSpaceDE/>
              <w:autoSpaceDN/>
              <w:rPr>
                <w:rFonts w:eastAsia="Times New Roman"/>
                <w:color w:val="000000"/>
                <w:sz w:val="18"/>
                <w:szCs w:val="18"/>
                <w:lang w:eastAsia="pt-BR" w:bidi="ar-SA"/>
              </w:rPr>
            </w:pPr>
            <w:r w:rsidRPr="002B2ED7">
              <w:rPr>
                <w:rFonts w:eastAsia="Times New Roman"/>
                <w:color w:val="000000"/>
                <w:sz w:val="18"/>
                <w:szCs w:val="18"/>
                <w:lang w:eastAsia="pt-BR" w:bidi="ar-SA"/>
              </w:rPr>
              <w:t> </w:t>
            </w:r>
          </w:p>
        </w:tc>
      </w:tr>
      <w:tr w:rsidR="002B2ED7" w:rsidRPr="002B2ED7" w14:paraId="0E4D21C4" w14:textId="77777777" w:rsidTr="002B2ED7">
        <w:trPr>
          <w:trHeight w:val="510"/>
        </w:trPr>
        <w:tc>
          <w:tcPr>
            <w:tcW w:w="1612" w:type="dxa"/>
            <w:vMerge/>
            <w:tcBorders>
              <w:top w:val="nil"/>
              <w:bottom w:val="single" w:sz="8" w:space="0" w:color="000000"/>
              <w:right w:val="single" w:sz="4" w:space="0" w:color="auto"/>
            </w:tcBorders>
            <w:vAlign w:val="center"/>
            <w:hideMark/>
          </w:tcPr>
          <w:p w14:paraId="4407AE0B" w14:textId="77777777" w:rsidR="002B2ED7" w:rsidRPr="002B2ED7" w:rsidRDefault="002B2ED7" w:rsidP="002B2ED7">
            <w:pPr>
              <w:widowControl/>
              <w:autoSpaceDE/>
              <w:autoSpaceDN/>
              <w:rPr>
                <w:rFonts w:eastAsia="Times New Roman"/>
                <w:color w:val="000000"/>
                <w:sz w:val="20"/>
                <w:szCs w:val="20"/>
                <w:lang w:eastAsia="pt-BR" w:bidi="ar-SA"/>
              </w:rPr>
            </w:pPr>
          </w:p>
        </w:tc>
        <w:tc>
          <w:tcPr>
            <w:tcW w:w="1594" w:type="dxa"/>
            <w:vMerge/>
            <w:tcBorders>
              <w:top w:val="nil"/>
              <w:left w:val="single" w:sz="4" w:space="0" w:color="auto"/>
              <w:bottom w:val="single" w:sz="8" w:space="0" w:color="000000"/>
              <w:right w:val="single" w:sz="4" w:space="0" w:color="auto"/>
            </w:tcBorders>
            <w:vAlign w:val="center"/>
            <w:hideMark/>
          </w:tcPr>
          <w:p w14:paraId="75ACADD1" w14:textId="77777777" w:rsidR="002B2ED7" w:rsidRPr="002B2ED7" w:rsidRDefault="002B2ED7" w:rsidP="002B2ED7">
            <w:pPr>
              <w:widowControl/>
              <w:autoSpaceDE/>
              <w:autoSpaceDN/>
              <w:rPr>
                <w:rFonts w:eastAsia="Times New Roman"/>
                <w:sz w:val="20"/>
                <w:szCs w:val="20"/>
                <w:lang w:eastAsia="pt-BR" w:bidi="ar-SA"/>
              </w:rPr>
            </w:pPr>
          </w:p>
        </w:tc>
        <w:tc>
          <w:tcPr>
            <w:tcW w:w="3357" w:type="dxa"/>
            <w:tcBorders>
              <w:top w:val="nil"/>
              <w:left w:val="nil"/>
              <w:bottom w:val="single" w:sz="4" w:space="0" w:color="auto"/>
              <w:right w:val="single" w:sz="4" w:space="0" w:color="auto"/>
            </w:tcBorders>
            <w:shd w:val="clear" w:color="auto" w:fill="auto"/>
            <w:vAlign w:val="center"/>
            <w:hideMark/>
          </w:tcPr>
          <w:p w14:paraId="7C951240" w14:textId="77777777" w:rsidR="002B2ED7" w:rsidRPr="002B2ED7" w:rsidRDefault="002B2ED7" w:rsidP="002B2ED7">
            <w:pPr>
              <w:widowControl/>
              <w:autoSpaceDE/>
              <w:autoSpaceDN/>
              <w:rPr>
                <w:rFonts w:eastAsia="Times New Roman"/>
                <w:color w:val="000000"/>
                <w:sz w:val="20"/>
                <w:szCs w:val="20"/>
                <w:lang w:eastAsia="pt-BR" w:bidi="ar-SA"/>
              </w:rPr>
            </w:pPr>
            <w:r w:rsidRPr="002B2ED7">
              <w:rPr>
                <w:rFonts w:eastAsia="Times New Roman"/>
                <w:color w:val="000000"/>
                <w:sz w:val="20"/>
                <w:szCs w:val="20"/>
                <w:lang w:eastAsia="pt-BR" w:bidi="ar-SA"/>
              </w:rPr>
              <w:t>2. Executar 100% do PDTI 2020-2021 até dez 2021</w:t>
            </w:r>
          </w:p>
        </w:tc>
        <w:tc>
          <w:tcPr>
            <w:tcW w:w="1053" w:type="dxa"/>
            <w:tcBorders>
              <w:top w:val="nil"/>
              <w:left w:val="nil"/>
              <w:bottom w:val="single" w:sz="4" w:space="0" w:color="auto"/>
              <w:right w:val="single" w:sz="4" w:space="0" w:color="auto"/>
            </w:tcBorders>
            <w:shd w:val="clear" w:color="000000" w:fill="00B050"/>
            <w:vAlign w:val="center"/>
            <w:hideMark/>
          </w:tcPr>
          <w:p w14:paraId="7DEA0DAB"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t>81,00%</w:t>
            </w:r>
          </w:p>
        </w:tc>
        <w:tc>
          <w:tcPr>
            <w:tcW w:w="2013" w:type="dxa"/>
            <w:tcBorders>
              <w:top w:val="nil"/>
              <w:left w:val="nil"/>
              <w:bottom w:val="single" w:sz="4" w:space="0" w:color="auto"/>
            </w:tcBorders>
            <w:shd w:val="clear" w:color="auto" w:fill="auto"/>
            <w:vAlign w:val="center"/>
            <w:hideMark/>
          </w:tcPr>
          <w:p w14:paraId="171B5308" w14:textId="77777777" w:rsidR="002B2ED7" w:rsidRPr="002B2ED7" w:rsidRDefault="002B2ED7" w:rsidP="002B2ED7">
            <w:pPr>
              <w:widowControl/>
              <w:autoSpaceDE/>
              <w:autoSpaceDN/>
              <w:rPr>
                <w:rFonts w:eastAsia="Times New Roman"/>
                <w:color w:val="000000"/>
                <w:sz w:val="18"/>
                <w:szCs w:val="18"/>
                <w:lang w:eastAsia="pt-BR" w:bidi="ar-SA"/>
              </w:rPr>
            </w:pPr>
            <w:r w:rsidRPr="002B2ED7">
              <w:rPr>
                <w:rFonts w:eastAsia="Times New Roman"/>
                <w:color w:val="000000"/>
                <w:sz w:val="18"/>
                <w:szCs w:val="18"/>
                <w:lang w:eastAsia="pt-BR" w:bidi="ar-SA"/>
              </w:rPr>
              <w:t> </w:t>
            </w:r>
          </w:p>
        </w:tc>
      </w:tr>
      <w:tr w:rsidR="002B2ED7" w:rsidRPr="002B2ED7" w14:paraId="7E3200B2" w14:textId="77777777" w:rsidTr="002B2ED7">
        <w:trPr>
          <w:trHeight w:val="510"/>
        </w:trPr>
        <w:tc>
          <w:tcPr>
            <w:tcW w:w="1612" w:type="dxa"/>
            <w:vMerge/>
            <w:tcBorders>
              <w:top w:val="nil"/>
              <w:bottom w:val="single" w:sz="8" w:space="0" w:color="000000"/>
              <w:right w:val="single" w:sz="4" w:space="0" w:color="auto"/>
            </w:tcBorders>
            <w:vAlign w:val="center"/>
            <w:hideMark/>
          </w:tcPr>
          <w:p w14:paraId="40151719" w14:textId="77777777" w:rsidR="002B2ED7" w:rsidRPr="002B2ED7" w:rsidRDefault="002B2ED7" w:rsidP="002B2ED7">
            <w:pPr>
              <w:widowControl/>
              <w:autoSpaceDE/>
              <w:autoSpaceDN/>
              <w:rPr>
                <w:rFonts w:eastAsia="Times New Roman"/>
                <w:color w:val="000000"/>
                <w:sz w:val="20"/>
                <w:szCs w:val="20"/>
                <w:lang w:eastAsia="pt-BR" w:bidi="ar-SA"/>
              </w:rPr>
            </w:pPr>
          </w:p>
        </w:tc>
        <w:tc>
          <w:tcPr>
            <w:tcW w:w="1594" w:type="dxa"/>
            <w:vMerge/>
            <w:tcBorders>
              <w:top w:val="nil"/>
              <w:left w:val="single" w:sz="4" w:space="0" w:color="auto"/>
              <w:bottom w:val="single" w:sz="8" w:space="0" w:color="000000"/>
              <w:right w:val="single" w:sz="4" w:space="0" w:color="auto"/>
            </w:tcBorders>
            <w:vAlign w:val="center"/>
            <w:hideMark/>
          </w:tcPr>
          <w:p w14:paraId="0423EB15" w14:textId="77777777" w:rsidR="002B2ED7" w:rsidRPr="002B2ED7" w:rsidRDefault="002B2ED7" w:rsidP="002B2ED7">
            <w:pPr>
              <w:widowControl/>
              <w:autoSpaceDE/>
              <w:autoSpaceDN/>
              <w:rPr>
                <w:rFonts w:eastAsia="Times New Roman"/>
                <w:sz w:val="20"/>
                <w:szCs w:val="20"/>
                <w:lang w:eastAsia="pt-BR" w:bidi="ar-SA"/>
              </w:rPr>
            </w:pPr>
          </w:p>
        </w:tc>
        <w:tc>
          <w:tcPr>
            <w:tcW w:w="3357" w:type="dxa"/>
            <w:tcBorders>
              <w:top w:val="nil"/>
              <w:left w:val="nil"/>
              <w:bottom w:val="single" w:sz="4" w:space="0" w:color="auto"/>
              <w:right w:val="single" w:sz="4" w:space="0" w:color="auto"/>
            </w:tcBorders>
            <w:shd w:val="clear" w:color="auto" w:fill="auto"/>
            <w:vAlign w:val="center"/>
            <w:hideMark/>
          </w:tcPr>
          <w:p w14:paraId="70FE45AA" w14:textId="77777777" w:rsidR="002B2ED7" w:rsidRPr="002B2ED7" w:rsidRDefault="002B2ED7" w:rsidP="002B2ED7">
            <w:pPr>
              <w:widowControl/>
              <w:autoSpaceDE/>
              <w:autoSpaceDN/>
              <w:rPr>
                <w:rFonts w:eastAsia="Times New Roman"/>
                <w:color w:val="000000"/>
                <w:sz w:val="20"/>
                <w:szCs w:val="20"/>
                <w:lang w:eastAsia="pt-BR" w:bidi="ar-SA"/>
              </w:rPr>
            </w:pPr>
            <w:r w:rsidRPr="002B2ED7">
              <w:rPr>
                <w:rFonts w:eastAsia="Times New Roman"/>
                <w:color w:val="000000"/>
                <w:sz w:val="20"/>
                <w:szCs w:val="20"/>
                <w:lang w:eastAsia="pt-BR" w:bidi="ar-SA"/>
              </w:rPr>
              <w:t>3. Renovar 25% do parque tecnológico até dezembro de 2021</w:t>
            </w:r>
          </w:p>
        </w:tc>
        <w:tc>
          <w:tcPr>
            <w:tcW w:w="1053" w:type="dxa"/>
            <w:tcBorders>
              <w:top w:val="nil"/>
              <w:left w:val="nil"/>
              <w:bottom w:val="single" w:sz="4" w:space="0" w:color="auto"/>
              <w:right w:val="single" w:sz="4" w:space="0" w:color="auto"/>
            </w:tcBorders>
            <w:shd w:val="clear" w:color="000000" w:fill="00B050"/>
            <w:vAlign w:val="center"/>
            <w:hideMark/>
          </w:tcPr>
          <w:p w14:paraId="65C37E12"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t>236,04%</w:t>
            </w:r>
          </w:p>
        </w:tc>
        <w:tc>
          <w:tcPr>
            <w:tcW w:w="2013" w:type="dxa"/>
            <w:tcBorders>
              <w:top w:val="nil"/>
              <w:left w:val="nil"/>
              <w:bottom w:val="single" w:sz="4" w:space="0" w:color="auto"/>
            </w:tcBorders>
            <w:shd w:val="clear" w:color="auto" w:fill="auto"/>
            <w:vAlign w:val="center"/>
            <w:hideMark/>
          </w:tcPr>
          <w:p w14:paraId="17C8675C" w14:textId="77777777" w:rsidR="002B2ED7" w:rsidRPr="002B2ED7" w:rsidRDefault="002B2ED7" w:rsidP="002B2ED7">
            <w:pPr>
              <w:widowControl/>
              <w:autoSpaceDE/>
              <w:autoSpaceDN/>
              <w:rPr>
                <w:rFonts w:eastAsia="Times New Roman"/>
                <w:color w:val="000000"/>
                <w:sz w:val="18"/>
                <w:szCs w:val="18"/>
                <w:lang w:eastAsia="pt-BR" w:bidi="ar-SA"/>
              </w:rPr>
            </w:pPr>
            <w:r w:rsidRPr="002B2ED7">
              <w:rPr>
                <w:rFonts w:eastAsia="Times New Roman"/>
                <w:color w:val="000000"/>
                <w:sz w:val="18"/>
                <w:szCs w:val="18"/>
                <w:lang w:eastAsia="pt-BR" w:bidi="ar-SA"/>
              </w:rPr>
              <w:t> </w:t>
            </w:r>
          </w:p>
        </w:tc>
      </w:tr>
      <w:tr w:rsidR="002B2ED7" w:rsidRPr="002B2ED7" w14:paraId="7813B812" w14:textId="77777777" w:rsidTr="002B2ED7">
        <w:trPr>
          <w:trHeight w:val="510"/>
        </w:trPr>
        <w:tc>
          <w:tcPr>
            <w:tcW w:w="1612" w:type="dxa"/>
            <w:vMerge/>
            <w:tcBorders>
              <w:top w:val="nil"/>
              <w:bottom w:val="single" w:sz="8" w:space="0" w:color="000000"/>
              <w:right w:val="single" w:sz="4" w:space="0" w:color="auto"/>
            </w:tcBorders>
            <w:vAlign w:val="center"/>
            <w:hideMark/>
          </w:tcPr>
          <w:p w14:paraId="5F51A96B" w14:textId="77777777" w:rsidR="002B2ED7" w:rsidRPr="002B2ED7" w:rsidRDefault="002B2ED7" w:rsidP="002B2ED7">
            <w:pPr>
              <w:widowControl/>
              <w:autoSpaceDE/>
              <w:autoSpaceDN/>
              <w:rPr>
                <w:rFonts w:eastAsia="Times New Roman"/>
                <w:color w:val="000000"/>
                <w:sz w:val="20"/>
                <w:szCs w:val="20"/>
                <w:lang w:eastAsia="pt-BR" w:bidi="ar-SA"/>
              </w:rPr>
            </w:pPr>
          </w:p>
        </w:tc>
        <w:tc>
          <w:tcPr>
            <w:tcW w:w="1594" w:type="dxa"/>
            <w:vMerge/>
            <w:tcBorders>
              <w:top w:val="nil"/>
              <w:left w:val="single" w:sz="4" w:space="0" w:color="auto"/>
              <w:bottom w:val="single" w:sz="8" w:space="0" w:color="000000"/>
              <w:right w:val="single" w:sz="4" w:space="0" w:color="auto"/>
            </w:tcBorders>
            <w:vAlign w:val="center"/>
            <w:hideMark/>
          </w:tcPr>
          <w:p w14:paraId="5ADD5858" w14:textId="77777777" w:rsidR="002B2ED7" w:rsidRPr="002B2ED7" w:rsidRDefault="002B2ED7" w:rsidP="002B2ED7">
            <w:pPr>
              <w:widowControl/>
              <w:autoSpaceDE/>
              <w:autoSpaceDN/>
              <w:rPr>
                <w:rFonts w:eastAsia="Times New Roman"/>
                <w:sz w:val="20"/>
                <w:szCs w:val="20"/>
                <w:lang w:eastAsia="pt-BR" w:bidi="ar-SA"/>
              </w:rPr>
            </w:pPr>
          </w:p>
        </w:tc>
        <w:tc>
          <w:tcPr>
            <w:tcW w:w="3357" w:type="dxa"/>
            <w:tcBorders>
              <w:top w:val="nil"/>
              <w:left w:val="nil"/>
              <w:bottom w:val="single" w:sz="4" w:space="0" w:color="auto"/>
              <w:right w:val="single" w:sz="4" w:space="0" w:color="auto"/>
            </w:tcBorders>
            <w:shd w:val="clear" w:color="auto" w:fill="auto"/>
            <w:vAlign w:val="center"/>
            <w:hideMark/>
          </w:tcPr>
          <w:p w14:paraId="78930613" w14:textId="77777777" w:rsidR="002B2ED7" w:rsidRPr="002B2ED7" w:rsidRDefault="002B2ED7" w:rsidP="002B2ED7">
            <w:pPr>
              <w:widowControl/>
              <w:autoSpaceDE/>
              <w:autoSpaceDN/>
              <w:rPr>
                <w:rFonts w:eastAsia="Times New Roman"/>
                <w:color w:val="000000"/>
                <w:sz w:val="20"/>
                <w:szCs w:val="20"/>
                <w:lang w:eastAsia="pt-BR" w:bidi="ar-SA"/>
              </w:rPr>
            </w:pPr>
            <w:r w:rsidRPr="002B2ED7">
              <w:rPr>
                <w:rFonts w:eastAsia="Times New Roman"/>
                <w:color w:val="000000"/>
                <w:sz w:val="20"/>
                <w:szCs w:val="20"/>
                <w:lang w:eastAsia="pt-BR" w:bidi="ar-SA"/>
              </w:rPr>
              <w:t>4. Manter no mínimo 20% disponível de reserva de espaço em disco</w:t>
            </w:r>
          </w:p>
        </w:tc>
        <w:tc>
          <w:tcPr>
            <w:tcW w:w="1053" w:type="dxa"/>
            <w:tcBorders>
              <w:top w:val="nil"/>
              <w:left w:val="nil"/>
              <w:bottom w:val="single" w:sz="4" w:space="0" w:color="auto"/>
              <w:right w:val="single" w:sz="4" w:space="0" w:color="auto"/>
            </w:tcBorders>
            <w:shd w:val="clear" w:color="000000" w:fill="00B050"/>
            <w:vAlign w:val="center"/>
            <w:hideMark/>
          </w:tcPr>
          <w:p w14:paraId="3B5D0C80"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t>130,00%</w:t>
            </w:r>
          </w:p>
        </w:tc>
        <w:tc>
          <w:tcPr>
            <w:tcW w:w="2013" w:type="dxa"/>
            <w:tcBorders>
              <w:top w:val="nil"/>
              <w:left w:val="nil"/>
              <w:bottom w:val="single" w:sz="4" w:space="0" w:color="auto"/>
            </w:tcBorders>
            <w:shd w:val="clear" w:color="auto" w:fill="auto"/>
            <w:vAlign w:val="center"/>
            <w:hideMark/>
          </w:tcPr>
          <w:p w14:paraId="7BB55F3E" w14:textId="77777777" w:rsidR="002B2ED7" w:rsidRPr="002B2ED7" w:rsidRDefault="002B2ED7" w:rsidP="002B2ED7">
            <w:pPr>
              <w:widowControl/>
              <w:autoSpaceDE/>
              <w:autoSpaceDN/>
              <w:rPr>
                <w:rFonts w:eastAsia="Times New Roman"/>
                <w:color w:val="000000"/>
                <w:sz w:val="18"/>
                <w:szCs w:val="18"/>
                <w:lang w:eastAsia="pt-BR" w:bidi="ar-SA"/>
              </w:rPr>
            </w:pPr>
            <w:r w:rsidRPr="002B2ED7">
              <w:rPr>
                <w:rFonts w:eastAsia="Times New Roman"/>
                <w:color w:val="000000"/>
                <w:sz w:val="18"/>
                <w:szCs w:val="18"/>
                <w:lang w:eastAsia="pt-BR" w:bidi="ar-SA"/>
              </w:rPr>
              <w:t> </w:t>
            </w:r>
          </w:p>
        </w:tc>
      </w:tr>
      <w:tr w:rsidR="002B2ED7" w:rsidRPr="002B2ED7" w14:paraId="3B8BAFF4" w14:textId="77777777" w:rsidTr="002B2ED7">
        <w:trPr>
          <w:trHeight w:val="780"/>
        </w:trPr>
        <w:tc>
          <w:tcPr>
            <w:tcW w:w="1612" w:type="dxa"/>
            <w:vMerge/>
            <w:tcBorders>
              <w:top w:val="nil"/>
              <w:bottom w:val="single" w:sz="8" w:space="0" w:color="000000"/>
              <w:right w:val="single" w:sz="4" w:space="0" w:color="auto"/>
            </w:tcBorders>
            <w:vAlign w:val="center"/>
            <w:hideMark/>
          </w:tcPr>
          <w:p w14:paraId="27896FC5" w14:textId="77777777" w:rsidR="002B2ED7" w:rsidRPr="002B2ED7" w:rsidRDefault="002B2ED7" w:rsidP="002B2ED7">
            <w:pPr>
              <w:widowControl/>
              <w:autoSpaceDE/>
              <w:autoSpaceDN/>
              <w:rPr>
                <w:rFonts w:eastAsia="Times New Roman"/>
                <w:color w:val="000000"/>
                <w:sz w:val="20"/>
                <w:szCs w:val="20"/>
                <w:lang w:eastAsia="pt-BR" w:bidi="ar-SA"/>
              </w:rPr>
            </w:pPr>
          </w:p>
        </w:tc>
        <w:tc>
          <w:tcPr>
            <w:tcW w:w="1594" w:type="dxa"/>
            <w:vMerge/>
            <w:tcBorders>
              <w:top w:val="nil"/>
              <w:left w:val="single" w:sz="4" w:space="0" w:color="auto"/>
              <w:bottom w:val="single" w:sz="8" w:space="0" w:color="000000"/>
              <w:right w:val="single" w:sz="4" w:space="0" w:color="auto"/>
            </w:tcBorders>
            <w:vAlign w:val="center"/>
            <w:hideMark/>
          </w:tcPr>
          <w:p w14:paraId="5E919B53" w14:textId="77777777" w:rsidR="002B2ED7" w:rsidRPr="002B2ED7" w:rsidRDefault="002B2ED7" w:rsidP="002B2ED7">
            <w:pPr>
              <w:widowControl/>
              <w:autoSpaceDE/>
              <w:autoSpaceDN/>
              <w:rPr>
                <w:rFonts w:eastAsia="Times New Roman"/>
                <w:sz w:val="20"/>
                <w:szCs w:val="20"/>
                <w:lang w:eastAsia="pt-BR" w:bidi="ar-SA"/>
              </w:rPr>
            </w:pPr>
          </w:p>
        </w:tc>
        <w:tc>
          <w:tcPr>
            <w:tcW w:w="3357" w:type="dxa"/>
            <w:tcBorders>
              <w:top w:val="nil"/>
              <w:left w:val="nil"/>
              <w:bottom w:val="single" w:sz="8" w:space="0" w:color="auto"/>
              <w:right w:val="single" w:sz="4" w:space="0" w:color="auto"/>
            </w:tcBorders>
            <w:shd w:val="clear" w:color="auto" w:fill="auto"/>
            <w:vAlign w:val="center"/>
            <w:hideMark/>
          </w:tcPr>
          <w:p w14:paraId="1300B94A" w14:textId="77777777" w:rsidR="002B2ED7" w:rsidRPr="002B2ED7" w:rsidRDefault="002B2ED7" w:rsidP="002B2ED7">
            <w:pPr>
              <w:widowControl/>
              <w:autoSpaceDE/>
              <w:autoSpaceDN/>
              <w:rPr>
                <w:rFonts w:eastAsia="Times New Roman"/>
                <w:color w:val="000000"/>
                <w:sz w:val="20"/>
                <w:szCs w:val="20"/>
                <w:lang w:eastAsia="pt-BR" w:bidi="ar-SA"/>
              </w:rPr>
            </w:pPr>
            <w:r w:rsidRPr="002B2ED7">
              <w:rPr>
                <w:rFonts w:eastAsia="Times New Roman"/>
                <w:color w:val="000000"/>
                <w:sz w:val="20"/>
                <w:szCs w:val="20"/>
                <w:lang w:eastAsia="pt-BR" w:bidi="ar-SA"/>
              </w:rPr>
              <w:t>5. Realizar operação assistida do Documento de Transporte Eletrônico (DTe) até dezembro de 2021</w:t>
            </w:r>
          </w:p>
        </w:tc>
        <w:tc>
          <w:tcPr>
            <w:tcW w:w="1053" w:type="dxa"/>
            <w:tcBorders>
              <w:top w:val="nil"/>
              <w:left w:val="nil"/>
              <w:bottom w:val="single" w:sz="8" w:space="0" w:color="auto"/>
              <w:right w:val="single" w:sz="4" w:space="0" w:color="auto"/>
            </w:tcBorders>
            <w:shd w:val="clear" w:color="000000" w:fill="00B050"/>
            <w:vAlign w:val="center"/>
            <w:hideMark/>
          </w:tcPr>
          <w:p w14:paraId="1DD10235"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t>100,00%</w:t>
            </w:r>
          </w:p>
        </w:tc>
        <w:tc>
          <w:tcPr>
            <w:tcW w:w="2013" w:type="dxa"/>
            <w:tcBorders>
              <w:top w:val="nil"/>
              <w:left w:val="nil"/>
              <w:bottom w:val="single" w:sz="8" w:space="0" w:color="auto"/>
            </w:tcBorders>
            <w:shd w:val="clear" w:color="auto" w:fill="auto"/>
            <w:vAlign w:val="center"/>
            <w:hideMark/>
          </w:tcPr>
          <w:p w14:paraId="764E792D" w14:textId="77777777" w:rsidR="002B2ED7" w:rsidRPr="002B2ED7" w:rsidRDefault="002B2ED7" w:rsidP="002B2ED7">
            <w:pPr>
              <w:widowControl/>
              <w:autoSpaceDE/>
              <w:autoSpaceDN/>
              <w:rPr>
                <w:rFonts w:eastAsia="Times New Roman"/>
                <w:color w:val="000000"/>
                <w:sz w:val="18"/>
                <w:szCs w:val="18"/>
                <w:lang w:eastAsia="pt-BR" w:bidi="ar-SA"/>
              </w:rPr>
            </w:pPr>
            <w:r w:rsidRPr="002B2ED7">
              <w:rPr>
                <w:rFonts w:eastAsia="Times New Roman"/>
                <w:color w:val="000000"/>
                <w:sz w:val="18"/>
                <w:szCs w:val="18"/>
                <w:lang w:eastAsia="pt-BR" w:bidi="ar-SA"/>
              </w:rPr>
              <w:t> </w:t>
            </w:r>
          </w:p>
        </w:tc>
      </w:tr>
      <w:tr w:rsidR="002B2ED7" w:rsidRPr="002B2ED7" w14:paraId="5DB5FCE9" w14:textId="77777777" w:rsidTr="002B2ED7">
        <w:trPr>
          <w:trHeight w:val="300"/>
        </w:trPr>
        <w:tc>
          <w:tcPr>
            <w:tcW w:w="1612" w:type="dxa"/>
            <w:vMerge w:val="restart"/>
            <w:tcBorders>
              <w:top w:val="nil"/>
              <w:bottom w:val="single" w:sz="4" w:space="0" w:color="auto"/>
              <w:right w:val="single" w:sz="4" w:space="0" w:color="auto"/>
            </w:tcBorders>
            <w:shd w:val="clear" w:color="auto" w:fill="auto"/>
            <w:vAlign w:val="center"/>
            <w:hideMark/>
          </w:tcPr>
          <w:p w14:paraId="78EA002D"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t>Objetivo 3.2 - Desenvolver, valorizar e atrair talentos</w:t>
            </w:r>
          </w:p>
        </w:tc>
        <w:tc>
          <w:tcPr>
            <w:tcW w:w="1594" w:type="dxa"/>
            <w:vMerge w:val="restart"/>
            <w:tcBorders>
              <w:top w:val="nil"/>
              <w:left w:val="single" w:sz="4" w:space="0" w:color="auto"/>
              <w:bottom w:val="nil"/>
              <w:right w:val="single" w:sz="4" w:space="0" w:color="auto"/>
            </w:tcBorders>
            <w:shd w:val="clear" w:color="000000" w:fill="00B050"/>
            <w:vAlign w:val="center"/>
            <w:hideMark/>
          </w:tcPr>
          <w:p w14:paraId="4415A4B3" w14:textId="77777777" w:rsidR="002B2ED7" w:rsidRPr="002B2ED7" w:rsidRDefault="002B2ED7" w:rsidP="002B2ED7">
            <w:pPr>
              <w:widowControl/>
              <w:autoSpaceDE/>
              <w:autoSpaceDN/>
              <w:jc w:val="center"/>
              <w:rPr>
                <w:rFonts w:eastAsia="Times New Roman"/>
                <w:sz w:val="20"/>
                <w:szCs w:val="20"/>
                <w:lang w:eastAsia="pt-BR" w:bidi="ar-SA"/>
              </w:rPr>
            </w:pPr>
            <w:r w:rsidRPr="002B2ED7">
              <w:rPr>
                <w:rFonts w:eastAsia="Times New Roman"/>
                <w:sz w:val="20"/>
                <w:szCs w:val="20"/>
                <w:lang w:eastAsia="pt-BR" w:bidi="ar-SA"/>
              </w:rPr>
              <w:t>84,32%</w:t>
            </w:r>
          </w:p>
        </w:tc>
        <w:tc>
          <w:tcPr>
            <w:tcW w:w="3357" w:type="dxa"/>
            <w:tcBorders>
              <w:top w:val="nil"/>
              <w:left w:val="nil"/>
              <w:bottom w:val="single" w:sz="4" w:space="0" w:color="auto"/>
              <w:right w:val="single" w:sz="4" w:space="0" w:color="auto"/>
            </w:tcBorders>
            <w:shd w:val="clear" w:color="auto" w:fill="auto"/>
            <w:vAlign w:val="center"/>
            <w:hideMark/>
          </w:tcPr>
          <w:p w14:paraId="0D5C45AA" w14:textId="77777777" w:rsidR="002B2ED7" w:rsidRPr="002B2ED7" w:rsidRDefault="002B2ED7" w:rsidP="002B2ED7">
            <w:pPr>
              <w:widowControl/>
              <w:autoSpaceDE/>
              <w:autoSpaceDN/>
              <w:rPr>
                <w:rFonts w:eastAsia="Times New Roman"/>
                <w:color w:val="000000"/>
                <w:sz w:val="20"/>
                <w:szCs w:val="20"/>
                <w:lang w:eastAsia="pt-BR" w:bidi="ar-SA"/>
              </w:rPr>
            </w:pPr>
            <w:r w:rsidRPr="002B2ED7">
              <w:rPr>
                <w:rFonts w:eastAsia="Times New Roman"/>
                <w:color w:val="000000"/>
                <w:sz w:val="20"/>
                <w:szCs w:val="20"/>
                <w:lang w:eastAsia="pt-BR" w:bidi="ar-SA"/>
              </w:rPr>
              <w:t>1. Capacitar 50% dos empregados até 2021</w:t>
            </w:r>
          </w:p>
        </w:tc>
        <w:tc>
          <w:tcPr>
            <w:tcW w:w="1053" w:type="dxa"/>
            <w:tcBorders>
              <w:top w:val="nil"/>
              <w:left w:val="nil"/>
              <w:bottom w:val="single" w:sz="4" w:space="0" w:color="auto"/>
              <w:right w:val="single" w:sz="4" w:space="0" w:color="auto"/>
            </w:tcBorders>
            <w:shd w:val="clear" w:color="000000" w:fill="00B050"/>
            <w:vAlign w:val="center"/>
            <w:hideMark/>
          </w:tcPr>
          <w:p w14:paraId="27E94E0C"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t>130,70%</w:t>
            </w:r>
          </w:p>
        </w:tc>
        <w:tc>
          <w:tcPr>
            <w:tcW w:w="2013" w:type="dxa"/>
            <w:tcBorders>
              <w:top w:val="nil"/>
              <w:left w:val="nil"/>
              <w:bottom w:val="single" w:sz="4" w:space="0" w:color="auto"/>
            </w:tcBorders>
            <w:shd w:val="clear" w:color="auto" w:fill="auto"/>
            <w:vAlign w:val="center"/>
            <w:hideMark/>
          </w:tcPr>
          <w:p w14:paraId="3C63DA2E" w14:textId="77777777" w:rsidR="002B2ED7" w:rsidRPr="002B2ED7" w:rsidRDefault="002B2ED7" w:rsidP="002B2ED7">
            <w:pPr>
              <w:widowControl/>
              <w:autoSpaceDE/>
              <w:autoSpaceDN/>
              <w:rPr>
                <w:rFonts w:eastAsia="Times New Roman"/>
                <w:color w:val="000000"/>
                <w:sz w:val="18"/>
                <w:szCs w:val="18"/>
                <w:lang w:eastAsia="pt-BR" w:bidi="ar-SA"/>
              </w:rPr>
            </w:pPr>
            <w:r w:rsidRPr="002B2ED7">
              <w:rPr>
                <w:rFonts w:eastAsia="Times New Roman"/>
                <w:color w:val="000000"/>
                <w:sz w:val="18"/>
                <w:szCs w:val="18"/>
                <w:lang w:eastAsia="pt-BR" w:bidi="ar-SA"/>
              </w:rPr>
              <w:t> </w:t>
            </w:r>
          </w:p>
        </w:tc>
      </w:tr>
      <w:tr w:rsidR="002B2ED7" w:rsidRPr="002B2ED7" w14:paraId="4FAAEF80" w14:textId="77777777" w:rsidTr="002B2ED7">
        <w:trPr>
          <w:trHeight w:val="510"/>
        </w:trPr>
        <w:tc>
          <w:tcPr>
            <w:tcW w:w="1612" w:type="dxa"/>
            <w:vMerge/>
            <w:tcBorders>
              <w:top w:val="nil"/>
              <w:bottom w:val="single" w:sz="4" w:space="0" w:color="auto"/>
              <w:right w:val="single" w:sz="4" w:space="0" w:color="auto"/>
            </w:tcBorders>
            <w:vAlign w:val="center"/>
            <w:hideMark/>
          </w:tcPr>
          <w:p w14:paraId="29B46D8F" w14:textId="77777777" w:rsidR="002B2ED7" w:rsidRPr="002B2ED7" w:rsidRDefault="002B2ED7" w:rsidP="002B2ED7">
            <w:pPr>
              <w:widowControl/>
              <w:autoSpaceDE/>
              <w:autoSpaceDN/>
              <w:rPr>
                <w:rFonts w:eastAsia="Times New Roman"/>
                <w:color w:val="000000"/>
                <w:sz w:val="20"/>
                <w:szCs w:val="20"/>
                <w:lang w:eastAsia="pt-BR" w:bidi="ar-SA"/>
              </w:rPr>
            </w:pPr>
          </w:p>
        </w:tc>
        <w:tc>
          <w:tcPr>
            <w:tcW w:w="1594" w:type="dxa"/>
            <w:vMerge/>
            <w:tcBorders>
              <w:top w:val="nil"/>
              <w:left w:val="single" w:sz="4" w:space="0" w:color="auto"/>
              <w:bottom w:val="nil"/>
              <w:right w:val="single" w:sz="4" w:space="0" w:color="auto"/>
            </w:tcBorders>
            <w:vAlign w:val="center"/>
            <w:hideMark/>
          </w:tcPr>
          <w:p w14:paraId="09DBC48B" w14:textId="77777777" w:rsidR="002B2ED7" w:rsidRPr="002B2ED7" w:rsidRDefault="002B2ED7" w:rsidP="002B2ED7">
            <w:pPr>
              <w:widowControl/>
              <w:autoSpaceDE/>
              <w:autoSpaceDN/>
              <w:rPr>
                <w:rFonts w:eastAsia="Times New Roman"/>
                <w:sz w:val="20"/>
                <w:szCs w:val="20"/>
                <w:lang w:eastAsia="pt-BR" w:bidi="ar-SA"/>
              </w:rPr>
            </w:pPr>
          </w:p>
        </w:tc>
        <w:tc>
          <w:tcPr>
            <w:tcW w:w="3357" w:type="dxa"/>
            <w:tcBorders>
              <w:top w:val="nil"/>
              <w:left w:val="nil"/>
              <w:bottom w:val="single" w:sz="4" w:space="0" w:color="auto"/>
              <w:right w:val="single" w:sz="4" w:space="0" w:color="auto"/>
            </w:tcBorders>
            <w:shd w:val="clear" w:color="auto" w:fill="auto"/>
            <w:vAlign w:val="center"/>
            <w:hideMark/>
          </w:tcPr>
          <w:p w14:paraId="4F0FC7CF" w14:textId="77777777" w:rsidR="002B2ED7" w:rsidRPr="002B2ED7" w:rsidRDefault="002B2ED7" w:rsidP="002B2ED7">
            <w:pPr>
              <w:widowControl/>
              <w:autoSpaceDE/>
              <w:autoSpaceDN/>
              <w:rPr>
                <w:rFonts w:eastAsia="Times New Roman"/>
                <w:color w:val="000000"/>
                <w:sz w:val="20"/>
                <w:szCs w:val="20"/>
                <w:lang w:eastAsia="pt-BR" w:bidi="ar-SA"/>
              </w:rPr>
            </w:pPr>
            <w:r w:rsidRPr="002B2ED7">
              <w:rPr>
                <w:rFonts w:eastAsia="Times New Roman"/>
                <w:color w:val="000000"/>
                <w:sz w:val="20"/>
                <w:szCs w:val="20"/>
                <w:lang w:eastAsia="pt-BR" w:bidi="ar-SA"/>
              </w:rPr>
              <w:t>2. Capacitar 80% dos gestores até dezembro de 2021</w:t>
            </w:r>
          </w:p>
        </w:tc>
        <w:tc>
          <w:tcPr>
            <w:tcW w:w="1053" w:type="dxa"/>
            <w:tcBorders>
              <w:top w:val="nil"/>
              <w:left w:val="nil"/>
              <w:bottom w:val="single" w:sz="4" w:space="0" w:color="auto"/>
              <w:right w:val="single" w:sz="4" w:space="0" w:color="auto"/>
            </w:tcBorders>
            <w:shd w:val="clear" w:color="000000" w:fill="00B050"/>
            <w:vAlign w:val="center"/>
            <w:hideMark/>
          </w:tcPr>
          <w:p w14:paraId="2B713CB2"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t>80,13%</w:t>
            </w:r>
          </w:p>
        </w:tc>
        <w:tc>
          <w:tcPr>
            <w:tcW w:w="2013" w:type="dxa"/>
            <w:tcBorders>
              <w:top w:val="nil"/>
              <w:left w:val="nil"/>
              <w:bottom w:val="single" w:sz="4" w:space="0" w:color="auto"/>
            </w:tcBorders>
            <w:shd w:val="clear" w:color="auto" w:fill="auto"/>
            <w:vAlign w:val="center"/>
            <w:hideMark/>
          </w:tcPr>
          <w:p w14:paraId="3232531B" w14:textId="77777777" w:rsidR="002B2ED7" w:rsidRPr="002B2ED7" w:rsidRDefault="002B2ED7" w:rsidP="002B2ED7">
            <w:pPr>
              <w:widowControl/>
              <w:autoSpaceDE/>
              <w:autoSpaceDN/>
              <w:rPr>
                <w:rFonts w:eastAsia="Times New Roman"/>
                <w:color w:val="000000"/>
                <w:sz w:val="18"/>
                <w:szCs w:val="18"/>
                <w:lang w:eastAsia="pt-BR" w:bidi="ar-SA"/>
              </w:rPr>
            </w:pPr>
            <w:r w:rsidRPr="002B2ED7">
              <w:rPr>
                <w:rFonts w:eastAsia="Times New Roman"/>
                <w:color w:val="000000"/>
                <w:sz w:val="18"/>
                <w:szCs w:val="18"/>
                <w:lang w:eastAsia="pt-BR" w:bidi="ar-SA"/>
              </w:rPr>
              <w:t> </w:t>
            </w:r>
          </w:p>
        </w:tc>
      </w:tr>
      <w:tr w:rsidR="002B2ED7" w:rsidRPr="002B2ED7" w14:paraId="4184285F" w14:textId="77777777" w:rsidTr="002B2ED7">
        <w:trPr>
          <w:trHeight w:val="510"/>
        </w:trPr>
        <w:tc>
          <w:tcPr>
            <w:tcW w:w="1612" w:type="dxa"/>
            <w:vMerge/>
            <w:tcBorders>
              <w:top w:val="nil"/>
              <w:bottom w:val="single" w:sz="4" w:space="0" w:color="auto"/>
              <w:right w:val="single" w:sz="4" w:space="0" w:color="auto"/>
            </w:tcBorders>
            <w:vAlign w:val="center"/>
            <w:hideMark/>
          </w:tcPr>
          <w:p w14:paraId="6BB2E048" w14:textId="77777777" w:rsidR="002B2ED7" w:rsidRPr="002B2ED7" w:rsidRDefault="002B2ED7" w:rsidP="002B2ED7">
            <w:pPr>
              <w:widowControl/>
              <w:autoSpaceDE/>
              <w:autoSpaceDN/>
              <w:rPr>
                <w:rFonts w:eastAsia="Times New Roman"/>
                <w:color w:val="000000"/>
                <w:sz w:val="20"/>
                <w:szCs w:val="20"/>
                <w:lang w:eastAsia="pt-BR" w:bidi="ar-SA"/>
              </w:rPr>
            </w:pPr>
          </w:p>
        </w:tc>
        <w:tc>
          <w:tcPr>
            <w:tcW w:w="1594" w:type="dxa"/>
            <w:vMerge/>
            <w:tcBorders>
              <w:top w:val="nil"/>
              <w:left w:val="single" w:sz="4" w:space="0" w:color="auto"/>
              <w:bottom w:val="nil"/>
              <w:right w:val="single" w:sz="4" w:space="0" w:color="auto"/>
            </w:tcBorders>
            <w:vAlign w:val="center"/>
            <w:hideMark/>
          </w:tcPr>
          <w:p w14:paraId="485321BE" w14:textId="77777777" w:rsidR="002B2ED7" w:rsidRPr="002B2ED7" w:rsidRDefault="002B2ED7" w:rsidP="002B2ED7">
            <w:pPr>
              <w:widowControl/>
              <w:autoSpaceDE/>
              <w:autoSpaceDN/>
              <w:rPr>
                <w:rFonts w:eastAsia="Times New Roman"/>
                <w:sz w:val="20"/>
                <w:szCs w:val="20"/>
                <w:lang w:eastAsia="pt-BR" w:bidi="ar-SA"/>
              </w:rPr>
            </w:pPr>
          </w:p>
        </w:tc>
        <w:tc>
          <w:tcPr>
            <w:tcW w:w="3357" w:type="dxa"/>
            <w:tcBorders>
              <w:top w:val="nil"/>
              <w:left w:val="nil"/>
              <w:bottom w:val="single" w:sz="4" w:space="0" w:color="auto"/>
              <w:right w:val="single" w:sz="4" w:space="0" w:color="auto"/>
            </w:tcBorders>
            <w:shd w:val="clear" w:color="auto" w:fill="auto"/>
            <w:vAlign w:val="center"/>
            <w:hideMark/>
          </w:tcPr>
          <w:p w14:paraId="38424BF8" w14:textId="77777777" w:rsidR="002B2ED7" w:rsidRPr="002B2ED7" w:rsidRDefault="002B2ED7" w:rsidP="002B2ED7">
            <w:pPr>
              <w:widowControl/>
              <w:autoSpaceDE/>
              <w:autoSpaceDN/>
              <w:rPr>
                <w:rFonts w:eastAsia="Times New Roman"/>
                <w:color w:val="000000"/>
                <w:sz w:val="20"/>
                <w:szCs w:val="20"/>
                <w:lang w:eastAsia="pt-BR" w:bidi="ar-SA"/>
              </w:rPr>
            </w:pPr>
            <w:r w:rsidRPr="002B2ED7">
              <w:rPr>
                <w:rFonts w:eastAsia="Times New Roman"/>
                <w:color w:val="000000"/>
                <w:sz w:val="20"/>
                <w:szCs w:val="20"/>
                <w:lang w:eastAsia="pt-BR" w:bidi="ar-SA"/>
              </w:rPr>
              <w:t>3. Realizar 06 ações relacionadas à QVT por ano, ou seja, 1 ação por bimestre até 2022</w:t>
            </w:r>
          </w:p>
        </w:tc>
        <w:tc>
          <w:tcPr>
            <w:tcW w:w="1053" w:type="dxa"/>
            <w:tcBorders>
              <w:top w:val="nil"/>
              <w:left w:val="nil"/>
              <w:bottom w:val="single" w:sz="4" w:space="0" w:color="auto"/>
              <w:right w:val="single" w:sz="4" w:space="0" w:color="auto"/>
            </w:tcBorders>
            <w:shd w:val="clear" w:color="000000" w:fill="00B050"/>
            <w:vAlign w:val="center"/>
            <w:hideMark/>
          </w:tcPr>
          <w:p w14:paraId="626929AE"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t>233,33%</w:t>
            </w:r>
          </w:p>
        </w:tc>
        <w:tc>
          <w:tcPr>
            <w:tcW w:w="2013" w:type="dxa"/>
            <w:tcBorders>
              <w:top w:val="nil"/>
              <w:left w:val="nil"/>
              <w:bottom w:val="single" w:sz="4" w:space="0" w:color="auto"/>
            </w:tcBorders>
            <w:shd w:val="clear" w:color="auto" w:fill="auto"/>
            <w:vAlign w:val="center"/>
            <w:hideMark/>
          </w:tcPr>
          <w:p w14:paraId="7770E813" w14:textId="77777777" w:rsidR="002B2ED7" w:rsidRPr="002B2ED7" w:rsidRDefault="002B2ED7" w:rsidP="002B2ED7">
            <w:pPr>
              <w:widowControl/>
              <w:autoSpaceDE/>
              <w:autoSpaceDN/>
              <w:rPr>
                <w:rFonts w:eastAsia="Times New Roman"/>
                <w:color w:val="000000"/>
                <w:sz w:val="18"/>
                <w:szCs w:val="18"/>
                <w:lang w:eastAsia="pt-BR" w:bidi="ar-SA"/>
              </w:rPr>
            </w:pPr>
            <w:r w:rsidRPr="002B2ED7">
              <w:rPr>
                <w:rFonts w:eastAsia="Times New Roman"/>
                <w:color w:val="000000"/>
                <w:sz w:val="18"/>
                <w:szCs w:val="18"/>
                <w:lang w:eastAsia="pt-BR" w:bidi="ar-SA"/>
              </w:rPr>
              <w:t> </w:t>
            </w:r>
          </w:p>
        </w:tc>
      </w:tr>
      <w:tr w:rsidR="002B2ED7" w:rsidRPr="002B2ED7" w14:paraId="468402DE" w14:textId="77777777" w:rsidTr="002B2ED7">
        <w:trPr>
          <w:trHeight w:val="780"/>
        </w:trPr>
        <w:tc>
          <w:tcPr>
            <w:tcW w:w="1612" w:type="dxa"/>
            <w:vMerge/>
            <w:tcBorders>
              <w:top w:val="nil"/>
              <w:bottom w:val="single" w:sz="4" w:space="0" w:color="auto"/>
              <w:right w:val="single" w:sz="4" w:space="0" w:color="auto"/>
            </w:tcBorders>
            <w:vAlign w:val="center"/>
            <w:hideMark/>
          </w:tcPr>
          <w:p w14:paraId="060DADF1" w14:textId="77777777" w:rsidR="002B2ED7" w:rsidRPr="002B2ED7" w:rsidRDefault="002B2ED7" w:rsidP="002B2ED7">
            <w:pPr>
              <w:widowControl/>
              <w:autoSpaceDE/>
              <w:autoSpaceDN/>
              <w:rPr>
                <w:rFonts w:eastAsia="Times New Roman"/>
                <w:color w:val="000000"/>
                <w:sz w:val="20"/>
                <w:szCs w:val="20"/>
                <w:lang w:eastAsia="pt-BR" w:bidi="ar-SA"/>
              </w:rPr>
            </w:pPr>
          </w:p>
        </w:tc>
        <w:tc>
          <w:tcPr>
            <w:tcW w:w="1594" w:type="dxa"/>
            <w:vMerge/>
            <w:tcBorders>
              <w:top w:val="nil"/>
              <w:left w:val="single" w:sz="4" w:space="0" w:color="auto"/>
              <w:bottom w:val="nil"/>
              <w:right w:val="single" w:sz="4" w:space="0" w:color="auto"/>
            </w:tcBorders>
            <w:vAlign w:val="center"/>
            <w:hideMark/>
          </w:tcPr>
          <w:p w14:paraId="55D69977" w14:textId="77777777" w:rsidR="002B2ED7" w:rsidRPr="002B2ED7" w:rsidRDefault="002B2ED7" w:rsidP="002B2ED7">
            <w:pPr>
              <w:widowControl/>
              <w:autoSpaceDE/>
              <w:autoSpaceDN/>
              <w:rPr>
                <w:rFonts w:eastAsia="Times New Roman"/>
                <w:sz w:val="20"/>
                <w:szCs w:val="20"/>
                <w:lang w:eastAsia="pt-BR" w:bidi="ar-SA"/>
              </w:rPr>
            </w:pPr>
          </w:p>
        </w:tc>
        <w:tc>
          <w:tcPr>
            <w:tcW w:w="3357" w:type="dxa"/>
            <w:tcBorders>
              <w:top w:val="nil"/>
              <w:left w:val="nil"/>
              <w:bottom w:val="nil"/>
              <w:right w:val="single" w:sz="4" w:space="0" w:color="auto"/>
            </w:tcBorders>
            <w:shd w:val="clear" w:color="auto" w:fill="auto"/>
            <w:vAlign w:val="center"/>
            <w:hideMark/>
          </w:tcPr>
          <w:p w14:paraId="24CA5CCC" w14:textId="77777777" w:rsidR="002B2ED7" w:rsidRPr="002B2ED7" w:rsidRDefault="002B2ED7" w:rsidP="002B2ED7">
            <w:pPr>
              <w:widowControl/>
              <w:autoSpaceDE/>
              <w:autoSpaceDN/>
              <w:rPr>
                <w:rFonts w:eastAsia="Times New Roman"/>
                <w:color w:val="000000"/>
                <w:sz w:val="20"/>
                <w:szCs w:val="20"/>
                <w:lang w:eastAsia="pt-BR" w:bidi="ar-SA"/>
              </w:rPr>
            </w:pPr>
            <w:r w:rsidRPr="002B2ED7">
              <w:rPr>
                <w:rFonts w:eastAsia="Times New Roman"/>
                <w:color w:val="000000"/>
                <w:sz w:val="20"/>
                <w:szCs w:val="20"/>
                <w:lang w:eastAsia="pt-BR" w:bidi="ar-SA"/>
              </w:rPr>
              <w:t>4. Prover 50% dos cargos gerenciais vagos (por escolha da diretoria) da Valec por meio de processos seletivos até dezembro de 2021</w:t>
            </w:r>
          </w:p>
        </w:tc>
        <w:tc>
          <w:tcPr>
            <w:tcW w:w="1053" w:type="dxa"/>
            <w:tcBorders>
              <w:top w:val="nil"/>
              <w:left w:val="nil"/>
              <w:bottom w:val="nil"/>
              <w:right w:val="single" w:sz="4" w:space="0" w:color="auto"/>
            </w:tcBorders>
            <w:shd w:val="clear" w:color="000000" w:fill="66FF33"/>
            <w:vAlign w:val="center"/>
            <w:hideMark/>
          </w:tcPr>
          <w:p w14:paraId="0256CD8A"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t>57,14%</w:t>
            </w:r>
          </w:p>
        </w:tc>
        <w:tc>
          <w:tcPr>
            <w:tcW w:w="2013" w:type="dxa"/>
            <w:tcBorders>
              <w:top w:val="nil"/>
              <w:left w:val="nil"/>
              <w:bottom w:val="nil"/>
            </w:tcBorders>
            <w:shd w:val="clear" w:color="auto" w:fill="auto"/>
            <w:vAlign w:val="center"/>
            <w:hideMark/>
          </w:tcPr>
          <w:p w14:paraId="5717C8ED" w14:textId="77777777" w:rsidR="002B2ED7" w:rsidRPr="002B2ED7" w:rsidRDefault="002B2ED7" w:rsidP="002B2ED7">
            <w:pPr>
              <w:widowControl/>
              <w:autoSpaceDE/>
              <w:autoSpaceDN/>
              <w:rPr>
                <w:rFonts w:eastAsia="Times New Roman"/>
                <w:color w:val="000000"/>
                <w:sz w:val="18"/>
                <w:szCs w:val="18"/>
                <w:lang w:eastAsia="pt-BR" w:bidi="ar-SA"/>
              </w:rPr>
            </w:pPr>
            <w:r w:rsidRPr="002B2ED7">
              <w:rPr>
                <w:rFonts w:eastAsia="Times New Roman"/>
                <w:color w:val="000000"/>
                <w:sz w:val="18"/>
                <w:szCs w:val="18"/>
                <w:lang w:eastAsia="pt-BR" w:bidi="ar-SA"/>
              </w:rPr>
              <w:t> </w:t>
            </w:r>
          </w:p>
        </w:tc>
      </w:tr>
      <w:tr w:rsidR="002B2ED7" w:rsidRPr="002B2ED7" w14:paraId="458A12A1" w14:textId="77777777" w:rsidTr="002B2ED7">
        <w:trPr>
          <w:trHeight w:val="510"/>
        </w:trPr>
        <w:tc>
          <w:tcPr>
            <w:tcW w:w="1612" w:type="dxa"/>
            <w:vMerge w:val="restart"/>
            <w:tcBorders>
              <w:top w:val="single" w:sz="8" w:space="0" w:color="auto"/>
              <w:bottom w:val="single" w:sz="8" w:space="0" w:color="000000"/>
              <w:right w:val="single" w:sz="4" w:space="0" w:color="auto"/>
            </w:tcBorders>
            <w:shd w:val="clear" w:color="auto" w:fill="auto"/>
            <w:vAlign w:val="center"/>
            <w:hideMark/>
          </w:tcPr>
          <w:p w14:paraId="516ED62A"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lastRenderedPageBreak/>
              <w:t>Objetivo 3.3 - Modernizar e simplificar processos e instituir cultura de gestão de resultados</w:t>
            </w:r>
          </w:p>
        </w:tc>
        <w:tc>
          <w:tcPr>
            <w:tcW w:w="1594" w:type="dxa"/>
            <w:vMerge w:val="restart"/>
            <w:tcBorders>
              <w:top w:val="single" w:sz="8" w:space="0" w:color="auto"/>
              <w:left w:val="single" w:sz="4" w:space="0" w:color="auto"/>
              <w:bottom w:val="single" w:sz="8" w:space="0" w:color="000000"/>
              <w:right w:val="single" w:sz="4" w:space="0" w:color="auto"/>
            </w:tcBorders>
            <w:shd w:val="clear" w:color="000000" w:fill="00B050"/>
            <w:vAlign w:val="center"/>
            <w:hideMark/>
          </w:tcPr>
          <w:p w14:paraId="241AE918" w14:textId="77777777" w:rsidR="002B2ED7" w:rsidRPr="002B2ED7" w:rsidRDefault="002B2ED7" w:rsidP="002B2ED7">
            <w:pPr>
              <w:widowControl/>
              <w:autoSpaceDE/>
              <w:autoSpaceDN/>
              <w:jc w:val="center"/>
              <w:rPr>
                <w:rFonts w:eastAsia="Times New Roman"/>
                <w:sz w:val="20"/>
                <w:szCs w:val="20"/>
                <w:lang w:eastAsia="pt-BR" w:bidi="ar-SA"/>
              </w:rPr>
            </w:pPr>
            <w:r w:rsidRPr="002B2ED7">
              <w:rPr>
                <w:rFonts w:eastAsia="Times New Roman"/>
                <w:sz w:val="20"/>
                <w:szCs w:val="20"/>
                <w:lang w:eastAsia="pt-BR" w:bidi="ar-SA"/>
              </w:rPr>
              <w:t>100,00%</w:t>
            </w:r>
          </w:p>
        </w:tc>
        <w:tc>
          <w:tcPr>
            <w:tcW w:w="3357" w:type="dxa"/>
            <w:tcBorders>
              <w:top w:val="single" w:sz="8" w:space="0" w:color="auto"/>
              <w:left w:val="nil"/>
              <w:bottom w:val="single" w:sz="4" w:space="0" w:color="auto"/>
              <w:right w:val="single" w:sz="4" w:space="0" w:color="auto"/>
            </w:tcBorders>
            <w:shd w:val="clear" w:color="auto" w:fill="auto"/>
            <w:vAlign w:val="center"/>
            <w:hideMark/>
          </w:tcPr>
          <w:p w14:paraId="376CFD69" w14:textId="77777777" w:rsidR="002B2ED7" w:rsidRPr="002B2ED7" w:rsidRDefault="002B2ED7" w:rsidP="002B2ED7">
            <w:pPr>
              <w:widowControl/>
              <w:autoSpaceDE/>
              <w:autoSpaceDN/>
              <w:rPr>
                <w:rFonts w:eastAsia="Times New Roman"/>
                <w:color w:val="000000"/>
                <w:sz w:val="20"/>
                <w:szCs w:val="20"/>
                <w:lang w:eastAsia="pt-BR" w:bidi="ar-SA"/>
              </w:rPr>
            </w:pPr>
            <w:r w:rsidRPr="002B2ED7">
              <w:rPr>
                <w:rFonts w:eastAsia="Times New Roman"/>
                <w:color w:val="000000"/>
                <w:sz w:val="20"/>
                <w:szCs w:val="20"/>
                <w:lang w:eastAsia="pt-BR" w:bidi="ar-SA"/>
              </w:rPr>
              <w:t>1. (Re)desenhar 2 processos-chave até dezembro de 2022</w:t>
            </w:r>
          </w:p>
        </w:tc>
        <w:tc>
          <w:tcPr>
            <w:tcW w:w="1053" w:type="dxa"/>
            <w:tcBorders>
              <w:top w:val="single" w:sz="8" w:space="0" w:color="auto"/>
              <w:left w:val="nil"/>
              <w:bottom w:val="single" w:sz="4" w:space="0" w:color="auto"/>
              <w:right w:val="single" w:sz="4" w:space="0" w:color="auto"/>
            </w:tcBorders>
            <w:shd w:val="clear" w:color="000000" w:fill="00B050"/>
            <w:vAlign w:val="center"/>
            <w:hideMark/>
          </w:tcPr>
          <w:p w14:paraId="6B4267C1"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t>100,00%</w:t>
            </w:r>
          </w:p>
        </w:tc>
        <w:tc>
          <w:tcPr>
            <w:tcW w:w="2013" w:type="dxa"/>
            <w:tcBorders>
              <w:top w:val="single" w:sz="8" w:space="0" w:color="auto"/>
              <w:left w:val="nil"/>
              <w:bottom w:val="single" w:sz="4" w:space="0" w:color="auto"/>
            </w:tcBorders>
            <w:shd w:val="clear" w:color="auto" w:fill="auto"/>
            <w:vAlign w:val="center"/>
            <w:hideMark/>
          </w:tcPr>
          <w:p w14:paraId="6D93434F" w14:textId="77777777" w:rsidR="002B2ED7" w:rsidRPr="002B2ED7" w:rsidRDefault="002B2ED7" w:rsidP="002B2ED7">
            <w:pPr>
              <w:widowControl/>
              <w:autoSpaceDE/>
              <w:autoSpaceDN/>
              <w:rPr>
                <w:rFonts w:eastAsia="Times New Roman"/>
                <w:color w:val="000000"/>
                <w:sz w:val="18"/>
                <w:szCs w:val="18"/>
                <w:lang w:eastAsia="pt-BR" w:bidi="ar-SA"/>
              </w:rPr>
            </w:pPr>
            <w:r w:rsidRPr="002B2ED7">
              <w:rPr>
                <w:rFonts w:eastAsia="Times New Roman"/>
                <w:color w:val="000000"/>
                <w:sz w:val="18"/>
                <w:szCs w:val="18"/>
                <w:lang w:eastAsia="pt-BR" w:bidi="ar-SA"/>
              </w:rPr>
              <w:t> </w:t>
            </w:r>
          </w:p>
        </w:tc>
      </w:tr>
      <w:tr w:rsidR="002B2ED7" w:rsidRPr="002B2ED7" w14:paraId="6F853E90" w14:textId="77777777" w:rsidTr="002B2ED7">
        <w:trPr>
          <w:trHeight w:val="2160"/>
        </w:trPr>
        <w:tc>
          <w:tcPr>
            <w:tcW w:w="1612" w:type="dxa"/>
            <w:vMerge/>
            <w:tcBorders>
              <w:top w:val="single" w:sz="8" w:space="0" w:color="auto"/>
              <w:bottom w:val="single" w:sz="8" w:space="0" w:color="000000"/>
              <w:right w:val="single" w:sz="4" w:space="0" w:color="auto"/>
            </w:tcBorders>
            <w:vAlign w:val="center"/>
            <w:hideMark/>
          </w:tcPr>
          <w:p w14:paraId="5CF977BD" w14:textId="77777777" w:rsidR="002B2ED7" w:rsidRPr="002B2ED7" w:rsidRDefault="002B2ED7" w:rsidP="002B2ED7">
            <w:pPr>
              <w:widowControl/>
              <w:autoSpaceDE/>
              <w:autoSpaceDN/>
              <w:rPr>
                <w:rFonts w:eastAsia="Times New Roman"/>
                <w:color w:val="000000"/>
                <w:sz w:val="20"/>
                <w:szCs w:val="20"/>
                <w:lang w:eastAsia="pt-BR" w:bidi="ar-SA"/>
              </w:rPr>
            </w:pPr>
          </w:p>
        </w:tc>
        <w:tc>
          <w:tcPr>
            <w:tcW w:w="1594" w:type="dxa"/>
            <w:vMerge/>
            <w:tcBorders>
              <w:top w:val="single" w:sz="8" w:space="0" w:color="auto"/>
              <w:left w:val="single" w:sz="4" w:space="0" w:color="auto"/>
              <w:bottom w:val="single" w:sz="8" w:space="0" w:color="000000"/>
              <w:right w:val="single" w:sz="4" w:space="0" w:color="auto"/>
            </w:tcBorders>
            <w:vAlign w:val="center"/>
            <w:hideMark/>
          </w:tcPr>
          <w:p w14:paraId="697371E9" w14:textId="77777777" w:rsidR="002B2ED7" w:rsidRPr="002B2ED7" w:rsidRDefault="002B2ED7" w:rsidP="002B2ED7">
            <w:pPr>
              <w:widowControl/>
              <w:autoSpaceDE/>
              <w:autoSpaceDN/>
              <w:rPr>
                <w:rFonts w:eastAsia="Times New Roman"/>
                <w:sz w:val="20"/>
                <w:szCs w:val="20"/>
                <w:lang w:eastAsia="pt-BR" w:bidi="ar-SA"/>
              </w:rPr>
            </w:pPr>
          </w:p>
        </w:tc>
        <w:tc>
          <w:tcPr>
            <w:tcW w:w="3357" w:type="dxa"/>
            <w:tcBorders>
              <w:top w:val="nil"/>
              <w:left w:val="nil"/>
              <w:bottom w:val="single" w:sz="4" w:space="0" w:color="auto"/>
              <w:right w:val="single" w:sz="4" w:space="0" w:color="auto"/>
            </w:tcBorders>
            <w:shd w:val="clear" w:color="auto" w:fill="auto"/>
            <w:vAlign w:val="center"/>
            <w:hideMark/>
          </w:tcPr>
          <w:p w14:paraId="0CE5F933" w14:textId="77777777" w:rsidR="002B2ED7" w:rsidRPr="002B2ED7" w:rsidRDefault="002B2ED7" w:rsidP="002B2ED7">
            <w:pPr>
              <w:widowControl/>
              <w:autoSpaceDE/>
              <w:autoSpaceDN/>
              <w:rPr>
                <w:rFonts w:eastAsia="Times New Roman"/>
                <w:color w:val="000000"/>
                <w:sz w:val="20"/>
                <w:szCs w:val="20"/>
                <w:lang w:eastAsia="pt-BR" w:bidi="ar-SA"/>
              </w:rPr>
            </w:pPr>
            <w:r w:rsidRPr="002B2ED7">
              <w:rPr>
                <w:rFonts w:eastAsia="Times New Roman"/>
                <w:color w:val="000000"/>
                <w:sz w:val="20"/>
                <w:szCs w:val="20"/>
                <w:lang w:eastAsia="pt-BR" w:bidi="ar-SA"/>
              </w:rPr>
              <w:t>2. Implantar 25% da gestão de riscos estratégicos a partir dos principais riscos identificados até dezembro de 2021</w:t>
            </w:r>
          </w:p>
        </w:tc>
        <w:tc>
          <w:tcPr>
            <w:tcW w:w="1053" w:type="dxa"/>
            <w:tcBorders>
              <w:top w:val="nil"/>
              <w:left w:val="nil"/>
              <w:bottom w:val="single" w:sz="4" w:space="0" w:color="auto"/>
              <w:right w:val="single" w:sz="4" w:space="0" w:color="auto"/>
            </w:tcBorders>
            <w:shd w:val="clear" w:color="000000" w:fill="C5ADCB"/>
            <w:vAlign w:val="center"/>
            <w:hideMark/>
          </w:tcPr>
          <w:p w14:paraId="6D95CF2C"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t>0,00%</w:t>
            </w:r>
          </w:p>
        </w:tc>
        <w:tc>
          <w:tcPr>
            <w:tcW w:w="2013" w:type="dxa"/>
            <w:tcBorders>
              <w:top w:val="nil"/>
              <w:left w:val="nil"/>
              <w:bottom w:val="single" w:sz="4" w:space="0" w:color="auto"/>
            </w:tcBorders>
            <w:shd w:val="clear" w:color="auto" w:fill="auto"/>
            <w:vAlign w:val="center"/>
            <w:hideMark/>
          </w:tcPr>
          <w:p w14:paraId="2739CD49" w14:textId="77777777" w:rsidR="002B2ED7" w:rsidRPr="002B2ED7" w:rsidRDefault="002B2ED7" w:rsidP="002B2ED7">
            <w:pPr>
              <w:widowControl/>
              <w:autoSpaceDE/>
              <w:autoSpaceDN/>
              <w:rPr>
                <w:rFonts w:eastAsia="Times New Roman"/>
                <w:color w:val="000000"/>
                <w:sz w:val="18"/>
                <w:szCs w:val="18"/>
                <w:lang w:eastAsia="pt-BR" w:bidi="ar-SA"/>
              </w:rPr>
            </w:pPr>
            <w:r w:rsidRPr="002B2ED7">
              <w:rPr>
                <w:rFonts w:eastAsia="Times New Roman"/>
                <w:color w:val="000000"/>
                <w:sz w:val="18"/>
                <w:szCs w:val="18"/>
                <w:lang w:eastAsia="pt-BR" w:bidi="ar-SA"/>
              </w:rPr>
              <w:t>Paralisação da meta devido a alteração da metodologia de gestão de riscos e reinício do processo de gerenciamento de riscos na Valec, conforme deliberação da 391º Reunião do CONSAD. A meta será monitorada a partir do 1º trimestre de 2022 com alteração de texto para “Implantar 100% da gestão de riscos a partir dos principais riscos identificados até março de 2022”</w:t>
            </w:r>
          </w:p>
        </w:tc>
      </w:tr>
      <w:tr w:rsidR="002B2ED7" w:rsidRPr="002B2ED7" w14:paraId="6D6F0115" w14:textId="77777777" w:rsidTr="002B2ED7">
        <w:trPr>
          <w:trHeight w:val="1680"/>
        </w:trPr>
        <w:tc>
          <w:tcPr>
            <w:tcW w:w="1612" w:type="dxa"/>
            <w:vMerge/>
            <w:tcBorders>
              <w:top w:val="single" w:sz="8" w:space="0" w:color="auto"/>
              <w:bottom w:val="single" w:sz="8" w:space="0" w:color="000000"/>
              <w:right w:val="single" w:sz="4" w:space="0" w:color="auto"/>
            </w:tcBorders>
            <w:vAlign w:val="center"/>
            <w:hideMark/>
          </w:tcPr>
          <w:p w14:paraId="65BDFA5E" w14:textId="77777777" w:rsidR="002B2ED7" w:rsidRPr="002B2ED7" w:rsidRDefault="002B2ED7" w:rsidP="002B2ED7">
            <w:pPr>
              <w:widowControl/>
              <w:autoSpaceDE/>
              <w:autoSpaceDN/>
              <w:rPr>
                <w:rFonts w:eastAsia="Times New Roman"/>
                <w:color w:val="000000"/>
                <w:sz w:val="20"/>
                <w:szCs w:val="20"/>
                <w:lang w:eastAsia="pt-BR" w:bidi="ar-SA"/>
              </w:rPr>
            </w:pPr>
          </w:p>
        </w:tc>
        <w:tc>
          <w:tcPr>
            <w:tcW w:w="1594" w:type="dxa"/>
            <w:vMerge/>
            <w:tcBorders>
              <w:top w:val="single" w:sz="8" w:space="0" w:color="auto"/>
              <w:left w:val="single" w:sz="4" w:space="0" w:color="auto"/>
              <w:bottom w:val="single" w:sz="8" w:space="0" w:color="000000"/>
              <w:right w:val="single" w:sz="4" w:space="0" w:color="auto"/>
            </w:tcBorders>
            <w:vAlign w:val="center"/>
            <w:hideMark/>
          </w:tcPr>
          <w:p w14:paraId="443AE341" w14:textId="77777777" w:rsidR="002B2ED7" w:rsidRPr="002B2ED7" w:rsidRDefault="002B2ED7" w:rsidP="002B2ED7">
            <w:pPr>
              <w:widowControl/>
              <w:autoSpaceDE/>
              <w:autoSpaceDN/>
              <w:rPr>
                <w:rFonts w:eastAsia="Times New Roman"/>
                <w:sz w:val="20"/>
                <w:szCs w:val="20"/>
                <w:lang w:eastAsia="pt-BR" w:bidi="ar-SA"/>
              </w:rPr>
            </w:pPr>
          </w:p>
        </w:tc>
        <w:tc>
          <w:tcPr>
            <w:tcW w:w="3357" w:type="dxa"/>
            <w:tcBorders>
              <w:top w:val="nil"/>
              <w:left w:val="nil"/>
              <w:bottom w:val="single" w:sz="4" w:space="0" w:color="auto"/>
              <w:right w:val="single" w:sz="4" w:space="0" w:color="auto"/>
            </w:tcBorders>
            <w:shd w:val="clear" w:color="auto" w:fill="auto"/>
            <w:vAlign w:val="center"/>
            <w:hideMark/>
          </w:tcPr>
          <w:p w14:paraId="222D1F2A" w14:textId="77777777" w:rsidR="002B2ED7" w:rsidRPr="002B2ED7" w:rsidRDefault="002B2ED7" w:rsidP="002B2ED7">
            <w:pPr>
              <w:widowControl/>
              <w:autoSpaceDE/>
              <w:autoSpaceDN/>
              <w:rPr>
                <w:rFonts w:eastAsia="Times New Roman"/>
                <w:color w:val="000000"/>
                <w:sz w:val="20"/>
                <w:szCs w:val="20"/>
                <w:lang w:eastAsia="pt-BR" w:bidi="ar-SA"/>
              </w:rPr>
            </w:pPr>
            <w:r w:rsidRPr="002B2ED7">
              <w:rPr>
                <w:rFonts w:eastAsia="Times New Roman"/>
                <w:color w:val="000000"/>
                <w:sz w:val="20"/>
                <w:szCs w:val="20"/>
                <w:lang w:eastAsia="pt-BR" w:bidi="ar-SA"/>
              </w:rPr>
              <w:t xml:space="preserve">3. Tornar público as informações sobre metas, indicadores, projetos e riscos estratégicos até julho de 2021 </w:t>
            </w:r>
          </w:p>
        </w:tc>
        <w:tc>
          <w:tcPr>
            <w:tcW w:w="1053" w:type="dxa"/>
            <w:tcBorders>
              <w:top w:val="nil"/>
              <w:left w:val="nil"/>
              <w:bottom w:val="single" w:sz="4" w:space="0" w:color="auto"/>
              <w:right w:val="single" w:sz="4" w:space="0" w:color="auto"/>
            </w:tcBorders>
            <w:shd w:val="clear" w:color="000000" w:fill="C5ADCB"/>
            <w:vAlign w:val="center"/>
            <w:hideMark/>
          </w:tcPr>
          <w:p w14:paraId="38114CF9"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t>0,00%</w:t>
            </w:r>
          </w:p>
        </w:tc>
        <w:tc>
          <w:tcPr>
            <w:tcW w:w="2013" w:type="dxa"/>
            <w:tcBorders>
              <w:top w:val="nil"/>
              <w:left w:val="nil"/>
              <w:bottom w:val="single" w:sz="4" w:space="0" w:color="auto"/>
            </w:tcBorders>
            <w:shd w:val="clear" w:color="auto" w:fill="auto"/>
            <w:vAlign w:val="center"/>
            <w:hideMark/>
          </w:tcPr>
          <w:p w14:paraId="0AC2C793" w14:textId="77777777" w:rsidR="002B2ED7" w:rsidRPr="002B2ED7" w:rsidRDefault="002B2ED7" w:rsidP="002B2ED7">
            <w:pPr>
              <w:widowControl/>
              <w:autoSpaceDE/>
              <w:autoSpaceDN/>
              <w:rPr>
                <w:rFonts w:eastAsia="Times New Roman"/>
                <w:color w:val="000000"/>
                <w:sz w:val="18"/>
                <w:szCs w:val="18"/>
                <w:lang w:eastAsia="pt-BR" w:bidi="ar-SA"/>
              </w:rPr>
            </w:pPr>
            <w:r w:rsidRPr="002B2ED7">
              <w:rPr>
                <w:rFonts w:eastAsia="Times New Roman"/>
                <w:color w:val="000000"/>
                <w:sz w:val="18"/>
                <w:szCs w:val="18"/>
                <w:lang w:eastAsia="pt-BR" w:bidi="ar-SA"/>
              </w:rPr>
              <w:t>A meta não estava clara sobre o objetivo de transparência dessa divulgação, se era para público interno ou externo. Por isso, optou-se por uma meta que refletisse a transparência, considerando boas práticas, como o Grau de Transparência Ativa da CGU. Meta substituída pela nova meta 3.3.4</w:t>
            </w:r>
          </w:p>
        </w:tc>
      </w:tr>
      <w:tr w:rsidR="002B2ED7" w:rsidRPr="002B2ED7" w14:paraId="0EF4E3DB" w14:textId="77777777" w:rsidTr="002B2ED7">
        <w:trPr>
          <w:trHeight w:val="780"/>
        </w:trPr>
        <w:tc>
          <w:tcPr>
            <w:tcW w:w="1612" w:type="dxa"/>
            <w:vMerge/>
            <w:tcBorders>
              <w:top w:val="single" w:sz="8" w:space="0" w:color="auto"/>
              <w:bottom w:val="single" w:sz="8" w:space="0" w:color="000000"/>
              <w:right w:val="single" w:sz="4" w:space="0" w:color="auto"/>
            </w:tcBorders>
            <w:vAlign w:val="center"/>
            <w:hideMark/>
          </w:tcPr>
          <w:p w14:paraId="568962B0" w14:textId="77777777" w:rsidR="002B2ED7" w:rsidRPr="002B2ED7" w:rsidRDefault="002B2ED7" w:rsidP="002B2ED7">
            <w:pPr>
              <w:widowControl/>
              <w:autoSpaceDE/>
              <w:autoSpaceDN/>
              <w:rPr>
                <w:rFonts w:eastAsia="Times New Roman"/>
                <w:color w:val="000000"/>
                <w:sz w:val="20"/>
                <w:szCs w:val="20"/>
                <w:lang w:eastAsia="pt-BR" w:bidi="ar-SA"/>
              </w:rPr>
            </w:pPr>
          </w:p>
        </w:tc>
        <w:tc>
          <w:tcPr>
            <w:tcW w:w="1594" w:type="dxa"/>
            <w:vMerge/>
            <w:tcBorders>
              <w:top w:val="single" w:sz="8" w:space="0" w:color="auto"/>
              <w:left w:val="single" w:sz="4" w:space="0" w:color="auto"/>
              <w:bottom w:val="single" w:sz="8" w:space="0" w:color="000000"/>
              <w:right w:val="single" w:sz="4" w:space="0" w:color="auto"/>
            </w:tcBorders>
            <w:vAlign w:val="center"/>
            <w:hideMark/>
          </w:tcPr>
          <w:p w14:paraId="6F9BCEAE" w14:textId="77777777" w:rsidR="002B2ED7" w:rsidRPr="002B2ED7" w:rsidRDefault="002B2ED7" w:rsidP="002B2ED7">
            <w:pPr>
              <w:widowControl/>
              <w:autoSpaceDE/>
              <w:autoSpaceDN/>
              <w:rPr>
                <w:rFonts w:eastAsia="Times New Roman"/>
                <w:sz w:val="20"/>
                <w:szCs w:val="20"/>
                <w:lang w:eastAsia="pt-BR" w:bidi="ar-SA"/>
              </w:rPr>
            </w:pPr>
          </w:p>
        </w:tc>
        <w:tc>
          <w:tcPr>
            <w:tcW w:w="3357" w:type="dxa"/>
            <w:tcBorders>
              <w:top w:val="nil"/>
              <w:left w:val="nil"/>
              <w:bottom w:val="single" w:sz="8" w:space="0" w:color="auto"/>
              <w:right w:val="single" w:sz="4" w:space="0" w:color="auto"/>
            </w:tcBorders>
            <w:shd w:val="clear" w:color="auto" w:fill="auto"/>
            <w:vAlign w:val="center"/>
            <w:hideMark/>
          </w:tcPr>
          <w:p w14:paraId="4754D3C2" w14:textId="77777777" w:rsidR="002B2ED7" w:rsidRPr="002B2ED7" w:rsidRDefault="002B2ED7" w:rsidP="002B2ED7">
            <w:pPr>
              <w:widowControl/>
              <w:autoSpaceDE/>
              <w:autoSpaceDN/>
              <w:rPr>
                <w:rFonts w:eastAsia="Times New Roman"/>
                <w:color w:val="000000"/>
                <w:sz w:val="20"/>
                <w:szCs w:val="20"/>
                <w:lang w:eastAsia="pt-BR" w:bidi="ar-SA"/>
              </w:rPr>
            </w:pPr>
            <w:r w:rsidRPr="002B2ED7">
              <w:rPr>
                <w:rFonts w:eastAsia="Times New Roman"/>
                <w:color w:val="000000"/>
                <w:sz w:val="20"/>
                <w:szCs w:val="20"/>
                <w:lang w:eastAsia="pt-BR" w:bidi="ar-SA"/>
              </w:rPr>
              <w:t>4. Alcançar 50% de transparência ativa conforme as dimensões do Grau de Transparência Ativa (GTA)</w:t>
            </w:r>
          </w:p>
        </w:tc>
        <w:tc>
          <w:tcPr>
            <w:tcW w:w="1053" w:type="dxa"/>
            <w:tcBorders>
              <w:top w:val="nil"/>
              <w:left w:val="nil"/>
              <w:bottom w:val="single" w:sz="8" w:space="0" w:color="auto"/>
              <w:right w:val="single" w:sz="4" w:space="0" w:color="auto"/>
            </w:tcBorders>
            <w:shd w:val="clear" w:color="000000" w:fill="00B050"/>
            <w:vAlign w:val="center"/>
            <w:hideMark/>
          </w:tcPr>
          <w:p w14:paraId="1C4C9EB5"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t>110,00%</w:t>
            </w:r>
          </w:p>
        </w:tc>
        <w:tc>
          <w:tcPr>
            <w:tcW w:w="2013" w:type="dxa"/>
            <w:tcBorders>
              <w:top w:val="nil"/>
              <w:left w:val="nil"/>
              <w:bottom w:val="single" w:sz="8" w:space="0" w:color="auto"/>
            </w:tcBorders>
            <w:shd w:val="clear" w:color="auto" w:fill="auto"/>
            <w:vAlign w:val="center"/>
            <w:hideMark/>
          </w:tcPr>
          <w:p w14:paraId="42714871" w14:textId="77777777" w:rsidR="002B2ED7" w:rsidRPr="002B2ED7" w:rsidRDefault="002B2ED7" w:rsidP="002B2ED7">
            <w:pPr>
              <w:widowControl/>
              <w:autoSpaceDE/>
              <w:autoSpaceDN/>
              <w:rPr>
                <w:rFonts w:eastAsia="Times New Roman"/>
                <w:color w:val="000000"/>
                <w:sz w:val="18"/>
                <w:szCs w:val="18"/>
                <w:lang w:eastAsia="pt-BR" w:bidi="ar-SA"/>
              </w:rPr>
            </w:pPr>
            <w:r w:rsidRPr="002B2ED7">
              <w:rPr>
                <w:rFonts w:eastAsia="Times New Roman"/>
                <w:color w:val="000000"/>
                <w:sz w:val="18"/>
                <w:szCs w:val="18"/>
                <w:lang w:eastAsia="pt-BR" w:bidi="ar-SA"/>
              </w:rPr>
              <w:t> </w:t>
            </w:r>
          </w:p>
        </w:tc>
      </w:tr>
      <w:tr w:rsidR="002B2ED7" w:rsidRPr="002B2ED7" w14:paraId="53D41381" w14:textId="77777777" w:rsidTr="002B2ED7">
        <w:trPr>
          <w:trHeight w:val="765"/>
        </w:trPr>
        <w:tc>
          <w:tcPr>
            <w:tcW w:w="1612" w:type="dxa"/>
            <w:vMerge w:val="restart"/>
            <w:tcBorders>
              <w:top w:val="nil"/>
              <w:bottom w:val="single" w:sz="8" w:space="0" w:color="000000"/>
              <w:right w:val="single" w:sz="4" w:space="0" w:color="auto"/>
            </w:tcBorders>
            <w:shd w:val="clear" w:color="auto" w:fill="auto"/>
            <w:vAlign w:val="center"/>
            <w:hideMark/>
          </w:tcPr>
          <w:p w14:paraId="63D60300"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t>Objetivo 3.4 - Fortalecer a integridade, confiabilidade, transparência e promover ações de melhoria de gestão de riscos e de controles internos</w:t>
            </w:r>
          </w:p>
        </w:tc>
        <w:tc>
          <w:tcPr>
            <w:tcW w:w="1594" w:type="dxa"/>
            <w:vMerge w:val="restart"/>
            <w:tcBorders>
              <w:top w:val="nil"/>
              <w:left w:val="single" w:sz="4" w:space="0" w:color="auto"/>
              <w:bottom w:val="single" w:sz="8" w:space="0" w:color="000000"/>
              <w:right w:val="single" w:sz="4" w:space="0" w:color="auto"/>
            </w:tcBorders>
            <w:shd w:val="clear" w:color="000000" w:fill="00B050"/>
            <w:vAlign w:val="center"/>
            <w:hideMark/>
          </w:tcPr>
          <w:p w14:paraId="243E0AEB" w14:textId="77777777" w:rsidR="002B2ED7" w:rsidRPr="002B2ED7" w:rsidRDefault="002B2ED7" w:rsidP="002B2ED7">
            <w:pPr>
              <w:widowControl/>
              <w:autoSpaceDE/>
              <w:autoSpaceDN/>
              <w:jc w:val="center"/>
              <w:rPr>
                <w:rFonts w:eastAsia="Times New Roman"/>
                <w:sz w:val="20"/>
                <w:szCs w:val="20"/>
                <w:lang w:eastAsia="pt-BR" w:bidi="ar-SA"/>
              </w:rPr>
            </w:pPr>
            <w:r w:rsidRPr="002B2ED7">
              <w:rPr>
                <w:rFonts w:eastAsia="Times New Roman"/>
                <w:sz w:val="20"/>
                <w:szCs w:val="20"/>
                <w:lang w:eastAsia="pt-BR" w:bidi="ar-SA"/>
              </w:rPr>
              <w:t>93,00%</w:t>
            </w:r>
          </w:p>
        </w:tc>
        <w:tc>
          <w:tcPr>
            <w:tcW w:w="3357" w:type="dxa"/>
            <w:tcBorders>
              <w:top w:val="nil"/>
              <w:left w:val="nil"/>
              <w:bottom w:val="single" w:sz="4" w:space="0" w:color="auto"/>
              <w:right w:val="single" w:sz="4" w:space="0" w:color="auto"/>
            </w:tcBorders>
            <w:shd w:val="clear" w:color="auto" w:fill="auto"/>
            <w:vAlign w:val="center"/>
            <w:hideMark/>
          </w:tcPr>
          <w:p w14:paraId="7B358CC5" w14:textId="77777777" w:rsidR="002B2ED7" w:rsidRPr="002B2ED7" w:rsidRDefault="002B2ED7" w:rsidP="002B2ED7">
            <w:pPr>
              <w:widowControl/>
              <w:autoSpaceDE/>
              <w:autoSpaceDN/>
              <w:rPr>
                <w:rFonts w:eastAsia="Times New Roman"/>
                <w:color w:val="000000"/>
                <w:sz w:val="20"/>
                <w:szCs w:val="20"/>
                <w:lang w:eastAsia="pt-BR" w:bidi="ar-SA"/>
              </w:rPr>
            </w:pPr>
            <w:r w:rsidRPr="002B2ED7">
              <w:rPr>
                <w:rFonts w:eastAsia="Times New Roman"/>
                <w:color w:val="000000"/>
                <w:sz w:val="20"/>
                <w:szCs w:val="20"/>
                <w:lang w:eastAsia="pt-BR" w:bidi="ar-SA"/>
              </w:rPr>
              <w:t>1. Eliminar 100% do passivo atual (junho/20) de pendências com órgãos de controle até dez/2021</w:t>
            </w:r>
          </w:p>
        </w:tc>
        <w:tc>
          <w:tcPr>
            <w:tcW w:w="1053" w:type="dxa"/>
            <w:tcBorders>
              <w:top w:val="nil"/>
              <w:left w:val="nil"/>
              <w:bottom w:val="single" w:sz="4" w:space="0" w:color="auto"/>
              <w:right w:val="single" w:sz="4" w:space="0" w:color="auto"/>
            </w:tcBorders>
            <w:shd w:val="clear" w:color="000000" w:fill="00B050"/>
            <w:vAlign w:val="center"/>
            <w:hideMark/>
          </w:tcPr>
          <w:p w14:paraId="506652A2"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t>86,29%</w:t>
            </w:r>
          </w:p>
        </w:tc>
        <w:tc>
          <w:tcPr>
            <w:tcW w:w="2013" w:type="dxa"/>
            <w:tcBorders>
              <w:top w:val="nil"/>
              <w:left w:val="nil"/>
              <w:bottom w:val="single" w:sz="4" w:space="0" w:color="auto"/>
            </w:tcBorders>
            <w:shd w:val="clear" w:color="auto" w:fill="auto"/>
            <w:vAlign w:val="center"/>
            <w:hideMark/>
          </w:tcPr>
          <w:p w14:paraId="007CEE71" w14:textId="77777777" w:rsidR="002B2ED7" w:rsidRPr="002B2ED7" w:rsidRDefault="002B2ED7" w:rsidP="002B2ED7">
            <w:pPr>
              <w:widowControl/>
              <w:autoSpaceDE/>
              <w:autoSpaceDN/>
              <w:rPr>
                <w:rFonts w:eastAsia="Times New Roman"/>
                <w:color w:val="000000"/>
                <w:sz w:val="18"/>
                <w:szCs w:val="18"/>
                <w:lang w:eastAsia="pt-BR" w:bidi="ar-SA"/>
              </w:rPr>
            </w:pPr>
            <w:r w:rsidRPr="002B2ED7">
              <w:rPr>
                <w:rFonts w:eastAsia="Times New Roman"/>
                <w:color w:val="000000"/>
                <w:sz w:val="18"/>
                <w:szCs w:val="18"/>
                <w:lang w:eastAsia="pt-BR" w:bidi="ar-SA"/>
              </w:rPr>
              <w:t> </w:t>
            </w:r>
          </w:p>
        </w:tc>
      </w:tr>
      <w:tr w:rsidR="002B2ED7" w:rsidRPr="002B2ED7" w14:paraId="414C8A8A" w14:textId="77777777" w:rsidTr="002B2ED7">
        <w:trPr>
          <w:trHeight w:val="300"/>
        </w:trPr>
        <w:tc>
          <w:tcPr>
            <w:tcW w:w="1612" w:type="dxa"/>
            <w:vMerge/>
            <w:tcBorders>
              <w:top w:val="nil"/>
              <w:bottom w:val="single" w:sz="8" w:space="0" w:color="000000"/>
              <w:right w:val="single" w:sz="4" w:space="0" w:color="auto"/>
            </w:tcBorders>
            <w:vAlign w:val="center"/>
            <w:hideMark/>
          </w:tcPr>
          <w:p w14:paraId="09FD2D62" w14:textId="77777777" w:rsidR="002B2ED7" w:rsidRPr="002B2ED7" w:rsidRDefault="002B2ED7" w:rsidP="002B2ED7">
            <w:pPr>
              <w:widowControl/>
              <w:autoSpaceDE/>
              <w:autoSpaceDN/>
              <w:rPr>
                <w:rFonts w:eastAsia="Times New Roman"/>
                <w:color w:val="000000"/>
                <w:sz w:val="20"/>
                <w:szCs w:val="20"/>
                <w:lang w:eastAsia="pt-BR" w:bidi="ar-SA"/>
              </w:rPr>
            </w:pPr>
          </w:p>
        </w:tc>
        <w:tc>
          <w:tcPr>
            <w:tcW w:w="1594" w:type="dxa"/>
            <w:vMerge/>
            <w:tcBorders>
              <w:top w:val="nil"/>
              <w:left w:val="single" w:sz="4" w:space="0" w:color="auto"/>
              <w:bottom w:val="single" w:sz="8" w:space="0" w:color="000000"/>
              <w:right w:val="single" w:sz="4" w:space="0" w:color="auto"/>
            </w:tcBorders>
            <w:vAlign w:val="center"/>
            <w:hideMark/>
          </w:tcPr>
          <w:p w14:paraId="50C2CEA9" w14:textId="77777777" w:rsidR="002B2ED7" w:rsidRPr="002B2ED7" w:rsidRDefault="002B2ED7" w:rsidP="002B2ED7">
            <w:pPr>
              <w:widowControl/>
              <w:autoSpaceDE/>
              <w:autoSpaceDN/>
              <w:rPr>
                <w:rFonts w:eastAsia="Times New Roman"/>
                <w:sz w:val="20"/>
                <w:szCs w:val="20"/>
                <w:lang w:eastAsia="pt-BR" w:bidi="ar-SA"/>
              </w:rPr>
            </w:pPr>
          </w:p>
        </w:tc>
        <w:tc>
          <w:tcPr>
            <w:tcW w:w="3357" w:type="dxa"/>
            <w:tcBorders>
              <w:top w:val="nil"/>
              <w:left w:val="nil"/>
              <w:bottom w:val="single" w:sz="4" w:space="0" w:color="auto"/>
              <w:right w:val="single" w:sz="4" w:space="0" w:color="auto"/>
            </w:tcBorders>
            <w:shd w:val="clear" w:color="auto" w:fill="auto"/>
            <w:vAlign w:val="center"/>
            <w:hideMark/>
          </w:tcPr>
          <w:p w14:paraId="5C7EFCDD" w14:textId="77777777" w:rsidR="002B2ED7" w:rsidRPr="002B2ED7" w:rsidRDefault="002B2ED7" w:rsidP="002B2ED7">
            <w:pPr>
              <w:widowControl/>
              <w:autoSpaceDE/>
              <w:autoSpaceDN/>
              <w:rPr>
                <w:rFonts w:eastAsia="Times New Roman"/>
                <w:color w:val="000000"/>
                <w:sz w:val="20"/>
                <w:szCs w:val="20"/>
                <w:lang w:eastAsia="pt-BR" w:bidi="ar-SA"/>
              </w:rPr>
            </w:pPr>
            <w:r w:rsidRPr="002B2ED7">
              <w:rPr>
                <w:rFonts w:eastAsia="Times New Roman"/>
                <w:color w:val="000000"/>
                <w:sz w:val="20"/>
                <w:szCs w:val="20"/>
                <w:lang w:eastAsia="pt-BR" w:bidi="ar-SA"/>
              </w:rPr>
              <w:t>2. Alcançar o valor do indicador de 8,35</w:t>
            </w:r>
          </w:p>
        </w:tc>
        <w:tc>
          <w:tcPr>
            <w:tcW w:w="1053" w:type="dxa"/>
            <w:tcBorders>
              <w:top w:val="nil"/>
              <w:left w:val="nil"/>
              <w:bottom w:val="single" w:sz="4" w:space="0" w:color="auto"/>
              <w:right w:val="single" w:sz="4" w:space="0" w:color="auto"/>
            </w:tcBorders>
            <w:shd w:val="clear" w:color="000000" w:fill="00B050"/>
            <w:vAlign w:val="center"/>
            <w:hideMark/>
          </w:tcPr>
          <w:p w14:paraId="0EB79177"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t>106,23%</w:t>
            </w:r>
          </w:p>
        </w:tc>
        <w:tc>
          <w:tcPr>
            <w:tcW w:w="2013" w:type="dxa"/>
            <w:tcBorders>
              <w:top w:val="nil"/>
              <w:left w:val="nil"/>
              <w:bottom w:val="single" w:sz="4" w:space="0" w:color="auto"/>
            </w:tcBorders>
            <w:shd w:val="clear" w:color="auto" w:fill="auto"/>
            <w:vAlign w:val="center"/>
            <w:hideMark/>
          </w:tcPr>
          <w:p w14:paraId="33543A47" w14:textId="77777777" w:rsidR="002B2ED7" w:rsidRPr="002B2ED7" w:rsidRDefault="002B2ED7" w:rsidP="002B2ED7">
            <w:pPr>
              <w:widowControl/>
              <w:autoSpaceDE/>
              <w:autoSpaceDN/>
              <w:rPr>
                <w:rFonts w:eastAsia="Times New Roman"/>
                <w:color w:val="000000"/>
                <w:sz w:val="18"/>
                <w:szCs w:val="18"/>
                <w:lang w:eastAsia="pt-BR" w:bidi="ar-SA"/>
              </w:rPr>
            </w:pPr>
            <w:r w:rsidRPr="002B2ED7">
              <w:rPr>
                <w:rFonts w:eastAsia="Times New Roman"/>
                <w:color w:val="000000"/>
                <w:sz w:val="18"/>
                <w:szCs w:val="18"/>
                <w:lang w:eastAsia="pt-BR" w:bidi="ar-SA"/>
              </w:rPr>
              <w:t> </w:t>
            </w:r>
          </w:p>
        </w:tc>
      </w:tr>
      <w:tr w:rsidR="002B2ED7" w:rsidRPr="002B2ED7" w14:paraId="46A7A4B6" w14:textId="77777777" w:rsidTr="002B2ED7">
        <w:trPr>
          <w:trHeight w:val="1275"/>
        </w:trPr>
        <w:tc>
          <w:tcPr>
            <w:tcW w:w="1612" w:type="dxa"/>
            <w:vMerge/>
            <w:tcBorders>
              <w:top w:val="nil"/>
              <w:bottom w:val="single" w:sz="8" w:space="0" w:color="000000"/>
              <w:right w:val="single" w:sz="4" w:space="0" w:color="auto"/>
            </w:tcBorders>
            <w:vAlign w:val="center"/>
            <w:hideMark/>
          </w:tcPr>
          <w:p w14:paraId="306B9452" w14:textId="77777777" w:rsidR="002B2ED7" w:rsidRPr="002B2ED7" w:rsidRDefault="002B2ED7" w:rsidP="002B2ED7">
            <w:pPr>
              <w:widowControl/>
              <w:autoSpaceDE/>
              <w:autoSpaceDN/>
              <w:rPr>
                <w:rFonts w:eastAsia="Times New Roman"/>
                <w:color w:val="000000"/>
                <w:sz w:val="20"/>
                <w:szCs w:val="20"/>
                <w:lang w:eastAsia="pt-BR" w:bidi="ar-SA"/>
              </w:rPr>
            </w:pPr>
          </w:p>
        </w:tc>
        <w:tc>
          <w:tcPr>
            <w:tcW w:w="1594" w:type="dxa"/>
            <w:vMerge/>
            <w:tcBorders>
              <w:top w:val="nil"/>
              <w:left w:val="single" w:sz="4" w:space="0" w:color="auto"/>
              <w:bottom w:val="single" w:sz="8" w:space="0" w:color="000000"/>
              <w:right w:val="single" w:sz="4" w:space="0" w:color="auto"/>
            </w:tcBorders>
            <w:vAlign w:val="center"/>
            <w:hideMark/>
          </w:tcPr>
          <w:p w14:paraId="2A25CC81" w14:textId="77777777" w:rsidR="002B2ED7" w:rsidRPr="002B2ED7" w:rsidRDefault="002B2ED7" w:rsidP="002B2ED7">
            <w:pPr>
              <w:widowControl/>
              <w:autoSpaceDE/>
              <w:autoSpaceDN/>
              <w:rPr>
                <w:rFonts w:eastAsia="Times New Roman"/>
                <w:sz w:val="20"/>
                <w:szCs w:val="20"/>
                <w:lang w:eastAsia="pt-BR" w:bidi="ar-SA"/>
              </w:rPr>
            </w:pPr>
          </w:p>
        </w:tc>
        <w:tc>
          <w:tcPr>
            <w:tcW w:w="3357" w:type="dxa"/>
            <w:tcBorders>
              <w:top w:val="nil"/>
              <w:left w:val="nil"/>
              <w:bottom w:val="single" w:sz="4" w:space="0" w:color="auto"/>
              <w:right w:val="single" w:sz="4" w:space="0" w:color="auto"/>
            </w:tcBorders>
            <w:shd w:val="clear" w:color="auto" w:fill="auto"/>
            <w:vAlign w:val="center"/>
            <w:hideMark/>
          </w:tcPr>
          <w:p w14:paraId="07234BFB" w14:textId="77777777" w:rsidR="002B2ED7" w:rsidRPr="002B2ED7" w:rsidRDefault="002B2ED7" w:rsidP="002B2ED7">
            <w:pPr>
              <w:widowControl/>
              <w:autoSpaceDE/>
              <w:autoSpaceDN/>
              <w:rPr>
                <w:rFonts w:eastAsia="Times New Roman"/>
                <w:color w:val="000000"/>
                <w:sz w:val="20"/>
                <w:szCs w:val="20"/>
                <w:lang w:eastAsia="pt-BR" w:bidi="ar-SA"/>
              </w:rPr>
            </w:pPr>
            <w:r w:rsidRPr="002B2ED7">
              <w:rPr>
                <w:rFonts w:eastAsia="Times New Roman"/>
                <w:color w:val="000000"/>
                <w:sz w:val="20"/>
                <w:szCs w:val="20"/>
                <w:lang w:eastAsia="pt-BR" w:bidi="ar-SA"/>
              </w:rPr>
              <w:t xml:space="preserve">3. Ter no máximo duas dimensões com fragilidade intermediária e quatro dimensões com fragilidade baixa no Índice de Fragilidade de Controles até dez 2021 (mediante autoavaliação) </w:t>
            </w:r>
          </w:p>
        </w:tc>
        <w:tc>
          <w:tcPr>
            <w:tcW w:w="1053" w:type="dxa"/>
            <w:tcBorders>
              <w:top w:val="nil"/>
              <w:left w:val="nil"/>
              <w:bottom w:val="single" w:sz="4" w:space="0" w:color="auto"/>
              <w:right w:val="single" w:sz="4" w:space="0" w:color="auto"/>
            </w:tcBorders>
            <w:shd w:val="clear" w:color="000000" w:fill="C5ADCB"/>
            <w:vAlign w:val="center"/>
            <w:hideMark/>
          </w:tcPr>
          <w:p w14:paraId="70268ADC"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t>0,00%</w:t>
            </w:r>
          </w:p>
        </w:tc>
        <w:tc>
          <w:tcPr>
            <w:tcW w:w="2013" w:type="dxa"/>
            <w:tcBorders>
              <w:top w:val="nil"/>
              <w:left w:val="nil"/>
              <w:bottom w:val="single" w:sz="4" w:space="0" w:color="auto"/>
            </w:tcBorders>
            <w:shd w:val="clear" w:color="auto" w:fill="auto"/>
            <w:vAlign w:val="center"/>
            <w:hideMark/>
          </w:tcPr>
          <w:p w14:paraId="11AA2059" w14:textId="77777777" w:rsidR="002B2ED7" w:rsidRPr="002B2ED7" w:rsidRDefault="002B2ED7" w:rsidP="002B2ED7">
            <w:pPr>
              <w:widowControl/>
              <w:autoSpaceDE/>
              <w:autoSpaceDN/>
              <w:rPr>
                <w:rFonts w:eastAsia="Times New Roman"/>
                <w:color w:val="000000"/>
                <w:sz w:val="18"/>
                <w:szCs w:val="18"/>
                <w:lang w:eastAsia="pt-BR" w:bidi="ar-SA"/>
              </w:rPr>
            </w:pPr>
            <w:r w:rsidRPr="002B2ED7">
              <w:rPr>
                <w:rFonts w:eastAsia="Times New Roman"/>
                <w:color w:val="000000"/>
                <w:sz w:val="18"/>
                <w:szCs w:val="18"/>
                <w:lang w:eastAsia="pt-BR" w:bidi="ar-SA"/>
              </w:rPr>
              <w:t>A meta 3.4.3 foi interrompida pelo Tribunal de Contas da União</w:t>
            </w:r>
          </w:p>
        </w:tc>
      </w:tr>
      <w:tr w:rsidR="002B2ED7" w:rsidRPr="002B2ED7" w14:paraId="4735A2D4" w14:textId="77777777" w:rsidTr="002B2ED7">
        <w:trPr>
          <w:trHeight w:val="510"/>
        </w:trPr>
        <w:tc>
          <w:tcPr>
            <w:tcW w:w="1612" w:type="dxa"/>
            <w:vMerge/>
            <w:tcBorders>
              <w:top w:val="nil"/>
              <w:bottom w:val="single" w:sz="8" w:space="0" w:color="000000"/>
              <w:right w:val="single" w:sz="4" w:space="0" w:color="auto"/>
            </w:tcBorders>
            <w:vAlign w:val="center"/>
            <w:hideMark/>
          </w:tcPr>
          <w:p w14:paraId="2866C4AB" w14:textId="77777777" w:rsidR="002B2ED7" w:rsidRPr="002B2ED7" w:rsidRDefault="002B2ED7" w:rsidP="002B2ED7">
            <w:pPr>
              <w:widowControl/>
              <w:autoSpaceDE/>
              <w:autoSpaceDN/>
              <w:rPr>
                <w:rFonts w:eastAsia="Times New Roman"/>
                <w:color w:val="000000"/>
                <w:sz w:val="20"/>
                <w:szCs w:val="20"/>
                <w:lang w:eastAsia="pt-BR" w:bidi="ar-SA"/>
              </w:rPr>
            </w:pPr>
          </w:p>
        </w:tc>
        <w:tc>
          <w:tcPr>
            <w:tcW w:w="1594" w:type="dxa"/>
            <w:vMerge/>
            <w:tcBorders>
              <w:top w:val="nil"/>
              <w:left w:val="single" w:sz="4" w:space="0" w:color="auto"/>
              <w:bottom w:val="single" w:sz="8" w:space="0" w:color="000000"/>
              <w:right w:val="single" w:sz="4" w:space="0" w:color="auto"/>
            </w:tcBorders>
            <w:vAlign w:val="center"/>
            <w:hideMark/>
          </w:tcPr>
          <w:p w14:paraId="099392D7" w14:textId="77777777" w:rsidR="002B2ED7" w:rsidRPr="002B2ED7" w:rsidRDefault="002B2ED7" w:rsidP="002B2ED7">
            <w:pPr>
              <w:widowControl/>
              <w:autoSpaceDE/>
              <w:autoSpaceDN/>
              <w:rPr>
                <w:rFonts w:eastAsia="Times New Roman"/>
                <w:sz w:val="20"/>
                <w:szCs w:val="20"/>
                <w:lang w:eastAsia="pt-BR" w:bidi="ar-SA"/>
              </w:rPr>
            </w:pPr>
          </w:p>
        </w:tc>
        <w:tc>
          <w:tcPr>
            <w:tcW w:w="3357" w:type="dxa"/>
            <w:tcBorders>
              <w:top w:val="nil"/>
              <w:left w:val="nil"/>
              <w:bottom w:val="single" w:sz="4" w:space="0" w:color="auto"/>
              <w:right w:val="single" w:sz="4" w:space="0" w:color="auto"/>
            </w:tcBorders>
            <w:shd w:val="clear" w:color="auto" w:fill="auto"/>
            <w:vAlign w:val="center"/>
            <w:hideMark/>
          </w:tcPr>
          <w:p w14:paraId="7D74F6DA" w14:textId="77777777" w:rsidR="002B2ED7" w:rsidRPr="002B2ED7" w:rsidRDefault="002B2ED7" w:rsidP="002B2ED7">
            <w:pPr>
              <w:widowControl/>
              <w:autoSpaceDE/>
              <w:autoSpaceDN/>
              <w:rPr>
                <w:rFonts w:eastAsia="Times New Roman"/>
                <w:color w:val="000000"/>
                <w:sz w:val="20"/>
                <w:szCs w:val="20"/>
                <w:lang w:eastAsia="pt-BR" w:bidi="ar-SA"/>
              </w:rPr>
            </w:pPr>
            <w:r w:rsidRPr="002B2ED7">
              <w:rPr>
                <w:rFonts w:eastAsia="Times New Roman"/>
                <w:color w:val="000000"/>
                <w:sz w:val="20"/>
                <w:szCs w:val="20"/>
                <w:lang w:eastAsia="pt-BR" w:bidi="ar-SA"/>
              </w:rPr>
              <w:t>4. Ter 70% dos itens do IGG-TCU avaliados como atendidos</w:t>
            </w:r>
          </w:p>
        </w:tc>
        <w:tc>
          <w:tcPr>
            <w:tcW w:w="1053" w:type="dxa"/>
            <w:tcBorders>
              <w:top w:val="nil"/>
              <w:left w:val="nil"/>
              <w:bottom w:val="single" w:sz="4" w:space="0" w:color="auto"/>
              <w:right w:val="single" w:sz="4" w:space="0" w:color="auto"/>
            </w:tcBorders>
            <w:shd w:val="clear" w:color="000000" w:fill="00B050"/>
            <w:vAlign w:val="center"/>
            <w:hideMark/>
          </w:tcPr>
          <w:p w14:paraId="0B2F049B"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t>95,71%</w:t>
            </w:r>
          </w:p>
        </w:tc>
        <w:tc>
          <w:tcPr>
            <w:tcW w:w="2013" w:type="dxa"/>
            <w:tcBorders>
              <w:top w:val="nil"/>
              <w:left w:val="nil"/>
              <w:bottom w:val="single" w:sz="4" w:space="0" w:color="auto"/>
            </w:tcBorders>
            <w:shd w:val="clear" w:color="auto" w:fill="auto"/>
            <w:vAlign w:val="center"/>
            <w:hideMark/>
          </w:tcPr>
          <w:p w14:paraId="25D06815" w14:textId="77777777" w:rsidR="002B2ED7" w:rsidRPr="002B2ED7" w:rsidRDefault="002B2ED7" w:rsidP="002B2ED7">
            <w:pPr>
              <w:widowControl/>
              <w:autoSpaceDE/>
              <w:autoSpaceDN/>
              <w:rPr>
                <w:rFonts w:eastAsia="Times New Roman"/>
                <w:color w:val="000000"/>
                <w:sz w:val="18"/>
                <w:szCs w:val="18"/>
                <w:lang w:eastAsia="pt-BR" w:bidi="ar-SA"/>
              </w:rPr>
            </w:pPr>
            <w:r w:rsidRPr="002B2ED7">
              <w:rPr>
                <w:rFonts w:eastAsia="Times New Roman"/>
                <w:color w:val="000000"/>
                <w:sz w:val="18"/>
                <w:szCs w:val="18"/>
                <w:lang w:eastAsia="pt-BR" w:bidi="ar-SA"/>
              </w:rPr>
              <w:t> </w:t>
            </w:r>
          </w:p>
        </w:tc>
      </w:tr>
      <w:tr w:rsidR="002B2ED7" w:rsidRPr="002B2ED7" w14:paraId="67234132" w14:textId="77777777" w:rsidTr="002B2ED7">
        <w:trPr>
          <w:trHeight w:val="525"/>
        </w:trPr>
        <w:tc>
          <w:tcPr>
            <w:tcW w:w="1612" w:type="dxa"/>
            <w:vMerge/>
            <w:tcBorders>
              <w:top w:val="nil"/>
              <w:bottom w:val="single" w:sz="8" w:space="0" w:color="000000"/>
              <w:right w:val="single" w:sz="4" w:space="0" w:color="auto"/>
            </w:tcBorders>
            <w:vAlign w:val="center"/>
            <w:hideMark/>
          </w:tcPr>
          <w:p w14:paraId="6FB47781" w14:textId="77777777" w:rsidR="002B2ED7" w:rsidRPr="002B2ED7" w:rsidRDefault="002B2ED7" w:rsidP="002B2ED7">
            <w:pPr>
              <w:widowControl/>
              <w:autoSpaceDE/>
              <w:autoSpaceDN/>
              <w:rPr>
                <w:rFonts w:eastAsia="Times New Roman"/>
                <w:color w:val="000000"/>
                <w:sz w:val="20"/>
                <w:szCs w:val="20"/>
                <w:lang w:eastAsia="pt-BR" w:bidi="ar-SA"/>
              </w:rPr>
            </w:pPr>
          </w:p>
        </w:tc>
        <w:tc>
          <w:tcPr>
            <w:tcW w:w="1594" w:type="dxa"/>
            <w:vMerge/>
            <w:tcBorders>
              <w:top w:val="nil"/>
              <w:left w:val="single" w:sz="4" w:space="0" w:color="auto"/>
              <w:bottom w:val="single" w:sz="8" w:space="0" w:color="000000"/>
              <w:right w:val="single" w:sz="4" w:space="0" w:color="auto"/>
            </w:tcBorders>
            <w:vAlign w:val="center"/>
            <w:hideMark/>
          </w:tcPr>
          <w:p w14:paraId="79597D8E" w14:textId="77777777" w:rsidR="002B2ED7" w:rsidRPr="002B2ED7" w:rsidRDefault="002B2ED7" w:rsidP="002B2ED7">
            <w:pPr>
              <w:widowControl/>
              <w:autoSpaceDE/>
              <w:autoSpaceDN/>
              <w:rPr>
                <w:rFonts w:eastAsia="Times New Roman"/>
                <w:sz w:val="20"/>
                <w:szCs w:val="20"/>
                <w:lang w:eastAsia="pt-BR" w:bidi="ar-SA"/>
              </w:rPr>
            </w:pPr>
          </w:p>
        </w:tc>
        <w:tc>
          <w:tcPr>
            <w:tcW w:w="3357" w:type="dxa"/>
            <w:tcBorders>
              <w:top w:val="nil"/>
              <w:left w:val="nil"/>
              <w:bottom w:val="single" w:sz="8" w:space="0" w:color="auto"/>
              <w:right w:val="single" w:sz="4" w:space="0" w:color="auto"/>
            </w:tcBorders>
            <w:shd w:val="clear" w:color="auto" w:fill="auto"/>
            <w:vAlign w:val="center"/>
            <w:hideMark/>
          </w:tcPr>
          <w:p w14:paraId="7932ADCA" w14:textId="77777777" w:rsidR="002B2ED7" w:rsidRPr="002B2ED7" w:rsidRDefault="002B2ED7" w:rsidP="002B2ED7">
            <w:pPr>
              <w:widowControl/>
              <w:autoSpaceDE/>
              <w:autoSpaceDN/>
              <w:rPr>
                <w:rFonts w:eastAsia="Times New Roman"/>
                <w:color w:val="000000"/>
                <w:sz w:val="20"/>
                <w:szCs w:val="20"/>
                <w:lang w:eastAsia="pt-BR" w:bidi="ar-SA"/>
              </w:rPr>
            </w:pPr>
            <w:r w:rsidRPr="002B2ED7">
              <w:rPr>
                <w:rFonts w:eastAsia="Times New Roman"/>
                <w:color w:val="000000"/>
                <w:sz w:val="20"/>
                <w:szCs w:val="20"/>
                <w:lang w:eastAsia="pt-BR" w:bidi="ar-SA"/>
              </w:rPr>
              <w:t>5. Atender 100% da Resolução 4/2020 da DIREX até dezembro de 2021</w:t>
            </w:r>
          </w:p>
        </w:tc>
        <w:tc>
          <w:tcPr>
            <w:tcW w:w="1053" w:type="dxa"/>
            <w:tcBorders>
              <w:top w:val="nil"/>
              <w:left w:val="nil"/>
              <w:bottom w:val="single" w:sz="4" w:space="0" w:color="auto"/>
              <w:right w:val="single" w:sz="4" w:space="0" w:color="auto"/>
            </w:tcBorders>
            <w:shd w:val="clear" w:color="000000" w:fill="00B050"/>
            <w:vAlign w:val="center"/>
            <w:hideMark/>
          </w:tcPr>
          <w:p w14:paraId="28420C4E" w14:textId="77777777" w:rsidR="002B2ED7" w:rsidRPr="002B2ED7" w:rsidRDefault="002B2ED7" w:rsidP="002B2ED7">
            <w:pPr>
              <w:widowControl/>
              <w:autoSpaceDE/>
              <w:autoSpaceDN/>
              <w:jc w:val="center"/>
              <w:rPr>
                <w:rFonts w:eastAsia="Times New Roman"/>
                <w:color w:val="000000"/>
                <w:sz w:val="20"/>
                <w:szCs w:val="20"/>
                <w:lang w:eastAsia="pt-BR" w:bidi="ar-SA"/>
              </w:rPr>
            </w:pPr>
            <w:r w:rsidRPr="002B2ED7">
              <w:rPr>
                <w:rFonts w:eastAsia="Times New Roman"/>
                <w:color w:val="000000"/>
                <w:sz w:val="20"/>
                <w:szCs w:val="20"/>
                <w:lang w:eastAsia="pt-BR" w:bidi="ar-SA"/>
              </w:rPr>
              <w:t>90,00%</w:t>
            </w:r>
          </w:p>
        </w:tc>
        <w:tc>
          <w:tcPr>
            <w:tcW w:w="2013" w:type="dxa"/>
            <w:tcBorders>
              <w:top w:val="nil"/>
              <w:left w:val="nil"/>
              <w:bottom w:val="single" w:sz="8" w:space="0" w:color="auto"/>
            </w:tcBorders>
            <w:shd w:val="clear" w:color="auto" w:fill="auto"/>
            <w:vAlign w:val="center"/>
            <w:hideMark/>
          </w:tcPr>
          <w:p w14:paraId="08DED1CC" w14:textId="77777777" w:rsidR="002B2ED7" w:rsidRPr="002B2ED7" w:rsidRDefault="002B2ED7" w:rsidP="002B2ED7">
            <w:pPr>
              <w:widowControl/>
              <w:autoSpaceDE/>
              <w:autoSpaceDN/>
              <w:rPr>
                <w:rFonts w:eastAsia="Times New Roman"/>
                <w:color w:val="000000"/>
                <w:sz w:val="18"/>
                <w:szCs w:val="18"/>
                <w:lang w:eastAsia="pt-BR" w:bidi="ar-SA"/>
              </w:rPr>
            </w:pPr>
            <w:r w:rsidRPr="002B2ED7">
              <w:rPr>
                <w:rFonts w:eastAsia="Times New Roman"/>
                <w:color w:val="000000"/>
                <w:sz w:val="18"/>
                <w:szCs w:val="18"/>
                <w:lang w:eastAsia="pt-BR" w:bidi="ar-SA"/>
              </w:rPr>
              <w:t> </w:t>
            </w:r>
          </w:p>
        </w:tc>
      </w:tr>
    </w:tbl>
    <w:p w14:paraId="19BCF356" w14:textId="4A0B6A3C" w:rsidR="004A5619" w:rsidRDefault="004A5619">
      <w:pPr>
        <w:widowControl/>
        <w:autoSpaceDE/>
        <w:autoSpaceDN/>
        <w:spacing w:after="160" w:line="259" w:lineRule="auto"/>
        <w:rPr>
          <w:rFonts w:asciiTheme="minorHAnsi" w:hAnsiTheme="minorHAnsi" w:cstheme="minorHAnsi"/>
        </w:rPr>
      </w:pPr>
    </w:p>
    <w:p w14:paraId="32F75C7C" w14:textId="33B0C841" w:rsidR="00CF6464" w:rsidRDefault="00CF6464">
      <w:pPr>
        <w:widowControl/>
        <w:autoSpaceDE/>
        <w:autoSpaceDN/>
        <w:spacing w:after="160" w:line="259" w:lineRule="auto"/>
        <w:rPr>
          <w:rFonts w:asciiTheme="minorHAnsi" w:hAnsiTheme="minorHAnsi" w:cstheme="minorHAnsi"/>
        </w:rPr>
      </w:pPr>
    </w:p>
    <w:p w14:paraId="1FFF3B69" w14:textId="77777777" w:rsidR="00CF6464" w:rsidRDefault="00CF6464">
      <w:pPr>
        <w:widowControl/>
        <w:autoSpaceDE/>
        <w:autoSpaceDN/>
        <w:spacing w:after="160" w:line="259" w:lineRule="auto"/>
        <w:rPr>
          <w:rFonts w:asciiTheme="minorHAnsi" w:hAnsiTheme="minorHAnsi" w:cstheme="minorHAnsi"/>
        </w:rPr>
      </w:pPr>
    </w:p>
    <w:p w14:paraId="6DB77FDA" w14:textId="040D3C67" w:rsidR="00CF6464" w:rsidRDefault="00CF6464" w:rsidP="00CF6464">
      <w:pPr>
        <w:pStyle w:val="Legenda"/>
        <w:keepNext/>
        <w:spacing w:after="0"/>
        <w:jc w:val="center"/>
        <w:rPr>
          <w:rFonts w:asciiTheme="minorHAnsi" w:hAnsiTheme="minorHAnsi" w:cstheme="minorHAnsi"/>
          <w:sz w:val="20"/>
          <w:szCs w:val="20"/>
        </w:rPr>
      </w:pPr>
      <w:bookmarkStart w:id="154" w:name="_Toc103680665"/>
      <w:r w:rsidRPr="00252D7B">
        <w:rPr>
          <w:rFonts w:asciiTheme="minorHAnsi" w:hAnsiTheme="minorHAnsi" w:cstheme="minorHAnsi"/>
          <w:sz w:val="20"/>
          <w:szCs w:val="20"/>
        </w:rPr>
        <w:lastRenderedPageBreak/>
        <w:t xml:space="preserve">Tabela </w:t>
      </w:r>
      <w:r w:rsidRPr="00252D7B">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Tabela \* ARABIC </w:instrText>
      </w:r>
      <w:r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3</w:t>
      </w:r>
      <w:r w:rsidRPr="00252D7B">
        <w:rPr>
          <w:rFonts w:asciiTheme="minorHAnsi" w:hAnsiTheme="minorHAnsi" w:cstheme="minorHAnsi"/>
          <w:sz w:val="20"/>
          <w:szCs w:val="20"/>
        </w:rPr>
        <w:fldChar w:fldCharType="end"/>
      </w:r>
      <w:r w:rsidRPr="00252D7B">
        <w:rPr>
          <w:rFonts w:asciiTheme="minorHAnsi" w:hAnsiTheme="minorHAnsi" w:cstheme="minorHAnsi"/>
          <w:sz w:val="20"/>
          <w:szCs w:val="20"/>
        </w:rPr>
        <w:t xml:space="preserve"> – </w:t>
      </w:r>
      <w:r>
        <w:rPr>
          <w:rFonts w:asciiTheme="minorHAnsi" w:hAnsiTheme="minorHAnsi" w:cstheme="minorHAnsi"/>
          <w:sz w:val="20"/>
          <w:szCs w:val="20"/>
        </w:rPr>
        <w:t xml:space="preserve">Resultado das </w:t>
      </w:r>
      <w:r w:rsidR="00882031">
        <w:rPr>
          <w:rFonts w:asciiTheme="minorHAnsi" w:hAnsiTheme="minorHAnsi" w:cstheme="minorHAnsi"/>
          <w:sz w:val="20"/>
          <w:szCs w:val="20"/>
        </w:rPr>
        <w:t>iniciativas</w:t>
      </w:r>
      <w:r>
        <w:rPr>
          <w:rFonts w:asciiTheme="minorHAnsi" w:hAnsiTheme="minorHAnsi" w:cstheme="minorHAnsi"/>
          <w:sz w:val="20"/>
          <w:szCs w:val="20"/>
        </w:rPr>
        <w:t xml:space="preserve"> do Plano de Negócios de 2021</w:t>
      </w:r>
      <w:bookmarkEnd w:id="154"/>
    </w:p>
    <w:p w14:paraId="0B1509CC" w14:textId="77777777" w:rsidR="00CF6464" w:rsidRPr="00252D7B" w:rsidRDefault="00CF6464">
      <w:pPr>
        <w:widowControl/>
        <w:autoSpaceDE/>
        <w:autoSpaceDN/>
        <w:spacing w:after="160" w:line="259" w:lineRule="auto"/>
        <w:rPr>
          <w:rFonts w:asciiTheme="minorHAnsi" w:hAnsiTheme="minorHAnsi" w:cstheme="minorHAnsi"/>
        </w:rPr>
      </w:pPr>
    </w:p>
    <w:tbl>
      <w:tblPr>
        <w:tblW w:w="9629" w:type="dxa"/>
        <w:tblInd w:w="10" w:type="dxa"/>
        <w:tblCellMar>
          <w:left w:w="70" w:type="dxa"/>
          <w:right w:w="70" w:type="dxa"/>
        </w:tblCellMar>
        <w:tblLook w:val="04A0" w:firstRow="1" w:lastRow="0" w:firstColumn="1" w:lastColumn="0" w:noHBand="0" w:noVBand="1"/>
      </w:tblPr>
      <w:tblGrid>
        <w:gridCol w:w="1833"/>
        <w:gridCol w:w="3720"/>
        <w:gridCol w:w="1258"/>
        <w:gridCol w:w="1134"/>
        <w:gridCol w:w="1684"/>
      </w:tblGrid>
      <w:tr w:rsidR="00882031" w:rsidRPr="00882031" w14:paraId="7A7F8B29" w14:textId="77777777" w:rsidTr="00882031">
        <w:trPr>
          <w:trHeight w:val="270"/>
          <w:tblHeader/>
        </w:trPr>
        <w:tc>
          <w:tcPr>
            <w:tcW w:w="1833" w:type="dxa"/>
            <w:tcBorders>
              <w:top w:val="single" w:sz="8" w:space="0" w:color="auto"/>
              <w:bottom w:val="nil"/>
              <w:right w:val="single" w:sz="8" w:space="0" w:color="auto"/>
            </w:tcBorders>
            <w:shd w:val="clear" w:color="auto" w:fill="D9D9D9" w:themeFill="background1" w:themeFillShade="D9"/>
            <w:vAlign w:val="center"/>
            <w:hideMark/>
          </w:tcPr>
          <w:p w14:paraId="710196F3" w14:textId="77777777" w:rsidR="00882031" w:rsidRPr="00882031" w:rsidRDefault="00882031" w:rsidP="00882031">
            <w:pPr>
              <w:widowControl/>
              <w:autoSpaceDE/>
              <w:autoSpaceDN/>
              <w:jc w:val="center"/>
              <w:rPr>
                <w:rFonts w:eastAsia="Times New Roman"/>
                <w:b/>
                <w:bCs/>
                <w:color w:val="000000"/>
                <w:sz w:val="20"/>
                <w:szCs w:val="20"/>
                <w:lang w:eastAsia="pt-BR" w:bidi="ar-SA"/>
              </w:rPr>
            </w:pPr>
            <w:bookmarkStart w:id="155" w:name="_Toc95830242"/>
            <w:bookmarkEnd w:id="153"/>
            <w:r w:rsidRPr="00882031">
              <w:rPr>
                <w:rFonts w:eastAsia="Times New Roman"/>
                <w:b/>
                <w:bCs/>
                <w:color w:val="000000"/>
                <w:sz w:val="20"/>
                <w:szCs w:val="20"/>
                <w:lang w:eastAsia="pt-BR" w:bidi="ar-SA"/>
              </w:rPr>
              <w:t>Objetivos estratégicos</w:t>
            </w:r>
          </w:p>
        </w:tc>
        <w:tc>
          <w:tcPr>
            <w:tcW w:w="3720" w:type="dxa"/>
            <w:tcBorders>
              <w:top w:val="single" w:sz="8" w:space="0" w:color="auto"/>
              <w:left w:val="nil"/>
              <w:bottom w:val="nil"/>
              <w:right w:val="single" w:sz="8" w:space="0" w:color="auto"/>
            </w:tcBorders>
            <w:shd w:val="clear" w:color="auto" w:fill="D9D9D9" w:themeFill="background1" w:themeFillShade="D9"/>
            <w:vAlign w:val="center"/>
            <w:hideMark/>
          </w:tcPr>
          <w:p w14:paraId="6508D9DE" w14:textId="77777777" w:rsidR="00882031" w:rsidRPr="00882031" w:rsidRDefault="00882031" w:rsidP="00882031">
            <w:pPr>
              <w:widowControl/>
              <w:autoSpaceDE/>
              <w:autoSpaceDN/>
              <w:jc w:val="center"/>
              <w:rPr>
                <w:rFonts w:eastAsia="Times New Roman"/>
                <w:b/>
                <w:bCs/>
                <w:color w:val="000000"/>
                <w:sz w:val="20"/>
                <w:szCs w:val="20"/>
                <w:lang w:eastAsia="pt-BR" w:bidi="ar-SA"/>
              </w:rPr>
            </w:pPr>
            <w:r w:rsidRPr="00882031">
              <w:rPr>
                <w:rFonts w:eastAsia="Times New Roman"/>
                <w:b/>
                <w:bCs/>
                <w:color w:val="000000"/>
                <w:sz w:val="20"/>
                <w:szCs w:val="20"/>
                <w:lang w:eastAsia="pt-BR" w:bidi="ar-SA"/>
              </w:rPr>
              <w:t>Iniciativas Estratégicas</w:t>
            </w:r>
          </w:p>
        </w:tc>
        <w:tc>
          <w:tcPr>
            <w:tcW w:w="1258" w:type="dxa"/>
            <w:tcBorders>
              <w:top w:val="single" w:sz="8" w:space="0" w:color="auto"/>
              <w:left w:val="nil"/>
              <w:bottom w:val="nil"/>
              <w:right w:val="single" w:sz="8" w:space="0" w:color="auto"/>
            </w:tcBorders>
            <w:shd w:val="clear" w:color="auto" w:fill="D9D9D9" w:themeFill="background1" w:themeFillShade="D9"/>
            <w:noWrap/>
            <w:vAlign w:val="center"/>
            <w:hideMark/>
          </w:tcPr>
          <w:p w14:paraId="1F9B0194" w14:textId="77777777" w:rsidR="00882031" w:rsidRPr="00882031" w:rsidRDefault="00882031" w:rsidP="00882031">
            <w:pPr>
              <w:widowControl/>
              <w:autoSpaceDE/>
              <w:autoSpaceDN/>
              <w:jc w:val="center"/>
              <w:rPr>
                <w:rFonts w:eastAsia="Times New Roman"/>
                <w:b/>
                <w:bCs/>
                <w:color w:val="000000"/>
                <w:sz w:val="20"/>
                <w:szCs w:val="20"/>
                <w:lang w:eastAsia="pt-BR" w:bidi="ar-SA"/>
              </w:rPr>
            </w:pPr>
            <w:r w:rsidRPr="00882031">
              <w:rPr>
                <w:rFonts w:eastAsia="Times New Roman"/>
                <w:b/>
                <w:bCs/>
                <w:color w:val="000000"/>
                <w:sz w:val="20"/>
                <w:szCs w:val="20"/>
                <w:lang w:eastAsia="pt-BR" w:bidi="ar-SA"/>
              </w:rPr>
              <w:t>Responsáveis</w:t>
            </w:r>
          </w:p>
        </w:tc>
        <w:tc>
          <w:tcPr>
            <w:tcW w:w="1134" w:type="dxa"/>
            <w:tcBorders>
              <w:top w:val="single" w:sz="8" w:space="0" w:color="auto"/>
              <w:left w:val="nil"/>
              <w:bottom w:val="nil"/>
              <w:right w:val="single" w:sz="8" w:space="0" w:color="auto"/>
            </w:tcBorders>
            <w:shd w:val="clear" w:color="auto" w:fill="D9D9D9" w:themeFill="background1" w:themeFillShade="D9"/>
            <w:noWrap/>
            <w:vAlign w:val="center"/>
            <w:hideMark/>
          </w:tcPr>
          <w:p w14:paraId="18983BC5" w14:textId="77777777" w:rsidR="00882031" w:rsidRPr="00882031" w:rsidRDefault="00882031" w:rsidP="00882031">
            <w:pPr>
              <w:widowControl/>
              <w:autoSpaceDE/>
              <w:autoSpaceDN/>
              <w:jc w:val="center"/>
              <w:rPr>
                <w:rFonts w:eastAsia="Times New Roman"/>
                <w:b/>
                <w:bCs/>
                <w:color w:val="000000"/>
                <w:sz w:val="20"/>
                <w:szCs w:val="20"/>
                <w:lang w:eastAsia="pt-BR" w:bidi="ar-SA"/>
              </w:rPr>
            </w:pPr>
            <w:r w:rsidRPr="00882031">
              <w:rPr>
                <w:rFonts w:eastAsia="Times New Roman"/>
                <w:b/>
                <w:bCs/>
                <w:color w:val="000000"/>
                <w:sz w:val="20"/>
                <w:szCs w:val="20"/>
                <w:lang w:eastAsia="pt-BR" w:bidi="ar-SA"/>
              </w:rPr>
              <w:t>Resultados</w:t>
            </w:r>
          </w:p>
        </w:tc>
        <w:tc>
          <w:tcPr>
            <w:tcW w:w="1684" w:type="dxa"/>
            <w:tcBorders>
              <w:top w:val="single" w:sz="8" w:space="0" w:color="auto"/>
              <w:left w:val="nil"/>
              <w:bottom w:val="nil"/>
            </w:tcBorders>
            <w:shd w:val="clear" w:color="auto" w:fill="D9D9D9" w:themeFill="background1" w:themeFillShade="D9"/>
            <w:vAlign w:val="center"/>
            <w:hideMark/>
          </w:tcPr>
          <w:p w14:paraId="2339C677" w14:textId="77777777" w:rsidR="00882031" w:rsidRPr="00882031" w:rsidRDefault="00882031" w:rsidP="00882031">
            <w:pPr>
              <w:widowControl/>
              <w:autoSpaceDE/>
              <w:autoSpaceDN/>
              <w:jc w:val="center"/>
              <w:rPr>
                <w:rFonts w:eastAsia="Times New Roman"/>
                <w:b/>
                <w:bCs/>
                <w:color w:val="000000"/>
                <w:sz w:val="20"/>
                <w:szCs w:val="20"/>
                <w:lang w:eastAsia="pt-BR" w:bidi="ar-SA"/>
              </w:rPr>
            </w:pPr>
            <w:r w:rsidRPr="00882031">
              <w:rPr>
                <w:rFonts w:eastAsia="Times New Roman"/>
                <w:b/>
                <w:bCs/>
                <w:color w:val="000000"/>
                <w:sz w:val="20"/>
                <w:szCs w:val="20"/>
                <w:lang w:eastAsia="pt-BR" w:bidi="ar-SA"/>
              </w:rPr>
              <w:t>Observações</w:t>
            </w:r>
          </w:p>
        </w:tc>
      </w:tr>
      <w:tr w:rsidR="00882031" w:rsidRPr="00882031" w14:paraId="62837175" w14:textId="77777777" w:rsidTr="00882031">
        <w:trPr>
          <w:trHeight w:val="255"/>
        </w:trPr>
        <w:tc>
          <w:tcPr>
            <w:tcW w:w="1833" w:type="dxa"/>
            <w:vMerge w:val="restart"/>
            <w:tcBorders>
              <w:top w:val="single" w:sz="8" w:space="0" w:color="auto"/>
              <w:bottom w:val="single" w:sz="4" w:space="0" w:color="auto"/>
              <w:right w:val="single" w:sz="4" w:space="0" w:color="auto"/>
            </w:tcBorders>
            <w:shd w:val="clear" w:color="auto" w:fill="auto"/>
            <w:vAlign w:val="center"/>
            <w:hideMark/>
          </w:tcPr>
          <w:p w14:paraId="0A0A8C20" w14:textId="65F52D98"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Objetivo 1.1 – Contribuir para a ampliação da oferta de transporte ferroviários de carga e passageiros, assim como a redução do custo logístico no Brasil</w:t>
            </w:r>
          </w:p>
        </w:tc>
        <w:tc>
          <w:tcPr>
            <w:tcW w:w="3720" w:type="dxa"/>
            <w:tcBorders>
              <w:top w:val="single" w:sz="8" w:space="0" w:color="auto"/>
              <w:left w:val="nil"/>
              <w:bottom w:val="single" w:sz="4" w:space="0" w:color="auto"/>
              <w:right w:val="single" w:sz="4" w:space="0" w:color="auto"/>
            </w:tcBorders>
            <w:shd w:val="clear" w:color="auto" w:fill="auto"/>
            <w:vAlign w:val="center"/>
            <w:hideMark/>
          </w:tcPr>
          <w:p w14:paraId="51AE4E36"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1. Contratar lote remanescente até setembro de 2021;</w:t>
            </w:r>
          </w:p>
        </w:tc>
        <w:tc>
          <w:tcPr>
            <w:tcW w:w="1258" w:type="dxa"/>
            <w:tcBorders>
              <w:top w:val="single" w:sz="8" w:space="0" w:color="auto"/>
              <w:left w:val="nil"/>
              <w:bottom w:val="single" w:sz="4" w:space="0" w:color="auto"/>
              <w:right w:val="single" w:sz="4" w:space="0" w:color="auto"/>
            </w:tcBorders>
            <w:shd w:val="clear" w:color="auto" w:fill="auto"/>
            <w:noWrap/>
            <w:vAlign w:val="center"/>
            <w:hideMark/>
          </w:tcPr>
          <w:p w14:paraId="26FB5C5D"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SUDEM</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14132119"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100%</w:t>
            </w:r>
          </w:p>
        </w:tc>
        <w:tc>
          <w:tcPr>
            <w:tcW w:w="1684" w:type="dxa"/>
            <w:tcBorders>
              <w:top w:val="single" w:sz="8" w:space="0" w:color="auto"/>
              <w:left w:val="nil"/>
              <w:bottom w:val="single" w:sz="4" w:space="0" w:color="auto"/>
            </w:tcBorders>
            <w:shd w:val="clear" w:color="auto" w:fill="auto"/>
            <w:vAlign w:val="bottom"/>
            <w:hideMark/>
          </w:tcPr>
          <w:p w14:paraId="3CE9703C"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 </w:t>
            </w:r>
          </w:p>
        </w:tc>
      </w:tr>
      <w:tr w:rsidR="00882031" w:rsidRPr="00882031" w14:paraId="34908972" w14:textId="77777777" w:rsidTr="00882031">
        <w:trPr>
          <w:trHeight w:val="1020"/>
        </w:trPr>
        <w:tc>
          <w:tcPr>
            <w:tcW w:w="1833" w:type="dxa"/>
            <w:vMerge/>
            <w:tcBorders>
              <w:top w:val="single" w:sz="8" w:space="0" w:color="auto"/>
              <w:bottom w:val="single" w:sz="4" w:space="0" w:color="auto"/>
              <w:right w:val="single" w:sz="4" w:space="0" w:color="auto"/>
            </w:tcBorders>
            <w:vAlign w:val="center"/>
            <w:hideMark/>
          </w:tcPr>
          <w:p w14:paraId="67A4702A" w14:textId="77777777" w:rsidR="00882031" w:rsidRPr="00882031" w:rsidRDefault="00882031" w:rsidP="00882031">
            <w:pPr>
              <w:widowControl/>
              <w:autoSpaceDE/>
              <w:autoSpaceDN/>
              <w:rPr>
                <w:rFonts w:eastAsia="Times New Roman"/>
                <w:color w:val="000000"/>
                <w:sz w:val="20"/>
                <w:szCs w:val="20"/>
                <w:lang w:eastAsia="pt-BR" w:bidi="ar-SA"/>
              </w:rPr>
            </w:pPr>
          </w:p>
        </w:tc>
        <w:tc>
          <w:tcPr>
            <w:tcW w:w="3720" w:type="dxa"/>
            <w:tcBorders>
              <w:top w:val="nil"/>
              <w:left w:val="nil"/>
              <w:bottom w:val="single" w:sz="4" w:space="0" w:color="auto"/>
              <w:right w:val="single" w:sz="4" w:space="0" w:color="auto"/>
            </w:tcBorders>
            <w:shd w:val="clear" w:color="auto" w:fill="auto"/>
            <w:vAlign w:val="center"/>
            <w:hideMark/>
          </w:tcPr>
          <w:p w14:paraId="2A6FF338"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 xml:space="preserve">2. Implementação da Norma de Gestão Contratual e seus documentos correlatos até julho de 2021; </w:t>
            </w:r>
            <w:r w:rsidRPr="00882031">
              <w:rPr>
                <w:rFonts w:eastAsia="Times New Roman"/>
                <w:color w:val="000000"/>
                <w:sz w:val="20"/>
                <w:szCs w:val="20"/>
                <w:lang w:eastAsia="pt-BR" w:bidi="ar-SA"/>
              </w:rPr>
              <w:br/>
              <w:t xml:space="preserve">Implantar novo sistema de Gestão de Engenharia até dezembro de 2021. </w:t>
            </w:r>
          </w:p>
        </w:tc>
        <w:tc>
          <w:tcPr>
            <w:tcW w:w="1258" w:type="dxa"/>
            <w:tcBorders>
              <w:top w:val="nil"/>
              <w:left w:val="nil"/>
              <w:bottom w:val="single" w:sz="4" w:space="0" w:color="auto"/>
              <w:right w:val="single" w:sz="4" w:space="0" w:color="auto"/>
            </w:tcBorders>
            <w:shd w:val="clear" w:color="auto" w:fill="auto"/>
            <w:noWrap/>
            <w:vAlign w:val="center"/>
            <w:hideMark/>
          </w:tcPr>
          <w:p w14:paraId="23D27DC4"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DIREM</w:t>
            </w:r>
          </w:p>
        </w:tc>
        <w:tc>
          <w:tcPr>
            <w:tcW w:w="1134" w:type="dxa"/>
            <w:tcBorders>
              <w:top w:val="nil"/>
              <w:left w:val="nil"/>
              <w:bottom w:val="single" w:sz="4" w:space="0" w:color="auto"/>
              <w:right w:val="single" w:sz="4" w:space="0" w:color="auto"/>
            </w:tcBorders>
            <w:shd w:val="clear" w:color="auto" w:fill="auto"/>
            <w:noWrap/>
            <w:vAlign w:val="center"/>
            <w:hideMark/>
          </w:tcPr>
          <w:p w14:paraId="5D2F9A8C"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50%</w:t>
            </w:r>
          </w:p>
        </w:tc>
        <w:tc>
          <w:tcPr>
            <w:tcW w:w="1684" w:type="dxa"/>
            <w:tcBorders>
              <w:top w:val="nil"/>
              <w:left w:val="nil"/>
              <w:bottom w:val="single" w:sz="4" w:space="0" w:color="auto"/>
            </w:tcBorders>
            <w:shd w:val="clear" w:color="auto" w:fill="auto"/>
            <w:hideMark/>
          </w:tcPr>
          <w:p w14:paraId="0648DE9B"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Paralisada e desdobrada na iniciativa 1.1.5</w:t>
            </w:r>
          </w:p>
        </w:tc>
      </w:tr>
      <w:tr w:rsidR="00882031" w:rsidRPr="00882031" w14:paraId="6042318F" w14:textId="77777777" w:rsidTr="00882031">
        <w:trPr>
          <w:trHeight w:val="765"/>
        </w:trPr>
        <w:tc>
          <w:tcPr>
            <w:tcW w:w="1833" w:type="dxa"/>
            <w:vMerge/>
            <w:tcBorders>
              <w:top w:val="single" w:sz="8" w:space="0" w:color="auto"/>
              <w:bottom w:val="single" w:sz="4" w:space="0" w:color="auto"/>
              <w:right w:val="single" w:sz="4" w:space="0" w:color="auto"/>
            </w:tcBorders>
            <w:vAlign w:val="center"/>
            <w:hideMark/>
          </w:tcPr>
          <w:p w14:paraId="27F5A98A" w14:textId="77777777" w:rsidR="00882031" w:rsidRPr="00882031" w:rsidRDefault="00882031" w:rsidP="00882031">
            <w:pPr>
              <w:widowControl/>
              <w:autoSpaceDE/>
              <w:autoSpaceDN/>
              <w:rPr>
                <w:rFonts w:eastAsia="Times New Roman"/>
                <w:color w:val="000000"/>
                <w:sz w:val="20"/>
                <w:szCs w:val="20"/>
                <w:lang w:eastAsia="pt-BR" w:bidi="ar-SA"/>
              </w:rPr>
            </w:pPr>
          </w:p>
        </w:tc>
        <w:tc>
          <w:tcPr>
            <w:tcW w:w="3720" w:type="dxa"/>
            <w:tcBorders>
              <w:top w:val="nil"/>
              <w:left w:val="nil"/>
              <w:bottom w:val="single" w:sz="4" w:space="0" w:color="auto"/>
              <w:right w:val="single" w:sz="4" w:space="0" w:color="auto"/>
            </w:tcBorders>
            <w:shd w:val="clear" w:color="auto" w:fill="auto"/>
            <w:vAlign w:val="center"/>
            <w:hideMark/>
          </w:tcPr>
          <w:p w14:paraId="1675E5C8"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3. Apresentar estudo com cenários alternativos para continuidade das obras da Transnordestina até dezembro de 2021</w:t>
            </w:r>
          </w:p>
        </w:tc>
        <w:tc>
          <w:tcPr>
            <w:tcW w:w="1258" w:type="dxa"/>
            <w:tcBorders>
              <w:top w:val="nil"/>
              <w:left w:val="nil"/>
              <w:bottom w:val="single" w:sz="4" w:space="0" w:color="auto"/>
              <w:right w:val="single" w:sz="4" w:space="0" w:color="auto"/>
            </w:tcBorders>
            <w:shd w:val="clear" w:color="auto" w:fill="auto"/>
            <w:noWrap/>
            <w:vAlign w:val="center"/>
            <w:hideMark/>
          </w:tcPr>
          <w:p w14:paraId="43FCEA8B"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SUGOP</w:t>
            </w:r>
          </w:p>
        </w:tc>
        <w:tc>
          <w:tcPr>
            <w:tcW w:w="1134" w:type="dxa"/>
            <w:tcBorders>
              <w:top w:val="nil"/>
              <w:left w:val="nil"/>
              <w:bottom w:val="single" w:sz="4" w:space="0" w:color="auto"/>
              <w:right w:val="single" w:sz="4" w:space="0" w:color="auto"/>
            </w:tcBorders>
            <w:shd w:val="clear" w:color="auto" w:fill="auto"/>
            <w:noWrap/>
            <w:vAlign w:val="center"/>
            <w:hideMark/>
          </w:tcPr>
          <w:p w14:paraId="58BEBBDF"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100%</w:t>
            </w:r>
          </w:p>
        </w:tc>
        <w:tc>
          <w:tcPr>
            <w:tcW w:w="1684" w:type="dxa"/>
            <w:tcBorders>
              <w:top w:val="nil"/>
              <w:left w:val="nil"/>
              <w:bottom w:val="single" w:sz="4" w:space="0" w:color="auto"/>
            </w:tcBorders>
            <w:shd w:val="clear" w:color="auto" w:fill="auto"/>
            <w:vAlign w:val="bottom"/>
            <w:hideMark/>
          </w:tcPr>
          <w:p w14:paraId="283A5100"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 </w:t>
            </w:r>
          </w:p>
        </w:tc>
      </w:tr>
      <w:tr w:rsidR="00882031" w:rsidRPr="00882031" w14:paraId="02887788" w14:textId="77777777" w:rsidTr="00882031">
        <w:trPr>
          <w:trHeight w:val="510"/>
        </w:trPr>
        <w:tc>
          <w:tcPr>
            <w:tcW w:w="1833" w:type="dxa"/>
            <w:vMerge/>
            <w:tcBorders>
              <w:top w:val="single" w:sz="8" w:space="0" w:color="auto"/>
              <w:bottom w:val="single" w:sz="4" w:space="0" w:color="auto"/>
              <w:right w:val="single" w:sz="4" w:space="0" w:color="auto"/>
            </w:tcBorders>
            <w:vAlign w:val="center"/>
            <w:hideMark/>
          </w:tcPr>
          <w:p w14:paraId="66741C81" w14:textId="77777777" w:rsidR="00882031" w:rsidRPr="00882031" w:rsidRDefault="00882031" w:rsidP="00882031">
            <w:pPr>
              <w:widowControl/>
              <w:autoSpaceDE/>
              <w:autoSpaceDN/>
              <w:rPr>
                <w:rFonts w:eastAsia="Times New Roman"/>
                <w:color w:val="000000"/>
                <w:sz w:val="20"/>
                <w:szCs w:val="20"/>
                <w:lang w:eastAsia="pt-BR" w:bidi="ar-SA"/>
              </w:rPr>
            </w:pPr>
          </w:p>
        </w:tc>
        <w:tc>
          <w:tcPr>
            <w:tcW w:w="3720" w:type="dxa"/>
            <w:tcBorders>
              <w:top w:val="nil"/>
              <w:left w:val="nil"/>
              <w:bottom w:val="single" w:sz="4" w:space="0" w:color="auto"/>
              <w:right w:val="single" w:sz="4" w:space="0" w:color="auto"/>
            </w:tcBorders>
            <w:shd w:val="clear" w:color="auto" w:fill="auto"/>
            <w:vAlign w:val="center"/>
            <w:hideMark/>
          </w:tcPr>
          <w:p w14:paraId="0F766DBD"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4. Implantar um modelo de governança para Participações Societárias até julho de 2021</w:t>
            </w:r>
          </w:p>
        </w:tc>
        <w:tc>
          <w:tcPr>
            <w:tcW w:w="1258" w:type="dxa"/>
            <w:tcBorders>
              <w:top w:val="nil"/>
              <w:left w:val="nil"/>
              <w:bottom w:val="single" w:sz="4" w:space="0" w:color="auto"/>
              <w:right w:val="single" w:sz="4" w:space="0" w:color="auto"/>
            </w:tcBorders>
            <w:shd w:val="clear" w:color="auto" w:fill="auto"/>
            <w:noWrap/>
            <w:vAlign w:val="center"/>
            <w:hideMark/>
          </w:tcPr>
          <w:p w14:paraId="4D5C9C37"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SUGOP</w:t>
            </w:r>
          </w:p>
        </w:tc>
        <w:tc>
          <w:tcPr>
            <w:tcW w:w="1134" w:type="dxa"/>
            <w:tcBorders>
              <w:top w:val="nil"/>
              <w:left w:val="nil"/>
              <w:bottom w:val="single" w:sz="4" w:space="0" w:color="auto"/>
              <w:right w:val="single" w:sz="4" w:space="0" w:color="auto"/>
            </w:tcBorders>
            <w:shd w:val="clear" w:color="auto" w:fill="auto"/>
            <w:noWrap/>
            <w:vAlign w:val="center"/>
            <w:hideMark/>
          </w:tcPr>
          <w:p w14:paraId="74E1B86D"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100%</w:t>
            </w:r>
          </w:p>
        </w:tc>
        <w:tc>
          <w:tcPr>
            <w:tcW w:w="1684" w:type="dxa"/>
            <w:tcBorders>
              <w:top w:val="nil"/>
              <w:left w:val="nil"/>
              <w:bottom w:val="single" w:sz="4" w:space="0" w:color="auto"/>
            </w:tcBorders>
            <w:shd w:val="clear" w:color="auto" w:fill="auto"/>
            <w:vAlign w:val="bottom"/>
            <w:hideMark/>
          </w:tcPr>
          <w:p w14:paraId="126D349F"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 </w:t>
            </w:r>
          </w:p>
        </w:tc>
      </w:tr>
      <w:tr w:rsidR="00882031" w:rsidRPr="00882031" w14:paraId="62C758C8" w14:textId="77777777" w:rsidTr="00882031">
        <w:trPr>
          <w:trHeight w:val="1020"/>
        </w:trPr>
        <w:tc>
          <w:tcPr>
            <w:tcW w:w="1833" w:type="dxa"/>
            <w:vMerge/>
            <w:tcBorders>
              <w:top w:val="single" w:sz="8" w:space="0" w:color="auto"/>
              <w:bottom w:val="single" w:sz="4" w:space="0" w:color="auto"/>
              <w:right w:val="single" w:sz="4" w:space="0" w:color="auto"/>
            </w:tcBorders>
            <w:vAlign w:val="center"/>
            <w:hideMark/>
          </w:tcPr>
          <w:p w14:paraId="485E3F9F" w14:textId="77777777" w:rsidR="00882031" w:rsidRPr="00882031" w:rsidRDefault="00882031" w:rsidP="00882031">
            <w:pPr>
              <w:widowControl/>
              <w:autoSpaceDE/>
              <w:autoSpaceDN/>
              <w:rPr>
                <w:rFonts w:eastAsia="Times New Roman"/>
                <w:color w:val="000000"/>
                <w:sz w:val="20"/>
                <w:szCs w:val="20"/>
                <w:lang w:eastAsia="pt-BR" w:bidi="ar-SA"/>
              </w:rPr>
            </w:pPr>
          </w:p>
        </w:tc>
        <w:tc>
          <w:tcPr>
            <w:tcW w:w="3720" w:type="dxa"/>
            <w:tcBorders>
              <w:top w:val="nil"/>
              <w:left w:val="nil"/>
              <w:bottom w:val="single" w:sz="4" w:space="0" w:color="auto"/>
              <w:right w:val="single" w:sz="4" w:space="0" w:color="auto"/>
            </w:tcBorders>
            <w:shd w:val="clear" w:color="auto" w:fill="auto"/>
            <w:vAlign w:val="center"/>
            <w:hideMark/>
          </w:tcPr>
          <w:p w14:paraId="62BB9ED6"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5. I) Aprovar os laudos de desapropriação da FICO dos 30 quilômetros iniciais</w:t>
            </w:r>
            <w:r w:rsidRPr="00882031">
              <w:rPr>
                <w:rFonts w:eastAsia="Times New Roman"/>
                <w:color w:val="000000"/>
                <w:sz w:val="20"/>
                <w:szCs w:val="20"/>
                <w:lang w:eastAsia="pt-BR" w:bidi="ar-SA"/>
              </w:rPr>
              <w:br/>
              <w:t>II) Gerenciar os requisitos estratégicos que impactem na gestão contratual (DIREM)</w:t>
            </w:r>
          </w:p>
        </w:tc>
        <w:tc>
          <w:tcPr>
            <w:tcW w:w="1258" w:type="dxa"/>
            <w:tcBorders>
              <w:top w:val="nil"/>
              <w:left w:val="nil"/>
              <w:bottom w:val="single" w:sz="4" w:space="0" w:color="auto"/>
              <w:right w:val="single" w:sz="4" w:space="0" w:color="auto"/>
            </w:tcBorders>
            <w:shd w:val="clear" w:color="auto" w:fill="auto"/>
            <w:noWrap/>
            <w:vAlign w:val="center"/>
            <w:hideMark/>
          </w:tcPr>
          <w:p w14:paraId="52C9740C"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DIREM</w:t>
            </w:r>
          </w:p>
        </w:tc>
        <w:tc>
          <w:tcPr>
            <w:tcW w:w="1134" w:type="dxa"/>
            <w:tcBorders>
              <w:top w:val="nil"/>
              <w:left w:val="nil"/>
              <w:bottom w:val="single" w:sz="4" w:space="0" w:color="auto"/>
              <w:right w:val="single" w:sz="4" w:space="0" w:color="auto"/>
            </w:tcBorders>
            <w:shd w:val="clear" w:color="auto" w:fill="auto"/>
            <w:vAlign w:val="center"/>
            <w:hideMark/>
          </w:tcPr>
          <w:p w14:paraId="1575D750"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I) 100%</w:t>
            </w:r>
            <w:r w:rsidRPr="00882031">
              <w:rPr>
                <w:rFonts w:eastAsia="Times New Roman"/>
                <w:color w:val="000000"/>
                <w:sz w:val="20"/>
                <w:szCs w:val="20"/>
                <w:lang w:eastAsia="pt-BR" w:bidi="ar-SA"/>
              </w:rPr>
              <w:br/>
              <w:t>II) 100%</w:t>
            </w:r>
          </w:p>
        </w:tc>
        <w:tc>
          <w:tcPr>
            <w:tcW w:w="1684" w:type="dxa"/>
            <w:tcBorders>
              <w:top w:val="nil"/>
              <w:left w:val="nil"/>
              <w:bottom w:val="single" w:sz="4" w:space="0" w:color="auto"/>
            </w:tcBorders>
            <w:shd w:val="clear" w:color="auto" w:fill="auto"/>
            <w:vAlign w:val="bottom"/>
            <w:hideMark/>
          </w:tcPr>
          <w:p w14:paraId="64D1E191"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 </w:t>
            </w:r>
          </w:p>
        </w:tc>
      </w:tr>
      <w:tr w:rsidR="00882031" w:rsidRPr="00882031" w14:paraId="6FF60D1E" w14:textId="77777777" w:rsidTr="00882031">
        <w:trPr>
          <w:trHeight w:val="525"/>
        </w:trPr>
        <w:tc>
          <w:tcPr>
            <w:tcW w:w="1833" w:type="dxa"/>
            <w:vMerge/>
            <w:tcBorders>
              <w:top w:val="single" w:sz="8" w:space="0" w:color="auto"/>
              <w:bottom w:val="single" w:sz="4" w:space="0" w:color="auto"/>
              <w:right w:val="single" w:sz="4" w:space="0" w:color="auto"/>
            </w:tcBorders>
            <w:vAlign w:val="center"/>
            <w:hideMark/>
          </w:tcPr>
          <w:p w14:paraId="14A5DA15" w14:textId="77777777" w:rsidR="00882031" w:rsidRPr="00882031" w:rsidRDefault="00882031" w:rsidP="00882031">
            <w:pPr>
              <w:widowControl/>
              <w:autoSpaceDE/>
              <w:autoSpaceDN/>
              <w:rPr>
                <w:rFonts w:eastAsia="Times New Roman"/>
                <w:color w:val="000000"/>
                <w:sz w:val="20"/>
                <w:szCs w:val="20"/>
                <w:lang w:eastAsia="pt-BR" w:bidi="ar-SA"/>
              </w:rPr>
            </w:pPr>
          </w:p>
        </w:tc>
        <w:tc>
          <w:tcPr>
            <w:tcW w:w="3720" w:type="dxa"/>
            <w:tcBorders>
              <w:top w:val="nil"/>
              <w:left w:val="nil"/>
              <w:bottom w:val="nil"/>
              <w:right w:val="single" w:sz="4" w:space="0" w:color="auto"/>
            </w:tcBorders>
            <w:shd w:val="clear" w:color="auto" w:fill="auto"/>
            <w:vAlign w:val="center"/>
            <w:hideMark/>
          </w:tcPr>
          <w:p w14:paraId="39AC20E9"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Identificar oportunidades de transporte ferroviário de passageiros</w:t>
            </w:r>
          </w:p>
        </w:tc>
        <w:tc>
          <w:tcPr>
            <w:tcW w:w="1258" w:type="dxa"/>
            <w:tcBorders>
              <w:top w:val="nil"/>
              <w:left w:val="nil"/>
              <w:bottom w:val="nil"/>
              <w:right w:val="single" w:sz="4" w:space="0" w:color="auto"/>
            </w:tcBorders>
            <w:shd w:val="clear" w:color="auto" w:fill="auto"/>
            <w:noWrap/>
            <w:vAlign w:val="center"/>
            <w:hideMark/>
          </w:tcPr>
          <w:p w14:paraId="1B7756D9"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SUINP</w:t>
            </w:r>
          </w:p>
        </w:tc>
        <w:tc>
          <w:tcPr>
            <w:tcW w:w="1134" w:type="dxa"/>
            <w:tcBorders>
              <w:top w:val="nil"/>
              <w:left w:val="nil"/>
              <w:bottom w:val="nil"/>
              <w:right w:val="single" w:sz="4" w:space="0" w:color="auto"/>
            </w:tcBorders>
            <w:shd w:val="clear" w:color="auto" w:fill="auto"/>
            <w:noWrap/>
            <w:vAlign w:val="center"/>
            <w:hideMark/>
          </w:tcPr>
          <w:p w14:paraId="4C4B9241"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100%</w:t>
            </w:r>
          </w:p>
        </w:tc>
        <w:tc>
          <w:tcPr>
            <w:tcW w:w="1684" w:type="dxa"/>
            <w:tcBorders>
              <w:top w:val="nil"/>
              <w:left w:val="nil"/>
              <w:bottom w:val="nil"/>
            </w:tcBorders>
            <w:shd w:val="clear" w:color="auto" w:fill="auto"/>
            <w:vAlign w:val="bottom"/>
            <w:hideMark/>
          </w:tcPr>
          <w:p w14:paraId="0A36B623"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 </w:t>
            </w:r>
          </w:p>
        </w:tc>
      </w:tr>
      <w:tr w:rsidR="00882031" w:rsidRPr="00882031" w14:paraId="4DC57E11" w14:textId="77777777" w:rsidTr="00882031">
        <w:trPr>
          <w:trHeight w:val="510"/>
        </w:trPr>
        <w:tc>
          <w:tcPr>
            <w:tcW w:w="1833" w:type="dxa"/>
            <w:vMerge w:val="restart"/>
            <w:tcBorders>
              <w:top w:val="single" w:sz="8" w:space="0" w:color="auto"/>
              <w:bottom w:val="single" w:sz="4" w:space="0" w:color="auto"/>
              <w:right w:val="single" w:sz="4" w:space="0" w:color="auto"/>
            </w:tcBorders>
            <w:shd w:val="clear" w:color="auto" w:fill="auto"/>
            <w:vAlign w:val="center"/>
            <w:hideMark/>
          </w:tcPr>
          <w:p w14:paraId="4D621EC6" w14:textId="3C2BEC3B"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 xml:space="preserve">Objetivo 1.2 </w:t>
            </w:r>
            <w:r>
              <w:rPr>
                <w:rFonts w:eastAsia="Times New Roman"/>
                <w:color w:val="000000"/>
                <w:sz w:val="20"/>
                <w:szCs w:val="20"/>
                <w:lang w:eastAsia="pt-BR" w:bidi="ar-SA"/>
              </w:rPr>
              <w:t>-</w:t>
            </w:r>
            <w:r w:rsidRPr="00882031">
              <w:rPr>
                <w:rFonts w:eastAsia="Times New Roman"/>
                <w:color w:val="000000"/>
                <w:sz w:val="20"/>
                <w:szCs w:val="20"/>
                <w:lang w:eastAsia="pt-BR" w:bidi="ar-SA"/>
              </w:rPr>
              <w:t xml:space="preserve"> Buscar reconhecimento como empresa pública</w:t>
            </w:r>
          </w:p>
        </w:tc>
        <w:tc>
          <w:tcPr>
            <w:tcW w:w="3720" w:type="dxa"/>
            <w:tcBorders>
              <w:top w:val="single" w:sz="8" w:space="0" w:color="auto"/>
              <w:left w:val="nil"/>
              <w:bottom w:val="single" w:sz="4" w:space="0" w:color="auto"/>
              <w:right w:val="single" w:sz="4" w:space="0" w:color="auto"/>
            </w:tcBorders>
            <w:shd w:val="clear" w:color="auto" w:fill="auto"/>
            <w:vAlign w:val="center"/>
            <w:hideMark/>
          </w:tcPr>
          <w:p w14:paraId="48437AE7"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1. Implementar metodologia para monitoramento e melhoria da imagem institucional até julho de 2021</w:t>
            </w:r>
          </w:p>
        </w:tc>
        <w:tc>
          <w:tcPr>
            <w:tcW w:w="1258" w:type="dxa"/>
            <w:tcBorders>
              <w:top w:val="single" w:sz="8" w:space="0" w:color="auto"/>
              <w:left w:val="nil"/>
              <w:bottom w:val="single" w:sz="4" w:space="0" w:color="auto"/>
              <w:right w:val="single" w:sz="4" w:space="0" w:color="auto"/>
            </w:tcBorders>
            <w:shd w:val="clear" w:color="auto" w:fill="auto"/>
            <w:noWrap/>
            <w:vAlign w:val="center"/>
            <w:hideMark/>
          </w:tcPr>
          <w:p w14:paraId="5FCEDC1D"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ASCOM</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1DDF2977"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90%</w:t>
            </w:r>
          </w:p>
        </w:tc>
        <w:tc>
          <w:tcPr>
            <w:tcW w:w="1684" w:type="dxa"/>
            <w:tcBorders>
              <w:top w:val="single" w:sz="8" w:space="0" w:color="auto"/>
              <w:left w:val="nil"/>
              <w:bottom w:val="single" w:sz="4" w:space="0" w:color="auto"/>
            </w:tcBorders>
            <w:shd w:val="clear" w:color="auto" w:fill="auto"/>
            <w:vAlign w:val="bottom"/>
            <w:hideMark/>
          </w:tcPr>
          <w:p w14:paraId="15468769"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 </w:t>
            </w:r>
          </w:p>
        </w:tc>
      </w:tr>
      <w:tr w:rsidR="00882031" w:rsidRPr="00882031" w14:paraId="3E12B8E1" w14:textId="77777777" w:rsidTr="00882031">
        <w:trPr>
          <w:trHeight w:val="1035"/>
        </w:trPr>
        <w:tc>
          <w:tcPr>
            <w:tcW w:w="1833" w:type="dxa"/>
            <w:vMerge/>
            <w:tcBorders>
              <w:top w:val="single" w:sz="8" w:space="0" w:color="auto"/>
              <w:bottom w:val="single" w:sz="4" w:space="0" w:color="auto"/>
              <w:right w:val="single" w:sz="4" w:space="0" w:color="auto"/>
            </w:tcBorders>
            <w:vAlign w:val="center"/>
            <w:hideMark/>
          </w:tcPr>
          <w:p w14:paraId="2C82317C" w14:textId="77777777" w:rsidR="00882031" w:rsidRPr="00882031" w:rsidRDefault="00882031" w:rsidP="00882031">
            <w:pPr>
              <w:widowControl/>
              <w:autoSpaceDE/>
              <w:autoSpaceDN/>
              <w:rPr>
                <w:rFonts w:eastAsia="Times New Roman"/>
                <w:color w:val="000000"/>
                <w:sz w:val="20"/>
                <w:szCs w:val="20"/>
                <w:lang w:eastAsia="pt-BR" w:bidi="ar-SA"/>
              </w:rPr>
            </w:pPr>
          </w:p>
        </w:tc>
        <w:tc>
          <w:tcPr>
            <w:tcW w:w="3720" w:type="dxa"/>
            <w:tcBorders>
              <w:top w:val="nil"/>
              <w:left w:val="nil"/>
              <w:bottom w:val="nil"/>
              <w:right w:val="single" w:sz="4" w:space="0" w:color="auto"/>
            </w:tcBorders>
            <w:shd w:val="clear" w:color="auto" w:fill="auto"/>
            <w:vAlign w:val="center"/>
            <w:hideMark/>
          </w:tcPr>
          <w:p w14:paraId="19B13DB0"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3. Promover visitas trimestrais do MInfra para acompanhamento dos empreendimentos/projetos da Valec</w:t>
            </w:r>
          </w:p>
        </w:tc>
        <w:tc>
          <w:tcPr>
            <w:tcW w:w="1258" w:type="dxa"/>
            <w:tcBorders>
              <w:top w:val="nil"/>
              <w:left w:val="nil"/>
              <w:bottom w:val="nil"/>
              <w:right w:val="single" w:sz="4" w:space="0" w:color="auto"/>
            </w:tcBorders>
            <w:shd w:val="clear" w:color="auto" w:fill="auto"/>
            <w:noWrap/>
            <w:vAlign w:val="center"/>
            <w:hideMark/>
          </w:tcPr>
          <w:p w14:paraId="3F984209"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ASREL</w:t>
            </w:r>
          </w:p>
        </w:tc>
        <w:tc>
          <w:tcPr>
            <w:tcW w:w="1134" w:type="dxa"/>
            <w:tcBorders>
              <w:top w:val="nil"/>
              <w:left w:val="nil"/>
              <w:bottom w:val="nil"/>
              <w:right w:val="single" w:sz="4" w:space="0" w:color="auto"/>
            </w:tcBorders>
            <w:shd w:val="clear" w:color="auto" w:fill="auto"/>
            <w:noWrap/>
            <w:vAlign w:val="center"/>
            <w:hideMark/>
          </w:tcPr>
          <w:p w14:paraId="4F2A167B"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25%</w:t>
            </w:r>
          </w:p>
        </w:tc>
        <w:tc>
          <w:tcPr>
            <w:tcW w:w="1684" w:type="dxa"/>
            <w:tcBorders>
              <w:top w:val="nil"/>
              <w:left w:val="nil"/>
              <w:bottom w:val="nil"/>
            </w:tcBorders>
            <w:shd w:val="clear" w:color="auto" w:fill="auto"/>
            <w:vAlign w:val="bottom"/>
            <w:hideMark/>
          </w:tcPr>
          <w:p w14:paraId="1CAD43E7"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Paralisada tendo em vista que faz parte da dinâmica operacional da empresa, não entrando no âmbito estratégico</w:t>
            </w:r>
          </w:p>
        </w:tc>
      </w:tr>
      <w:tr w:rsidR="00882031" w:rsidRPr="00882031" w14:paraId="2611FC4B" w14:textId="77777777" w:rsidTr="00882031">
        <w:trPr>
          <w:trHeight w:val="255"/>
        </w:trPr>
        <w:tc>
          <w:tcPr>
            <w:tcW w:w="1833" w:type="dxa"/>
            <w:vMerge w:val="restart"/>
            <w:tcBorders>
              <w:top w:val="single" w:sz="8" w:space="0" w:color="auto"/>
              <w:bottom w:val="single" w:sz="4" w:space="0" w:color="auto"/>
              <w:right w:val="single" w:sz="4" w:space="0" w:color="auto"/>
            </w:tcBorders>
            <w:shd w:val="clear" w:color="auto" w:fill="auto"/>
            <w:vAlign w:val="center"/>
            <w:hideMark/>
          </w:tcPr>
          <w:p w14:paraId="6F4B5FE9"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Objetivo 2.1 – Desenvolver produtos/serviços visando geração de receitas e fomentar pesquisa de mercado na área logística</w:t>
            </w:r>
          </w:p>
        </w:tc>
        <w:tc>
          <w:tcPr>
            <w:tcW w:w="3720" w:type="dxa"/>
            <w:tcBorders>
              <w:top w:val="single" w:sz="8" w:space="0" w:color="auto"/>
              <w:left w:val="nil"/>
              <w:bottom w:val="single" w:sz="4" w:space="0" w:color="auto"/>
              <w:right w:val="single" w:sz="4" w:space="0" w:color="auto"/>
            </w:tcBorders>
            <w:shd w:val="clear" w:color="auto" w:fill="auto"/>
            <w:vAlign w:val="center"/>
            <w:hideMark/>
          </w:tcPr>
          <w:p w14:paraId="39AB551F"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1. Implementar Funil de Inovação</w:t>
            </w:r>
          </w:p>
        </w:tc>
        <w:tc>
          <w:tcPr>
            <w:tcW w:w="1258" w:type="dxa"/>
            <w:tcBorders>
              <w:top w:val="single" w:sz="8" w:space="0" w:color="auto"/>
              <w:left w:val="nil"/>
              <w:bottom w:val="single" w:sz="4" w:space="0" w:color="auto"/>
              <w:right w:val="single" w:sz="4" w:space="0" w:color="auto"/>
            </w:tcBorders>
            <w:shd w:val="clear" w:color="auto" w:fill="auto"/>
            <w:noWrap/>
            <w:vAlign w:val="center"/>
            <w:hideMark/>
          </w:tcPr>
          <w:p w14:paraId="7CED5A41"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SUINP</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38AC6135"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100%</w:t>
            </w:r>
          </w:p>
        </w:tc>
        <w:tc>
          <w:tcPr>
            <w:tcW w:w="1684" w:type="dxa"/>
            <w:tcBorders>
              <w:top w:val="single" w:sz="8" w:space="0" w:color="auto"/>
              <w:left w:val="nil"/>
              <w:bottom w:val="single" w:sz="4" w:space="0" w:color="auto"/>
            </w:tcBorders>
            <w:shd w:val="clear" w:color="auto" w:fill="auto"/>
            <w:vAlign w:val="bottom"/>
            <w:hideMark/>
          </w:tcPr>
          <w:p w14:paraId="4819EFD1"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 </w:t>
            </w:r>
          </w:p>
        </w:tc>
      </w:tr>
      <w:tr w:rsidR="00882031" w:rsidRPr="00882031" w14:paraId="30BB644A" w14:textId="77777777" w:rsidTr="00882031">
        <w:trPr>
          <w:trHeight w:val="300"/>
        </w:trPr>
        <w:tc>
          <w:tcPr>
            <w:tcW w:w="1833" w:type="dxa"/>
            <w:vMerge/>
            <w:tcBorders>
              <w:top w:val="single" w:sz="8" w:space="0" w:color="auto"/>
              <w:bottom w:val="single" w:sz="4" w:space="0" w:color="auto"/>
              <w:right w:val="single" w:sz="4" w:space="0" w:color="auto"/>
            </w:tcBorders>
            <w:vAlign w:val="center"/>
            <w:hideMark/>
          </w:tcPr>
          <w:p w14:paraId="1B089B25" w14:textId="77777777" w:rsidR="00882031" w:rsidRPr="00882031" w:rsidRDefault="00882031" w:rsidP="00882031">
            <w:pPr>
              <w:widowControl/>
              <w:autoSpaceDE/>
              <w:autoSpaceDN/>
              <w:rPr>
                <w:rFonts w:eastAsia="Times New Roman"/>
                <w:color w:val="000000"/>
                <w:sz w:val="20"/>
                <w:szCs w:val="20"/>
                <w:lang w:eastAsia="pt-BR" w:bidi="ar-SA"/>
              </w:rPr>
            </w:pPr>
          </w:p>
        </w:tc>
        <w:tc>
          <w:tcPr>
            <w:tcW w:w="3720" w:type="dxa"/>
            <w:tcBorders>
              <w:top w:val="nil"/>
              <w:left w:val="nil"/>
              <w:bottom w:val="single" w:sz="4" w:space="0" w:color="auto"/>
              <w:right w:val="single" w:sz="4" w:space="0" w:color="auto"/>
            </w:tcBorders>
            <w:shd w:val="clear" w:color="auto" w:fill="auto"/>
            <w:vAlign w:val="center"/>
            <w:hideMark/>
          </w:tcPr>
          <w:p w14:paraId="3434A260"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2. Estruturar e lançar produtos comerciais</w:t>
            </w:r>
          </w:p>
        </w:tc>
        <w:tc>
          <w:tcPr>
            <w:tcW w:w="1258" w:type="dxa"/>
            <w:tcBorders>
              <w:top w:val="nil"/>
              <w:left w:val="nil"/>
              <w:bottom w:val="single" w:sz="4" w:space="0" w:color="auto"/>
              <w:right w:val="single" w:sz="4" w:space="0" w:color="auto"/>
            </w:tcBorders>
            <w:shd w:val="clear" w:color="auto" w:fill="auto"/>
            <w:noWrap/>
            <w:vAlign w:val="center"/>
            <w:hideMark/>
          </w:tcPr>
          <w:p w14:paraId="6245FEBC"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SUINP</w:t>
            </w:r>
          </w:p>
        </w:tc>
        <w:tc>
          <w:tcPr>
            <w:tcW w:w="1134" w:type="dxa"/>
            <w:tcBorders>
              <w:top w:val="nil"/>
              <w:left w:val="nil"/>
              <w:bottom w:val="single" w:sz="4" w:space="0" w:color="auto"/>
              <w:right w:val="single" w:sz="4" w:space="0" w:color="auto"/>
            </w:tcBorders>
            <w:shd w:val="clear" w:color="auto" w:fill="auto"/>
            <w:noWrap/>
            <w:vAlign w:val="center"/>
            <w:hideMark/>
          </w:tcPr>
          <w:p w14:paraId="324A658A"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30%</w:t>
            </w:r>
          </w:p>
        </w:tc>
        <w:tc>
          <w:tcPr>
            <w:tcW w:w="1684" w:type="dxa"/>
            <w:tcBorders>
              <w:top w:val="nil"/>
              <w:left w:val="nil"/>
              <w:bottom w:val="single" w:sz="4" w:space="0" w:color="auto"/>
            </w:tcBorders>
            <w:shd w:val="clear" w:color="auto" w:fill="auto"/>
            <w:vAlign w:val="bottom"/>
            <w:hideMark/>
          </w:tcPr>
          <w:p w14:paraId="6B26208B"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 </w:t>
            </w:r>
          </w:p>
        </w:tc>
      </w:tr>
      <w:tr w:rsidR="00882031" w:rsidRPr="00882031" w14:paraId="37317BE7" w14:textId="77777777" w:rsidTr="00882031">
        <w:trPr>
          <w:trHeight w:val="765"/>
        </w:trPr>
        <w:tc>
          <w:tcPr>
            <w:tcW w:w="1833" w:type="dxa"/>
            <w:vMerge/>
            <w:tcBorders>
              <w:top w:val="single" w:sz="8" w:space="0" w:color="auto"/>
              <w:bottom w:val="single" w:sz="4" w:space="0" w:color="auto"/>
              <w:right w:val="single" w:sz="4" w:space="0" w:color="auto"/>
            </w:tcBorders>
            <w:vAlign w:val="center"/>
            <w:hideMark/>
          </w:tcPr>
          <w:p w14:paraId="20034506" w14:textId="77777777" w:rsidR="00882031" w:rsidRPr="00882031" w:rsidRDefault="00882031" w:rsidP="00882031">
            <w:pPr>
              <w:widowControl/>
              <w:autoSpaceDE/>
              <w:autoSpaceDN/>
              <w:rPr>
                <w:rFonts w:eastAsia="Times New Roman"/>
                <w:color w:val="000000"/>
                <w:sz w:val="20"/>
                <w:szCs w:val="20"/>
                <w:lang w:eastAsia="pt-BR" w:bidi="ar-SA"/>
              </w:rPr>
            </w:pPr>
          </w:p>
        </w:tc>
        <w:tc>
          <w:tcPr>
            <w:tcW w:w="3720" w:type="dxa"/>
            <w:tcBorders>
              <w:top w:val="nil"/>
              <w:left w:val="nil"/>
              <w:bottom w:val="single" w:sz="4" w:space="0" w:color="auto"/>
              <w:right w:val="single" w:sz="4" w:space="0" w:color="auto"/>
            </w:tcBorders>
            <w:shd w:val="clear" w:color="auto" w:fill="auto"/>
            <w:vAlign w:val="center"/>
            <w:hideMark/>
          </w:tcPr>
          <w:p w14:paraId="387BBE5D"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5. Firmar e executar contratos comerciais</w:t>
            </w:r>
          </w:p>
        </w:tc>
        <w:tc>
          <w:tcPr>
            <w:tcW w:w="1258" w:type="dxa"/>
            <w:tcBorders>
              <w:top w:val="nil"/>
              <w:left w:val="nil"/>
              <w:bottom w:val="single" w:sz="4" w:space="0" w:color="auto"/>
              <w:right w:val="single" w:sz="4" w:space="0" w:color="auto"/>
            </w:tcBorders>
            <w:shd w:val="clear" w:color="auto" w:fill="auto"/>
            <w:noWrap/>
            <w:vAlign w:val="center"/>
            <w:hideMark/>
          </w:tcPr>
          <w:p w14:paraId="7E42BEB0"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SUNEG</w:t>
            </w:r>
          </w:p>
        </w:tc>
        <w:tc>
          <w:tcPr>
            <w:tcW w:w="1134" w:type="dxa"/>
            <w:tcBorders>
              <w:top w:val="nil"/>
              <w:left w:val="nil"/>
              <w:bottom w:val="single" w:sz="4" w:space="0" w:color="auto"/>
              <w:right w:val="single" w:sz="4" w:space="0" w:color="auto"/>
            </w:tcBorders>
            <w:shd w:val="clear" w:color="auto" w:fill="auto"/>
            <w:noWrap/>
            <w:vAlign w:val="center"/>
            <w:hideMark/>
          </w:tcPr>
          <w:p w14:paraId="619A5C06"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0%</w:t>
            </w:r>
          </w:p>
        </w:tc>
        <w:tc>
          <w:tcPr>
            <w:tcW w:w="1684" w:type="dxa"/>
            <w:tcBorders>
              <w:top w:val="nil"/>
              <w:left w:val="nil"/>
              <w:bottom w:val="single" w:sz="4" w:space="0" w:color="auto"/>
            </w:tcBorders>
            <w:shd w:val="clear" w:color="auto" w:fill="auto"/>
            <w:vAlign w:val="bottom"/>
            <w:hideMark/>
          </w:tcPr>
          <w:p w14:paraId="79C93635" w14:textId="77777777" w:rsidR="00882031" w:rsidRPr="00882031" w:rsidRDefault="00882031" w:rsidP="00882031">
            <w:pPr>
              <w:widowControl/>
              <w:autoSpaceDE/>
              <w:autoSpaceDN/>
              <w:rPr>
                <w:rFonts w:eastAsia="Times New Roman"/>
                <w:sz w:val="20"/>
                <w:szCs w:val="20"/>
                <w:lang w:eastAsia="pt-BR" w:bidi="ar-SA"/>
              </w:rPr>
            </w:pPr>
            <w:r w:rsidRPr="00882031">
              <w:rPr>
                <w:rFonts w:eastAsia="Times New Roman"/>
                <w:sz w:val="20"/>
                <w:szCs w:val="20"/>
                <w:lang w:eastAsia="pt-BR" w:bidi="ar-SA"/>
              </w:rPr>
              <w:t>Paralisada tendo em vista a redefinição dos produtos a serem comercializados</w:t>
            </w:r>
          </w:p>
        </w:tc>
      </w:tr>
      <w:tr w:rsidR="00882031" w:rsidRPr="00882031" w14:paraId="4BDDC674" w14:textId="77777777" w:rsidTr="00882031">
        <w:trPr>
          <w:trHeight w:val="255"/>
        </w:trPr>
        <w:tc>
          <w:tcPr>
            <w:tcW w:w="1833" w:type="dxa"/>
            <w:vMerge/>
            <w:tcBorders>
              <w:top w:val="single" w:sz="8" w:space="0" w:color="auto"/>
              <w:bottom w:val="single" w:sz="4" w:space="0" w:color="auto"/>
              <w:right w:val="single" w:sz="4" w:space="0" w:color="auto"/>
            </w:tcBorders>
            <w:vAlign w:val="center"/>
            <w:hideMark/>
          </w:tcPr>
          <w:p w14:paraId="006B0F15" w14:textId="77777777" w:rsidR="00882031" w:rsidRPr="00882031" w:rsidRDefault="00882031" w:rsidP="00882031">
            <w:pPr>
              <w:widowControl/>
              <w:autoSpaceDE/>
              <w:autoSpaceDN/>
              <w:rPr>
                <w:rFonts w:eastAsia="Times New Roman"/>
                <w:color w:val="000000"/>
                <w:sz w:val="20"/>
                <w:szCs w:val="20"/>
                <w:lang w:eastAsia="pt-BR" w:bidi="ar-SA"/>
              </w:rPr>
            </w:pPr>
          </w:p>
        </w:tc>
        <w:tc>
          <w:tcPr>
            <w:tcW w:w="3720" w:type="dxa"/>
            <w:tcBorders>
              <w:top w:val="nil"/>
              <w:left w:val="nil"/>
              <w:bottom w:val="single" w:sz="4" w:space="0" w:color="auto"/>
              <w:right w:val="single" w:sz="4" w:space="0" w:color="auto"/>
            </w:tcBorders>
            <w:shd w:val="clear" w:color="auto" w:fill="auto"/>
            <w:vAlign w:val="center"/>
            <w:hideMark/>
          </w:tcPr>
          <w:p w14:paraId="262E5B04"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6. Promover a delegação de terminais ou áreas</w:t>
            </w:r>
          </w:p>
        </w:tc>
        <w:tc>
          <w:tcPr>
            <w:tcW w:w="1258" w:type="dxa"/>
            <w:tcBorders>
              <w:top w:val="nil"/>
              <w:left w:val="nil"/>
              <w:bottom w:val="single" w:sz="4" w:space="0" w:color="auto"/>
              <w:right w:val="single" w:sz="4" w:space="0" w:color="auto"/>
            </w:tcBorders>
            <w:shd w:val="clear" w:color="auto" w:fill="auto"/>
            <w:noWrap/>
            <w:vAlign w:val="center"/>
            <w:hideMark/>
          </w:tcPr>
          <w:p w14:paraId="5B667FBF"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SUNEG</w:t>
            </w:r>
          </w:p>
        </w:tc>
        <w:tc>
          <w:tcPr>
            <w:tcW w:w="1134" w:type="dxa"/>
            <w:tcBorders>
              <w:top w:val="nil"/>
              <w:left w:val="nil"/>
              <w:bottom w:val="single" w:sz="4" w:space="0" w:color="auto"/>
              <w:right w:val="single" w:sz="4" w:space="0" w:color="auto"/>
            </w:tcBorders>
            <w:shd w:val="clear" w:color="auto" w:fill="auto"/>
            <w:noWrap/>
            <w:vAlign w:val="center"/>
            <w:hideMark/>
          </w:tcPr>
          <w:p w14:paraId="063F98D2"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108%</w:t>
            </w:r>
          </w:p>
        </w:tc>
        <w:tc>
          <w:tcPr>
            <w:tcW w:w="1684" w:type="dxa"/>
            <w:tcBorders>
              <w:top w:val="nil"/>
              <w:left w:val="nil"/>
              <w:bottom w:val="single" w:sz="4" w:space="0" w:color="auto"/>
            </w:tcBorders>
            <w:shd w:val="clear" w:color="auto" w:fill="auto"/>
            <w:vAlign w:val="bottom"/>
            <w:hideMark/>
          </w:tcPr>
          <w:p w14:paraId="50D66497"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 </w:t>
            </w:r>
          </w:p>
        </w:tc>
      </w:tr>
      <w:tr w:rsidR="00882031" w:rsidRPr="00882031" w14:paraId="00891A6C" w14:textId="77777777" w:rsidTr="00882031">
        <w:trPr>
          <w:trHeight w:val="510"/>
        </w:trPr>
        <w:tc>
          <w:tcPr>
            <w:tcW w:w="1833" w:type="dxa"/>
            <w:vMerge/>
            <w:tcBorders>
              <w:top w:val="single" w:sz="8" w:space="0" w:color="auto"/>
              <w:bottom w:val="single" w:sz="4" w:space="0" w:color="auto"/>
              <w:right w:val="single" w:sz="4" w:space="0" w:color="auto"/>
            </w:tcBorders>
            <w:vAlign w:val="center"/>
            <w:hideMark/>
          </w:tcPr>
          <w:p w14:paraId="16132291" w14:textId="77777777" w:rsidR="00882031" w:rsidRPr="00882031" w:rsidRDefault="00882031" w:rsidP="00882031">
            <w:pPr>
              <w:widowControl/>
              <w:autoSpaceDE/>
              <w:autoSpaceDN/>
              <w:rPr>
                <w:rFonts w:eastAsia="Times New Roman"/>
                <w:color w:val="000000"/>
                <w:sz w:val="20"/>
                <w:szCs w:val="20"/>
                <w:lang w:eastAsia="pt-BR" w:bidi="ar-SA"/>
              </w:rPr>
            </w:pPr>
          </w:p>
        </w:tc>
        <w:tc>
          <w:tcPr>
            <w:tcW w:w="3720" w:type="dxa"/>
            <w:tcBorders>
              <w:top w:val="nil"/>
              <w:left w:val="nil"/>
              <w:bottom w:val="single" w:sz="4" w:space="0" w:color="auto"/>
              <w:right w:val="single" w:sz="4" w:space="0" w:color="auto"/>
            </w:tcBorders>
            <w:shd w:val="clear" w:color="auto" w:fill="auto"/>
            <w:vAlign w:val="center"/>
            <w:hideMark/>
          </w:tcPr>
          <w:p w14:paraId="7721C0A8"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7. Mapear e realizar pesquisa nos nichos de mercado de interesse da Valec</w:t>
            </w:r>
          </w:p>
        </w:tc>
        <w:tc>
          <w:tcPr>
            <w:tcW w:w="1258" w:type="dxa"/>
            <w:tcBorders>
              <w:top w:val="nil"/>
              <w:left w:val="nil"/>
              <w:bottom w:val="single" w:sz="4" w:space="0" w:color="auto"/>
              <w:right w:val="single" w:sz="4" w:space="0" w:color="auto"/>
            </w:tcBorders>
            <w:shd w:val="clear" w:color="auto" w:fill="auto"/>
            <w:noWrap/>
            <w:vAlign w:val="center"/>
            <w:hideMark/>
          </w:tcPr>
          <w:p w14:paraId="64E8DEC5"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SUINP</w:t>
            </w:r>
          </w:p>
        </w:tc>
        <w:tc>
          <w:tcPr>
            <w:tcW w:w="1134" w:type="dxa"/>
            <w:tcBorders>
              <w:top w:val="nil"/>
              <w:left w:val="nil"/>
              <w:bottom w:val="single" w:sz="4" w:space="0" w:color="auto"/>
              <w:right w:val="single" w:sz="4" w:space="0" w:color="auto"/>
            </w:tcBorders>
            <w:shd w:val="clear" w:color="auto" w:fill="auto"/>
            <w:noWrap/>
            <w:vAlign w:val="center"/>
            <w:hideMark/>
          </w:tcPr>
          <w:p w14:paraId="54B72194"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100%</w:t>
            </w:r>
          </w:p>
        </w:tc>
        <w:tc>
          <w:tcPr>
            <w:tcW w:w="1684" w:type="dxa"/>
            <w:tcBorders>
              <w:top w:val="nil"/>
              <w:left w:val="nil"/>
              <w:bottom w:val="single" w:sz="4" w:space="0" w:color="auto"/>
            </w:tcBorders>
            <w:shd w:val="clear" w:color="auto" w:fill="auto"/>
            <w:vAlign w:val="bottom"/>
            <w:hideMark/>
          </w:tcPr>
          <w:p w14:paraId="109007D4"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 </w:t>
            </w:r>
          </w:p>
        </w:tc>
      </w:tr>
      <w:tr w:rsidR="00882031" w:rsidRPr="00882031" w14:paraId="666D50FE" w14:textId="77777777" w:rsidTr="00882031">
        <w:trPr>
          <w:trHeight w:val="510"/>
        </w:trPr>
        <w:tc>
          <w:tcPr>
            <w:tcW w:w="1833" w:type="dxa"/>
            <w:vMerge/>
            <w:tcBorders>
              <w:top w:val="single" w:sz="8" w:space="0" w:color="auto"/>
              <w:bottom w:val="single" w:sz="4" w:space="0" w:color="auto"/>
              <w:right w:val="single" w:sz="4" w:space="0" w:color="auto"/>
            </w:tcBorders>
            <w:vAlign w:val="center"/>
            <w:hideMark/>
          </w:tcPr>
          <w:p w14:paraId="26C762E0" w14:textId="77777777" w:rsidR="00882031" w:rsidRPr="00882031" w:rsidRDefault="00882031" w:rsidP="00882031">
            <w:pPr>
              <w:widowControl/>
              <w:autoSpaceDE/>
              <w:autoSpaceDN/>
              <w:rPr>
                <w:rFonts w:eastAsia="Times New Roman"/>
                <w:color w:val="000000"/>
                <w:sz w:val="20"/>
                <w:szCs w:val="20"/>
                <w:lang w:eastAsia="pt-BR" w:bidi="ar-SA"/>
              </w:rPr>
            </w:pPr>
          </w:p>
        </w:tc>
        <w:tc>
          <w:tcPr>
            <w:tcW w:w="3720" w:type="dxa"/>
            <w:tcBorders>
              <w:top w:val="nil"/>
              <w:left w:val="nil"/>
              <w:bottom w:val="single" w:sz="4" w:space="0" w:color="auto"/>
              <w:right w:val="single" w:sz="4" w:space="0" w:color="auto"/>
            </w:tcBorders>
            <w:shd w:val="clear" w:color="auto" w:fill="auto"/>
            <w:vAlign w:val="center"/>
            <w:hideMark/>
          </w:tcPr>
          <w:p w14:paraId="4A28E359"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8. Mapear e realizar benchmarking com empresas públicas que possuam aderência à realidade da Valec</w:t>
            </w:r>
          </w:p>
        </w:tc>
        <w:tc>
          <w:tcPr>
            <w:tcW w:w="1258" w:type="dxa"/>
            <w:tcBorders>
              <w:top w:val="nil"/>
              <w:left w:val="nil"/>
              <w:bottom w:val="single" w:sz="4" w:space="0" w:color="auto"/>
              <w:right w:val="single" w:sz="4" w:space="0" w:color="auto"/>
            </w:tcBorders>
            <w:shd w:val="clear" w:color="auto" w:fill="auto"/>
            <w:noWrap/>
            <w:vAlign w:val="center"/>
            <w:hideMark/>
          </w:tcPr>
          <w:p w14:paraId="1DA6A69D"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SUNEG</w:t>
            </w:r>
          </w:p>
        </w:tc>
        <w:tc>
          <w:tcPr>
            <w:tcW w:w="1134" w:type="dxa"/>
            <w:tcBorders>
              <w:top w:val="nil"/>
              <w:left w:val="nil"/>
              <w:bottom w:val="single" w:sz="4" w:space="0" w:color="auto"/>
              <w:right w:val="single" w:sz="4" w:space="0" w:color="auto"/>
            </w:tcBorders>
            <w:shd w:val="clear" w:color="auto" w:fill="auto"/>
            <w:noWrap/>
            <w:vAlign w:val="center"/>
            <w:hideMark/>
          </w:tcPr>
          <w:p w14:paraId="1D528597"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100%</w:t>
            </w:r>
          </w:p>
        </w:tc>
        <w:tc>
          <w:tcPr>
            <w:tcW w:w="1684" w:type="dxa"/>
            <w:tcBorders>
              <w:top w:val="nil"/>
              <w:left w:val="nil"/>
              <w:bottom w:val="single" w:sz="4" w:space="0" w:color="auto"/>
            </w:tcBorders>
            <w:shd w:val="clear" w:color="auto" w:fill="auto"/>
            <w:vAlign w:val="bottom"/>
            <w:hideMark/>
          </w:tcPr>
          <w:p w14:paraId="01DBC04F"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 </w:t>
            </w:r>
          </w:p>
        </w:tc>
      </w:tr>
      <w:tr w:rsidR="00882031" w:rsidRPr="00882031" w14:paraId="11676AFB" w14:textId="77777777" w:rsidTr="00882031">
        <w:trPr>
          <w:trHeight w:val="270"/>
        </w:trPr>
        <w:tc>
          <w:tcPr>
            <w:tcW w:w="1833" w:type="dxa"/>
            <w:vMerge/>
            <w:tcBorders>
              <w:top w:val="single" w:sz="8" w:space="0" w:color="auto"/>
              <w:bottom w:val="single" w:sz="4" w:space="0" w:color="auto"/>
              <w:right w:val="single" w:sz="4" w:space="0" w:color="auto"/>
            </w:tcBorders>
            <w:vAlign w:val="center"/>
            <w:hideMark/>
          </w:tcPr>
          <w:p w14:paraId="0AC90642" w14:textId="77777777" w:rsidR="00882031" w:rsidRPr="00882031" w:rsidRDefault="00882031" w:rsidP="00882031">
            <w:pPr>
              <w:widowControl/>
              <w:autoSpaceDE/>
              <w:autoSpaceDN/>
              <w:rPr>
                <w:rFonts w:eastAsia="Times New Roman"/>
                <w:color w:val="000000"/>
                <w:sz w:val="20"/>
                <w:szCs w:val="20"/>
                <w:lang w:eastAsia="pt-BR" w:bidi="ar-SA"/>
              </w:rPr>
            </w:pPr>
          </w:p>
        </w:tc>
        <w:tc>
          <w:tcPr>
            <w:tcW w:w="3720" w:type="dxa"/>
            <w:tcBorders>
              <w:top w:val="nil"/>
              <w:left w:val="nil"/>
              <w:bottom w:val="nil"/>
              <w:right w:val="single" w:sz="4" w:space="0" w:color="auto"/>
            </w:tcBorders>
            <w:shd w:val="clear" w:color="auto" w:fill="auto"/>
            <w:vAlign w:val="center"/>
            <w:hideMark/>
          </w:tcPr>
          <w:p w14:paraId="5D01BE42"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12. Obter receita das outorgas ferroviárias</w:t>
            </w:r>
          </w:p>
        </w:tc>
        <w:tc>
          <w:tcPr>
            <w:tcW w:w="1258" w:type="dxa"/>
            <w:tcBorders>
              <w:top w:val="nil"/>
              <w:left w:val="nil"/>
              <w:bottom w:val="nil"/>
              <w:right w:val="single" w:sz="4" w:space="0" w:color="auto"/>
            </w:tcBorders>
            <w:shd w:val="clear" w:color="auto" w:fill="auto"/>
            <w:noWrap/>
            <w:vAlign w:val="center"/>
            <w:hideMark/>
          </w:tcPr>
          <w:p w14:paraId="26ECD13B"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SUNEG</w:t>
            </w:r>
          </w:p>
        </w:tc>
        <w:tc>
          <w:tcPr>
            <w:tcW w:w="1134" w:type="dxa"/>
            <w:tcBorders>
              <w:top w:val="nil"/>
              <w:left w:val="nil"/>
              <w:bottom w:val="nil"/>
              <w:right w:val="single" w:sz="4" w:space="0" w:color="auto"/>
            </w:tcBorders>
            <w:shd w:val="clear" w:color="auto" w:fill="auto"/>
            <w:noWrap/>
            <w:vAlign w:val="center"/>
            <w:hideMark/>
          </w:tcPr>
          <w:p w14:paraId="66238372"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100%</w:t>
            </w:r>
          </w:p>
        </w:tc>
        <w:tc>
          <w:tcPr>
            <w:tcW w:w="1684" w:type="dxa"/>
            <w:tcBorders>
              <w:top w:val="nil"/>
              <w:left w:val="nil"/>
              <w:bottom w:val="nil"/>
            </w:tcBorders>
            <w:shd w:val="clear" w:color="auto" w:fill="auto"/>
            <w:vAlign w:val="bottom"/>
            <w:hideMark/>
          </w:tcPr>
          <w:p w14:paraId="7B76A366"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 </w:t>
            </w:r>
          </w:p>
        </w:tc>
      </w:tr>
      <w:tr w:rsidR="00882031" w:rsidRPr="00882031" w14:paraId="6ECF45CE" w14:textId="77777777" w:rsidTr="00882031">
        <w:trPr>
          <w:trHeight w:val="510"/>
        </w:trPr>
        <w:tc>
          <w:tcPr>
            <w:tcW w:w="1833" w:type="dxa"/>
            <w:vMerge w:val="restart"/>
            <w:tcBorders>
              <w:top w:val="single" w:sz="8" w:space="0" w:color="auto"/>
              <w:bottom w:val="single" w:sz="4" w:space="0" w:color="auto"/>
              <w:right w:val="single" w:sz="4" w:space="0" w:color="auto"/>
            </w:tcBorders>
            <w:shd w:val="clear" w:color="auto" w:fill="auto"/>
            <w:vAlign w:val="center"/>
            <w:hideMark/>
          </w:tcPr>
          <w:p w14:paraId="477FDA74" w14:textId="3B05B10E"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 xml:space="preserve">Objetivo 2.2 – Promover contínua em estudos, </w:t>
            </w:r>
            <w:r w:rsidRPr="00882031">
              <w:rPr>
                <w:rFonts w:eastAsia="Times New Roman"/>
                <w:color w:val="000000"/>
                <w:sz w:val="20"/>
                <w:szCs w:val="20"/>
                <w:lang w:eastAsia="pt-BR" w:bidi="ar-SA"/>
              </w:rPr>
              <w:lastRenderedPageBreak/>
              <w:t>projetos e obras para o sistema</w:t>
            </w:r>
          </w:p>
        </w:tc>
        <w:tc>
          <w:tcPr>
            <w:tcW w:w="3720" w:type="dxa"/>
            <w:tcBorders>
              <w:top w:val="single" w:sz="8" w:space="0" w:color="auto"/>
              <w:left w:val="nil"/>
              <w:bottom w:val="single" w:sz="4" w:space="0" w:color="auto"/>
              <w:right w:val="single" w:sz="4" w:space="0" w:color="auto"/>
            </w:tcBorders>
            <w:shd w:val="clear" w:color="auto" w:fill="auto"/>
            <w:vAlign w:val="center"/>
            <w:hideMark/>
          </w:tcPr>
          <w:p w14:paraId="0EEC619F"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lastRenderedPageBreak/>
              <w:t>1. Estruturação da gestão de normativos, que inclui: produção de normativos, gestão de repositório, disponibilização ao público</w:t>
            </w:r>
          </w:p>
        </w:tc>
        <w:tc>
          <w:tcPr>
            <w:tcW w:w="1258" w:type="dxa"/>
            <w:tcBorders>
              <w:top w:val="single" w:sz="8" w:space="0" w:color="auto"/>
              <w:left w:val="nil"/>
              <w:bottom w:val="single" w:sz="4" w:space="0" w:color="auto"/>
              <w:right w:val="single" w:sz="4" w:space="0" w:color="auto"/>
            </w:tcBorders>
            <w:shd w:val="clear" w:color="auto" w:fill="auto"/>
            <w:noWrap/>
            <w:vAlign w:val="center"/>
            <w:hideMark/>
          </w:tcPr>
          <w:p w14:paraId="1D69BD32"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ASGOV</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7C8BF5FC"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99%</w:t>
            </w:r>
          </w:p>
        </w:tc>
        <w:tc>
          <w:tcPr>
            <w:tcW w:w="1684" w:type="dxa"/>
            <w:tcBorders>
              <w:top w:val="single" w:sz="8" w:space="0" w:color="auto"/>
              <w:left w:val="nil"/>
              <w:bottom w:val="single" w:sz="4" w:space="0" w:color="auto"/>
            </w:tcBorders>
            <w:shd w:val="clear" w:color="auto" w:fill="auto"/>
            <w:vAlign w:val="bottom"/>
            <w:hideMark/>
          </w:tcPr>
          <w:p w14:paraId="2068C80C"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 </w:t>
            </w:r>
          </w:p>
        </w:tc>
      </w:tr>
      <w:tr w:rsidR="00882031" w:rsidRPr="00882031" w14:paraId="42D48C72" w14:textId="77777777" w:rsidTr="00882031">
        <w:trPr>
          <w:trHeight w:val="1275"/>
        </w:trPr>
        <w:tc>
          <w:tcPr>
            <w:tcW w:w="1833" w:type="dxa"/>
            <w:vMerge/>
            <w:tcBorders>
              <w:top w:val="single" w:sz="8" w:space="0" w:color="auto"/>
              <w:bottom w:val="single" w:sz="4" w:space="0" w:color="auto"/>
              <w:right w:val="single" w:sz="4" w:space="0" w:color="auto"/>
            </w:tcBorders>
            <w:vAlign w:val="center"/>
            <w:hideMark/>
          </w:tcPr>
          <w:p w14:paraId="20B5DAB0" w14:textId="77777777" w:rsidR="00882031" w:rsidRPr="00882031" w:rsidRDefault="00882031" w:rsidP="00882031">
            <w:pPr>
              <w:widowControl/>
              <w:autoSpaceDE/>
              <w:autoSpaceDN/>
              <w:rPr>
                <w:rFonts w:eastAsia="Times New Roman"/>
                <w:color w:val="000000"/>
                <w:sz w:val="20"/>
                <w:szCs w:val="20"/>
                <w:lang w:eastAsia="pt-BR" w:bidi="ar-SA"/>
              </w:rPr>
            </w:pPr>
          </w:p>
        </w:tc>
        <w:tc>
          <w:tcPr>
            <w:tcW w:w="3720" w:type="dxa"/>
            <w:tcBorders>
              <w:top w:val="nil"/>
              <w:left w:val="nil"/>
              <w:bottom w:val="single" w:sz="4" w:space="0" w:color="auto"/>
              <w:right w:val="single" w:sz="4" w:space="0" w:color="auto"/>
            </w:tcBorders>
            <w:shd w:val="clear" w:color="auto" w:fill="auto"/>
            <w:vAlign w:val="center"/>
            <w:hideMark/>
          </w:tcPr>
          <w:p w14:paraId="7B93464F"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3. Contratar a ABNT para apoio à modernização e revisão dos normativos técnicos até 2021</w:t>
            </w:r>
            <w:r w:rsidRPr="00882031">
              <w:rPr>
                <w:rFonts w:eastAsia="Times New Roman"/>
                <w:color w:val="000000"/>
                <w:sz w:val="20"/>
                <w:szCs w:val="20"/>
                <w:lang w:eastAsia="pt-BR" w:bidi="ar-SA"/>
              </w:rPr>
              <w:br/>
              <w:t>Aprovar a revisão da Política Ambiental e Territorial da Valec</w:t>
            </w:r>
            <w:r w:rsidRPr="00882031">
              <w:rPr>
                <w:rFonts w:eastAsia="Times New Roman"/>
                <w:color w:val="000000"/>
                <w:sz w:val="20"/>
                <w:szCs w:val="20"/>
                <w:lang w:eastAsia="pt-BR" w:bidi="ar-SA"/>
              </w:rPr>
              <w:br/>
              <w:t xml:space="preserve">Lançar o Guia de Compras Públicas Sustentáveis até dezembro de 2021  </w:t>
            </w:r>
          </w:p>
        </w:tc>
        <w:tc>
          <w:tcPr>
            <w:tcW w:w="1258" w:type="dxa"/>
            <w:tcBorders>
              <w:top w:val="nil"/>
              <w:left w:val="nil"/>
              <w:bottom w:val="single" w:sz="4" w:space="0" w:color="auto"/>
              <w:right w:val="single" w:sz="4" w:space="0" w:color="auto"/>
            </w:tcBorders>
            <w:shd w:val="clear" w:color="auto" w:fill="auto"/>
            <w:noWrap/>
            <w:vAlign w:val="center"/>
            <w:hideMark/>
          </w:tcPr>
          <w:p w14:paraId="5BFD43A0"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SUPRO e SUGAT</w:t>
            </w:r>
          </w:p>
        </w:tc>
        <w:tc>
          <w:tcPr>
            <w:tcW w:w="1134" w:type="dxa"/>
            <w:tcBorders>
              <w:top w:val="nil"/>
              <w:left w:val="nil"/>
              <w:bottom w:val="single" w:sz="4" w:space="0" w:color="auto"/>
              <w:right w:val="single" w:sz="4" w:space="0" w:color="auto"/>
            </w:tcBorders>
            <w:shd w:val="clear" w:color="auto" w:fill="auto"/>
            <w:vAlign w:val="center"/>
            <w:hideMark/>
          </w:tcPr>
          <w:p w14:paraId="1E1845F1"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100%</w:t>
            </w:r>
            <w:r w:rsidRPr="00882031">
              <w:rPr>
                <w:rFonts w:eastAsia="Times New Roman"/>
                <w:color w:val="000000"/>
                <w:sz w:val="20"/>
                <w:szCs w:val="20"/>
                <w:lang w:eastAsia="pt-BR" w:bidi="ar-SA"/>
              </w:rPr>
              <w:br/>
              <w:t>100%</w:t>
            </w:r>
            <w:r w:rsidRPr="00882031">
              <w:rPr>
                <w:rFonts w:eastAsia="Times New Roman"/>
                <w:color w:val="000000"/>
                <w:sz w:val="20"/>
                <w:szCs w:val="20"/>
                <w:lang w:eastAsia="pt-BR" w:bidi="ar-SA"/>
              </w:rPr>
              <w:br/>
              <w:t>80%</w:t>
            </w:r>
          </w:p>
        </w:tc>
        <w:tc>
          <w:tcPr>
            <w:tcW w:w="1684" w:type="dxa"/>
            <w:tcBorders>
              <w:top w:val="nil"/>
              <w:left w:val="nil"/>
              <w:bottom w:val="single" w:sz="4" w:space="0" w:color="auto"/>
            </w:tcBorders>
            <w:shd w:val="clear" w:color="auto" w:fill="auto"/>
            <w:vAlign w:val="bottom"/>
            <w:hideMark/>
          </w:tcPr>
          <w:p w14:paraId="243FE8D9"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 </w:t>
            </w:r>
          </w:p>
        </w:tc>
      </w:tr>
      <w:tr w:rsidR="00882031" w:rsidRPr="00882031" w14:paraId="5E4CA942" w14:textId="77777777" w:rsidTr="00882031">
        <w:trPr>
          <w:trHeight w:val="510"/>
        </w:trPr>
        <w:tc>
          <w:tcPr>
            <w:tcW w:w="1833" w:type="dxa"/>
            <w:vMerge/>
            <w:tcBorders>
              <w:top w:val="single" w:sz="8" w:space="0" w:color="auto"/>
              <w:bottom w:val="single" w:sz="4" w:space="0" w:color="auto"/>
              <w:right w:val="single" w:sz="4" w:space="0" w:color="auto"/>
            </w:tcBorders>
            <w:vAlign w:val="center"/>
            <w:hideMark/>
          </w:tcPr>
          <w:p w14:paraId="6F1CD36B" w14:textId="77777777" w:rsidR="00882031" w:rsidRPr="00882031" w:rsidRDefault="00882031" w:rsidP="00882031">
            <w:pPr>
              <w:widowControl/>
              <w:autoSpaceDE/>
              <w:autoSpaceDN/>
              <w:rPr>
                <w:rFonts w:eastAsia="Times New Roman"/>
                <w:color w:val="000000"/>
                <w:sz w:val="20"/>
                <w:szCs w:val="20"/>
                <w:lang w:eastAsia="pt-BR" w:bidi="ar-SA"/>
              </w:rPr>
            </w:pPr>
          </w:p>
        </w:tc>
        <w:tc>
          <w:tcPr>
            <w:tcW w:w="3720" w:type="dxa"/>
            <w:tcBorders>
              <w:top w:val="nil"/>
              <w:left w:val="nil"/>
              <w:bottom w:val="single" w:sz="4" w:space="0" w:color="auto"/>
              <w:right w:val="single" w:sz="4" w:space="0" w:color="auto"/>
            </w:tcBorders>
            <w:shd w:val="clear" w:color="auto" w:fill="auto"/>
            <w:vAlign w:val="center"/>
            <w:hideMark/>
          </w:tcPr>
          <w:p w14:paraId="3FE7A030"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4. Portal Corporativo de Banco de Conhecimento até julho de 2021</w:t>
            </w:r>
          </w:p>
        </w:tc>
        <w:tc>
          <w:tcPr>
            <w:tcW w:w="1258" w:type="dxa"/>
            <w:tcBorders>
              <w:top w:val="nil"/>
              <w:left w:val="nil"/>
              <w:bottom w:val="single" w:sz="4" w:space="0" w:color="auto"/>
              <w:right w:val="single" w:sz="4" w:space="0" w:color="auto"/>
            </w:tcBorders>
            <w:shd w:val="clear" w:color="auto" w:fill="auto"/>
            <w:noWrap/>
            <w:vAlign w:val="center"/>
            <w:hideMark/>
          </w:tcPr>
          <w:p w14:paraId="33F93611"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DIRAF</w:t>
            </w:r>
          </w:p>
        </w:tc>
        <w:tc>
          <w:tcPr>
            <w:tcW w:w="1134" w:type="dxa"/>
            <w:tcBorders>
              <w:top w:val="nil"/>
              <w:left w:val="nil"/>
              <w:bottom w:val="single" w:sz="4" w:space="0" w:color="auto"/>
              <w:right w:val="single" w:sz="4" w:space="0" w:color="auto"/>
            </w:tcBorders>
            <w:shd w:val="clear" w:color="auto" w:fill="auto"/>
            <w:noWrap/>
            <w:vAlign w:val="center"/>
            <w:hideMark/>
          </w:tcPr>
          <w:p w14:paraId="7A9C01D7"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89%</w:t>
            </w:r>
          </w:p>
        </w:tc>
        <w:tc>
          <w:tcPr>
            <w:tcW w:w="1684" w:type="dxa"/>
            <w:tcBorders>
              <w:top w:val="nil"/>
              <w:left w:val="nil"/>
              <w:bottom w:val="single" w:sz="4" w:space="0" w:color="auto"/>
            </w:tcBorders>
            <w:shd w:val="clear" w:color="auto" w:fill="auto"/>
            <w:vAlign w:val="bottom"/>
            <w:hideMark/>
          </w:tcPr>
          <w:p w14:paraId="4DFF82E0"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 </w:t>
            </w:r>
          </w:p>
        </w:tc>
      </w:tr>
      <w:tr w:rsidR="00882031" w:rsidRPr="00882031" w14:paraId="477F6E6C" w14:textId="77777777" w:rsidTr="00882031">
        <w:trPr>
          <w:trHeight w:val="765"/>
        </w:trPr>
        <w:tc>
          <w:tcPr>
            <w:tcW w:w="1833" w:type="dxa"/>
            <w:vMerge/>
            <w:tcBorders>
              <w:top w:val="single" w:sz="8" w:space="0" w:color="auto"/>
              <w:bottom w:val="single" w:sz="4" w:space="0" w:color="auto"/>
              <w:right w:val="single" w:sz="4" w:space="0" w:color="auto"/>
            </w:tcBorders>
            <w:vAlign w:val="center"/>
            <w:hideMark/>
          </w:tcPr>
          <w:p w14:paraId="3E0639AB" w14:textId="77777777" w:rsidR="00882031" w:rsidRPr="00882031" w:rsidRDefault="00882031" w:rsidP="00882031">
            <w:pPr>
              <w:widowControl/>
              <w:autoSpaceDE/>
              <w:autoSpaceDN/>
              <w:rPr>
                <w:rFonts w:eastAsia="Times New Roman"/>
                <w:color w:val="000000"/>
                <w:sz w:val="20"/>
                <w:szCs w:val="20"/>
                <w:lang w:eastAsia="pt-BR" w:bidi="ar-SA"/>
              </w:rPr>
            </w:pPr>
          </w:p>
        </w:tc>
        <w:tc>
          <w:tcPr>
            <w:tcW w:w="3720" w:type="dxa"/>
            <w:tcBorders>
              <w:top w:val="nil"/>
              <w:left w:val="nil"/>
              <w:bottom w:val="single" w:sz="4" w:space="0" w:color="auto"/>
              <w:right w:val="single" w:sz="4" w:space="0" w:color="auto"/>
            </w:tcBorders>
            <w:shd w:val="clear" w:color="auto" w:fill="auto"/>
            <w:vAlign w:val="center"/>
            <w:hideMark/>
          </w:tcPr>
          <w:p w14:paraId="0FDF3628"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5. Aprovar o Plano de Implantação do BIM na Valec</w:t>
            </w:r>
            <w:r w:rsidRPr="00882031">
              <w:rPr>
                <w:rFonts w:eastAsia="Times New Roman"/>
                <w:color w:val="000000"/>
                <w:sz w:val="20"/>
                <w:szCs w:val="20"/>
                <w:lang w:eastAsia="pt-BR" w:bidi="ar-SA"/>
              </w:rPr>
              <w:br/>
              <w:t xml:space="preserve">Capacitar 100% dos analistas/técnicos que atuam com BIM </w:t>
            </w:r>
            <w:r w:rsidRPr="00882031">
              <w:rPr>
                <w:rFonts w:eastAsia="Times New Roman"/>
                <w:color w:val="000000"/>
                <w:sz w:val="20"/>
                <w:szCs w:val="20"/>
                <w:lang w:eastAsia="pt-BR" w:bidi="ar-SA"/>
              </w:rPr>
              <w:br/>
              <w:t>Elaborar Projeto Piloto modelado em BIM</w:t>
            </w:r>
          </w:p>
        </w:tc>
        <w:tc>
          <w:tcPr>
            <w:tcW w:w="1258" w:type="dxa"/>
            <w:tcBorders>
              <w:top w:val="nil"/>
              <w:left w:val="nil"/>
              <w:bottom w:val="single" w:sz="4" w:space="0" w:color="auto"/>
              <w:right w:val="single" w:sz="4" w:space="0" w:color="auto"/>
            </w:tcBorders>
            <w:shd w:val="clear" w:color="auto" w:fill="auto"/>
            <w:noWrap/>
            <w:vAlign w:val="center"/>
            <w:hideMark/>
          </w:tcPr>
          <w:p w14:paraId="012D58A1"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DIREM</w:t>
            </w:r>
          </w:p>
        </w:tc>
        <w:tc>
          <w:tcPr>
            <w:tcW w:w="1134" w:type="dxa"/>
            <w:tcBorders>
              <w:top w:val="nil"/>
              <w:left w:val="nil"/>
              <w:bottom w:val="single" w:sz="4" w:space="0" w:color="auto"/>
              <w:right w:val="single" w:sz="4" w:space="0" w:color="auto"/>
            </w:tcBorders>
            <w:shd w:val="clear" w:color="auto" w:fill="auto"/>
            <w:vAlign w:val="center"/>
            <w:hideMark/>
          </w:tcPr>
          <w:p w14:paraId="43ADBF87"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100%</w:t>
            </w:r>
            <w:r w:rsidRPr="00882031">
              <w:rPr>
                <w:rFonts w:eastAsia="Times New Roman"/>
                <w:color w:val="000000"/>
                <w:sz w:val="20"/>
                <w:szCs w:val="20"/>
                <w:lang w:eastAsia="pt-BR" w:bidi="ar-SA"/>
              </w:rPr>
              <w:br/>
              <w:t>100%</w:t>
            </w:r>
            <w:r w:rsidRPr="00882031">
              <w:rPr>
                <w:rFonts w:eastAsia="Times New Roman"/>
                <w:color w:val="000000"/>
                <w:sz w:val="20"/>
                <w:szCs w:val="20"/>
                <w:lang w:eastAsia="pt-BR" w:bidi="ar-SA"/>
              </w:rPr>
              <w:br/>
              <w:t>75%</w:t>
            </w:r>
          </w:p>
        </w:tc>
        <w:tc>
          <w:tcPr>
            <w:tcW w:w="1684" w:type="dxa"/>
            <w:tcBorders>
              <w:top w:val="nil"/>
              <w:left w:val="nil"/>
              <w:bottom w:val="single" w:sz="4" w:space="0" w:color="auto"/>
            </w:tcBorders>
            <w:shd w:val="clear" w:color="auto" w:fill="auto"/>
            <w:vAlign w:val="bottom"/>
            <w:hideMark/>
          </w:tcPr>
          <w:p w14:paraId="7B9969DE"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 </w:t>
            </w:r>
          </w:p>
        </w:tc>
      </w:tr>
      <w:tr w:rsidR="00882031" w:rsidRPr="00882031" w14:paraId="3E11E870" w14:textId="77777777" w:rsidTr="00882031">
        <w:trPr>
          <w:trHeight w:val="765"/>
        </w:trPr>
        <w:tc>
          <w:tcPr>
            <w:tcW w:w="1833" w:type="dxa"/>
            <w:vMerge/>
            <w:tcBorders>
              <w:top w:val="single" w:sz="8" w:space="0" w:color="auto"/>
              <w:bottom w:val="single" w:sz="4" w:space="0" w:color="auto"/>
              <w:right w:val="single" w:sz="4" w:space="0" w:color="auto"/>
            </w:tcBorders>
            <w:vAlign w:val="center"/>
            <w:hideMark/>
          </w:tcPr>
          <w:p w14:paraId="7EBBF9FA" w14:textId="77777777" w:rsidR="00882031" w:rsidRPr="00882031" w:rsidRDefault="00882031" w:rsidP="00882031">
            <w:pPr>
              <w:widowControl/>
              <w:autoSpaceDE/>
              <w:autoSpaceDN/>
              <w:rPr>
                <w:rFonts w:eastAsia="Times New Roman"/>
                <w:color w:val="000000"/>
                <w:sz w:val="20"/>
                <w:szCs w:val="20"/>
                <w:lang w:eastAsia="pt-BR" w:bidi="ar-SA"/>
              </w:rPr>
            </w:pPr>
          </w:p>
        </w:tc>
        <w:tc>
          <w:tcPr>
            <w:tcW w:w="3720" w:type="dxa"/>
            <w:tcBorders>
              <w:top w:val="nil"/>
              <w:left w:val="nil"/>
              <w:bottom w:val="single" w:sz="4" w:space="0" w:color="auto"/>
              <w:right w:val="single" w:sz="4" w:space="0" w:color="auto"/>
            </w:tcBorders>
            <w:shd w:val="clear" w:color="auto" w:fill="auto"/>
            <w:vAlign w:val="center"/>
            <w:hideMark/>
          </w:tcPr>
          <w:p w14:paraId="0C71D65F"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6. Realizar pelo menos quatro treinamentos em gestão ambiental e sustentabilidade, gestão territorial, geoprocessamento e/ou BIM</w:t>
            </w:r>
          </w:p>
        </w:tc>
        <w:tc>
          <w:tcPr>
            <w:tcW w:w="1258" w:type="dxa"/>
            <w:tcBorders>
              <w:top w:val="nil"/>
              <w:left w:val="nil"/>
              <w:bottom w:val="single" w:sz="4" w:space="0" w:color="auto"/>
              <w:right w:val="single" w:sz="4" w:space="0" w:color="auto"/>
            </w:tcBorders>
            <w:shd w:val="clear" w:color="auto" w:fill="auto"/>
            <w:noWrap/>
            <w:vAlign w:val="center"/>
            <w:hideMark/>
          </w:tcPr>
          <w:p w14:paraId="0639B961"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DIREM</w:t>
            </w:r>
          </w:p>
        </w:tc>
        <w:tc>
          <w:tcPr>
            <w:tcW w:w="1134" w:type="dxa"/>
            <w:tcBorders>
              <w:top w:val="nil"/>
              <w:left w:val="nil"/>
              <w:bottom w:val="single" w:sz="4" w:space="0" w:color="auto"/>
              <w:right w:val="single" w:sz="4" w:space="0" w:color="auto"/>
            </w:tcBorders>
            <w:shd w:val="clear" w:color="auto" w:fill="auto"/>
            <w:noWrap/>
            <w:vAlign w:val="center"/>
            <w:hideMark/>
          </w:tcPr>
          <w:p w14:paraId="6F8980EC"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100%</w:t>
            </w:r>
          </w:p>
        </w:tc>
        <w:tc>
          <w:tcPr>
            <w:tcW w:w="1684" w:type="dxa"/>
            <w:tcBorders>
              <w:top w:val="nil"/>
              <w:left w:val="nil"/>
              <w:bottom w:val="single" w:sz="4" w:space="0" w:color="auto"/>
            </w:tcBorders>
            <w:shd w:val="clear" w:color="auto" w:fill="auto"/>
            <w:vAlign w:val="center"/>
            <w:hideMark/>
          </w:tcPr>
          <w:p w14:paraId="0923D0E7" w14:textId="77777777" w:rsidR="00882031" w:rsidRPr="00882031" w:rsidRDefault="00882031" w:rsidP="00882031">
            <w:pPr>
              <w:widowControl/>
              <w:autoSpaceDE/>
              <w:autoSpaceDN/>
              <w:rPr>
                <w:rFonts w:eastAsia="Times New Roman"/>
                <w:color w:val="FF0000"/>
                <w:sz w:val="20"/>
                <w:szCs w:val="20"/>
                <w:lang w:eastAsia="pt-BR" w:bidi="ar-SA"/>
              </w:rPr>
            </w:pPr>
            <w:r w:rsidRPr="00882031">
              <w:rPr>
                <w:rFonts w:eastAsia="Times New Roman"/>
                <w:color w:val="FF0000"/>
                <w:sz w:val="20"/>
                <w:szCs w:val="20"/>
                <w:lang w:eastAsia="pt-BR" w:bidi="ar-SA"/>
              </w:rPr>
              <w:t> </w:t>
            </w:r>
          </w:p>
        </w:tc>
      </w:tr>
      <w:tr w:rsidR="00882031" w:rsidRPr="00882031" w14:paraId="09CBA9A2" w14:textId="77777777" w:rsidTr="00882031">
        <w:trPr>
          <w:trHeight w:val="525"/>
        </w:trPr>
        <w:tc>
          <w:tcPr>
            <w:tcW w:w="1833" w:type="dxa"/>
            <w:vMerge/>
            <w:tcBorders>
              <w:top w:val="single" w:sz="8" w:space="0" w:color="auto"/>
              <w:bottom w:val="single" w:sz="4" w:space="0" w:color="auto"/>
              <w:right w:val="single" w:sz="4" w:space="0" w:color="auto"/>
            </w:tcBorders>
            <w:vAlign w:val="center"/>
            <w:hideMark/>
          </w:tcPr>
          <w:p w14:paraId="500EE535" w14:textId="77777777" w:rsidR="00882031" w:rsidRPr="00882031" w:rsidRDefault="00882031" w:rsidP="00882031">
            <w:pPr>
              <w:widowControl/>
              <w:autoSpaceDE/>
              <w:autoSpaceDN/>
              <w:rPr>
                <w:rFonts w:eastAsia="Times New Roman"/>
                <w:color w:val="000000"/>
                <w:sz w:val="20"/>
                <w:szCs w:val="20"/>
                <w:lang w:eastAsia="pt-BR" w:bidi="ar-SA"/>
              </w:rPr>
            </w:pPr>
          </w:p>
        </w:tc>
        <w:tc>
          <w:tcPr>
            <w:tcW w:w="3720" w:type="dxa"/>
            <w:tcBorders>
              <w:top w:val="nil"/>
              <w:left w:val="nil"/>
              <w:bottom w:val="nil"/>
              <w:right w:val="single" w:sz="4" w:space="0" w:color="auto"/>
            </w:tcBorders>
            <w:shd w:val="clear" w:color="auto" w:fill="auto"/>
            <w:vAlign w:val="center"/>
            <w:hideMark/>
          </w:tcPr>
          <w:p w14:paraId="667BF7E5"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9. Firmar parcerias com instituições renomadas para cooperação técnica e internalização de conhecimento até julho de 2022</w:t>
            </w:r>
          </w:p>
        </w:tc>
        <w:tc>
          <w:tcPr>
            <w:tcW w:w="1258" w:type="dxa"/>
            <w:tcBorders>
              <w:top w:val="nil"/>
              <w:left w:val="nil"/>
              <w:bottom w:val="nil"/>
              <w:right w:val="single" w:sz="4" w:space="0" w:color="auto"/>
            </w:tcBorders>
            <w:shd w:val="clear" w:color="auto" w:fill="auto"/>
            <w:noWrap/>
            <w:vAlign w:val="center"/>
            <w:hideMark/>
          </w:tcPr>
          <w:p w14:paraId="3CE1FDA2"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ASREL</w:t>
            </w:r>
          </w:p>
        </w:tc>
        <w:tc>
          <w:tcPr>
            <w:tcW w:w="1134" w:type="dxa"/>
            <w:tcBorders>
              <w:top w:val="nil"/>
              <w:left w:val="nil"/>
              <w:bottom w:val="nil"/>
              <w:right w:val="single" w:sz="4" w:space="0" w:color="auto"/>
            </w:tcBorders>
            <w:shd w:val="clear" w:color="auto" w:fill="auto"/>
            <w:noWrap/>
            <w:vAlign w:val="center"/>
            <w:hideMark/>
          </w:tcPr>
          <w:p w14:paraId="44CC09D7"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66,70%</w:t>
            </w:r>
          </w:p>
        </w:tc>
        <w:tc>
          <w:tcPr>
            <w:tcW w:w="1684" w:type="dxa"/>
            <w:tcBorders>
              <w:top w:val="nil"/>
              <w:left w:val="nil"/>
              <w:bottom w:val="nil"/>
            </w:tcBorders>
            <w:shd w:val="clear" w:color="auto" w:fill="auto"/>
            <w:vAlign w:val="bottom"/>
            <w:hideMark/>
          </w:tcPr>
          <w:p w14:paraId="62A25CB6"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 </w:t>
            </w:r>
          </w:p>
        </w:tc>
      </w:tr>
      <w:tr w:rsidR="00882031" w:rsidRPr="00882031" w14:paraId="58CFE035" w14:textId="77777777" w:rsidTr="00882031">
        <w:trPr>
          <w:trHeight w:val="255"/>
        </w:trPr>
        <w:tc>
          <w:tcPr>
            <w:tcW w:w="1833" w:type="dxa"/>
            <w:vMerge w:val="restart"/>
            <w:tcBorders>
              <w:top w:val="single" w:sz="8" w:space="0" w:color="auto"/>
              <w:bottom w:val="single" w:sz="8" w:space="0" w:color="000000"/>
              <w:right w:val="single" w:sz="4" w:space="0" w:color="auto"/>
            </w:tcBorders>
            <w:shd w:val="clear" w:color="auto" w:fill="auto"/>
            <w:vAlign w:val="center"/>
            <w:hideMark/>
          </w:tcPr>
          <w:p w14:paraId="65375476"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Objetivo 2.3 - Otimizar a gestão de custos e gastos</w:t>
            </w:r>
          </w:p>
        </w:tc>
        <w:tc>
          <w:tcPr>
            <w:tcW w:w="3720" w:type="dxa"/>
            <w:tcBorders>
              <w:top w:val="single" w:sz="8" w:space="0" w:color="auto"/>
              <w:left w:val="nil"/>
              <w:bottom w:val="single" w:sz="4" w:space="0" w:color="auto"/>
              <w:right w:val="single" w:sz="4" w:space="0" w:color="auto"/>
            </w:tcBorders>
            <w:shd w:val="clear" w:color="auto" w:fill="auto"/>
            <w:vAlign w:val="center"/>
            <w:hideMark/>
          </w:tcPr>
          <w:p w14:paraId="16B01DF1"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1. Implementar centro de custos na Valec até março de 2021</w:t>
            </w:r>
          </w:p>
        </w:tc>
        <w:tc>
          <w:tcPr>
            <w:tcW w:w="1258" w:type="dxa"/>
            <w:tcBorders>
              <w:top w:val="single" w:sz="8" w:space="0" w:color="auto"/>
              <w:left w:val="nil"/>
              <w:bottom w:val="single" w:sz="4" w:space="0" w:color="auto"/>
              <w:right w:val="single" w:sz="4" w:space="0" w:color="auto"/>
            </w:tcBorders>
            <w:shd w:val="clear" w:color="auto" w:fill="auto"/>
            <w:noWrap/>
            <w:vAlign w:val="center"/>
            <w:hideMark/>
          </w:tcPr>
          <w:p w14:paraId="7D796FAD"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SUPOF</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36BE4AD7"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100%</w:t>
            </w:r>
          </w:p>
        </w:tc>
        <w:tc>
          <w:tcPr>
            <w:tcW w:w="1684" w:type="dxa"/>
            <w:tcBorders>
              <w:top w:val="single" w:sz="8" w:space="0" w:color="auto"/>
              <w:left w:val="nil"/>
              <w:bottom w:val="single" w:sz="4" w:space="0" w:color="auto"/>
            </w:tcBorders>
            <w:shd w:val="clear" w:color="auto" w:fill="auto"/>
            <w:vAlign w:val="bottom"/>
            <w:hideMark/>
          </w:tcPr>
          <w:p w14:paraId="3D49F1D9"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 </w:t>
            </w:r>
          </w:p>
        </w:tc>
      </w:tr>
      <w:tr w:rsidR="00882031" w:rsidRPr="00882031" w14:paraId="3891F469" w14:textId="77777777" w:rsidTr="00882031">
        <w:trPr>
          <w:trHeight w:val="765"/>
        </w:trPr>
        <w:tc>
          <w:tcPr>
            <w:tcW w:w="1833" w:type="dxa"/>
            <w:vMerge/>
            <w:tcBorders>
              <w:top w:val="single" w:sz="8" w:space="0" w:color="auto"/>
              <w:bottom w:val="single" w:sz="8" w:space="0" w:color="000000"/>
              <w:right w:val="single" w:sz="4" w:space="0" w:color="auto"/>
            </w:tcBorders>
            <w:vAlign w:val="center"/>
            <w:hideMark/>
          </w:tcPr>
          <w:p w14:paraId="39D92AF2" w14:textId="77777777" w:rsidR="00882031" w:rsidRPr="00882031" w:rsidRDefault="00882031" w:rsidP="00882031">
            <w:pPr>
              <w:widowControl/>
              <w:autoSpaceDE/>
              <w:autoSpaceDN/>
              <w:rPr>
                <w:rFonts w:eastAsia="Times New Roman"/>
                <w:color w:val="000000"/>
                <w:sz w:val="20"/>
                <w:szCs w:val="20"/>
                <w:lang w:eastAsia="pt-BR" w:bidi="ar-SA"/>
              </w:rPr>
            </w:pPr>
          </w:p>
        </w:tc>
        <w:tc>
          <w:tcPr>
            <w:tcW w:w="3720" w:type="dxa"/>
            <w:tcBorders>
              <w:top w:val="nil"/>
              <w:left w:val="nil"/>
              <w:bottom w:val="single" w:sz="4" w:space="0" w:color="auto"/>
              <w:right w:val="single" w:sz="4" w:space="0" w:color="auto"/>
            </w:tcBorders>
            <w:shd w:val="clear" w:color="auto" w:fill="auto"/>
            <w:vAlign w:val="center"/>
            <w:hideMark/>
          </w:tcPr>
          <w:p w14:paraId="5B5149A6"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2. Implantar uma Controladoria (Qualitativa) de Gastos da Valec até julho de 2021</w:t>
            </w:r>
          </w:p>
        </w:tc>
        <w:tc>
          <w:tcPr>
            <w:tcW w:w="1258" w:type="dxa"/>
            <w:tcBorders>
              <w:top w:val="nil"/>
              <w:left w:val="nil"/>
              <w:bottom w:val="single" w:sz="4" w:space="0" w:color="auto"/>
              <w:right w:val="single" w:sz="4" w:space="0" w:color="auto"/>
            </w:tcBorders>
            <w:shd w:val="clear" w:color="auto" w:fill="auto"/>
            <w:noWrap/>
            <w:vAlign w:val="center"/>
            <w:hideMark/>
          </w:tcPr>
          <w:p w14:paraId="588346EF"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SUPOF</w:t>
            </w:r>
          </w:p>
        </w:tc>
        <w:tc>
          <w:tcPr>
            <w:tcW w:w="1134" w:type="dxa"/>
            <w:tcBorders>
              <w:top w:val="nil"/>
              <w:left w:val="nil"/>
              <w:bottom w:val="single" w:sz="4" w:space="0" w:color="auto"/>
              <w:right w:val="single" w:sz="4" w:space="0" w:color="auto"/>
            </w:tcBorders>
            <w:shd w:val="clear" w:color="auto" w:fill="auto"/>
            <w:noWrap/>
            <w:vAlign w:val="center"/>
            <w:hideMark/>
          </w:tcPr>
          <w:p w14:paraId="3F4532AA"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16%</w:t>
            </w:r>
          </w:p>
        </w:tc>
        <w:tc>
          <w:tcPr>
            <w:tcW w:w="1684" w:type="dxa"/>
            <w:tcBorders>
              <w:top w:val="nil"/>
              <w:left w:val="nil"/>
              <w:bottom w:val="single" w:sz="4" w:space="0" w:color="auto"/>
            </w:tcBorders>
            <w:shd w:val="clear" w:color="auto" w:fill="auto"/>
            <w:vAlign w:val="bottom"/>
            <w:hideMark/>
          </w:tcPr>
          <w:p w14:paraId="5CB5768D"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Paralisada tendo em vista que a implantação é condicionada à fusão com a EPL para criação da Infra S.A.</w:t>
            </w:r>
          </w:p>
        </w:tc>
      </w:tr>
      <w:tr w:rsidR="00882031" w:rsidRPr="00882031" w14:paraId="229A9D14" w14:textId="77777777" w:rsidTr="00882031">
        <w:trPr>
          <w:trHeight w:val="525"/>
        </w:trPr>
        <w:tc>
          <w:tcPr>
            <w:tcW w:w="1833" w:type="dxa"/>
            <w:vMerge/>
            <w:tcBorders>
              <w:top w:val="single" w:sz="8" w:space="0" w:color="auto"/>
              <w:bottom w:val="single" w:sz="8" w:space="0" w:color="000000"/>
              <w:right w:val="single" w:sz="4" w:space="0" w:color="auto"/>
            </w:tcBorders>
            <w:vAlign w:val="center"/>
            <w:hideMark/>
          </w:tcPr>
          <w:p w14:paraId="525A3D48" w14:textId="77777777" w:rsidR="00882031" w:rsidRPr="00882031" w:rsidRDefault="00882031" w:rsidP="00882031">
            <w:pPr>
              <w:widowControl/>
              <w:autoSpaceDE/>
              <w:autoSpaceDN/>
              <w:rPr>
                <w:rFonts w:eastAsia="Times New Roman"/>
                <w:color w:val="000000"/>
                <w:sz w:val="20"/>
                <w:szCs w:val="20"/>
                <w:lang w:eastAsia="pt-BR" w:bidi="ar-SA"/>
              </w:rPr>
            </w:pPr>
          </w:p>
        </w:tc>
        <w:tc>
          <w:tcPr>
            <w:tcW w:w="3720" w:type="dxa"/>
            <w:tcBorders>
              <w:top w:val="nil"/>
              <w:left w:val="nil"/>
              <w:bottom w:val="single" w:sz="8" w:space="0" w:color="auto"/>
              <w:right w:val="single" w:sz="4" w:space="0" w:color="auto"/>
            </w:tcBorders>
            <w:shd w:val="clear" w:color="auto" w:fill="auto"/>
            <w:vAlign w:val="center"/>
            <w:hideMark/>
          </w:tcPr>
          <w:p w14:paraId="6AEDC487"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6. Definir e implementar estratégia orçamentária no Congresso Nacional</w:t>
            </w:r>
          </w:p>
        </w:tc>
        <w:tc>
          <w:tcPr>
            <w:tcW w:w="1258" w:type="dxa"/>
            <w:tcBorders>
              <w:top w:val="nil"/>
              <w:left w:val="nil"/>
              <w:bottom w:val="single" w:sz="8" w:space="0" w:color="auto"/>
              <w:right w:val="single" w:sz="4" w:space="0" w:color="auto"/>
            </w:tcBorders>
            <w:shd w:val="clear" w:color="auto" w:fill="auto"/>
            <w:noWrap/>
            <w:vAlign w:val="center"/>
            <w:hideMark/>
          </w:tcPr>
          <w:p w14:paraId="3E9952EC"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ASREL</w:t>
            </w:r>
          </w:p>
        </w:tc>
        <w:tc>
          <w:tcPr>
            <w:tcW w:w="1134" w:type="dxa"/>
            <w:tcBorders>
              <w:top w:val="nil"/>
              <w:left w:val="nil"/>
              <w:bottom w:val="single" w:sz="8" w:space="0" w:color="auto"/>
              <w:right w:val="single" w:sz="4" w:space="0" w:color="auto"/>
            </w:tcBorders>
            <w:shd w:val="clear" w:color="auto" w:fill="auto"/>
            <w:noWrap/>
            <w:vAlign w:val="center"/>
            <w:hideMark/>
          </w:tcPr>
          <w:p w14:paraId="1B0F0685"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0%</w:t>
            </w:r>
          </w:p>
        </w:tc>
        <w:tc>
          <w:tcPr>
            <w:tcW w:w="1684" w:type="dxa"/>
            <w:tcBorders>
              <w:top w:val="nil"/>
              <w:left w:val="nil"/>
              <w:bottom w:val="single" w:sz="8" w:space="0" w:color="auto"/>
            </w:tcBorders>
            <w:shd w:val="clear" w:color="auto" w:fill="auto"/>
            <w:vAlign w:val="center"/>
            <w:hideMark/>
          </w:tcPr>
          <w:p w14:paraId="2A79ED8A"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Essa iniciativa terá início em 2022</w:t>
            </w:r>
          </w:p>
        </w:tc>
      </w:tr>
      <w:tr w:rsidR="00882031" w:rsidRPr="00882031" w14:paraId="3CDFE867" w14:textId="77777777" w:rsidTr="00882031">
        <w:trPr>
          <w:trHeight w:val="1020"/>
        </w:trPr>
        <w:tc>
          <w:tcPr>
            <w:tcW w:w="1833" w:type="dxa"/>
            <w:vMerge w:val="restart"/>
            <w:tcBorders>
              <w:top w:val="nil"/>
              <w:bottom w:val="single" w:sz="4" w:space="0" w:color="auto"/>
              <w:right w:val="single" w:sz="4" w:space="0" w:color="auto"/>
            </w:tcBorders>
            <w:shd w:val="clear" w:color="auto" w:fill="auto"/>
            <w:vAlign w:val="center"/>
            <w:hideMark/>
          </w:tcPr>
          <w:p w14:paraId="2088C8DB"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Objetivo 3.1 - Modernizar a infraestrutura de TI, visando utilizá-la como instrumento de inovação para tomada de decisão</w:t>
            </w:r>
          </w:p>
        </w:tc>
        <w:tc>
          <w:tcPr>
            <w:tcW w:w="3720" w:type="dxa"/>
            <w:tcBorders>
              <w:top w:val="nil"/>
              <w:left w:val="nil"/>
              <w:bottom w:val="single" w:sz="4" w:space="0" w:color="auto"/>
              <w:right w:val="single" w:sz="4" w:space="0" w:color="auto"/>
            </w:tcBorders>
            <w:shd w:val="clear" w:color="auto" w:fill="auto"/>
            <w:vAlign w:val="center"/>
            <w:hideMark/>
          </w:tcPr>
          <w:p w14:paraId="3A8E4310"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2. Implantar Portal de Governança e Transparência até fevereiro de 2021</w:t>
            </w:r>
          </w:p>
        </w:tc>
        <w:tc>
          <w:tcPr>
            <w:tcW w:w="1258" w:type="dxa"/>
            <w:tcBorders>
              <w:top w:val="nil"/>
              <w:left w:val="nil"/>
              <w:bottom w:val="single" w:sz="4" w:space="0" w:color="auto"/>
              <w:right w:val="single" w:sz="4" w:space="0" w:color="auto"/>
            </w:tcBorders>
            <w:shd w:val="clear" w:color="auto" w:fill="auto"/>
            <w:noWrap/>
            <w:vAlign w:val="center"/>
            <w:hideMark/>
          </w:tcPr>
          <w:p w14:paraId="7EAF9DEB"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SUPTI e DIRAF</w:t>
            </w:r>
          </w:p>
        </w:tc>
        <w:tc>
          <w:tcPr>
            <w:tcW w:w="1134" w:type="dxa"/>
            <w:tcBorders>
              <w:top w:val="nil"/>
              <w:left w:val="nil"/>
              <w:bottom w:val="single" w:sz="4" w:space="0" w:color="auto"/>
              <w:right w:val="single" w:sz="4" w:space="0" w:color="auto"/>
            </w:tcBorders>
            <w:shd w:val="clear" w:color="auto" w:fill="auto"/>
            <w:noWrap/>
            <w:vAlign w:val="center"/>
            <w:hideMark/>
          </w:tcPr>
          <w:p w14:paraId="324A29CC"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96%</w:t>
            </w:r>
          </w:p>
        </w:tc>
        <w:tc>
          <w:tcPr>
            <w:tcW w:w="1684" w:type="dxa"/>
            <w:tcBorders>
              <w:top w:val="nil"/>
              <w:left w:val="nil"/>
              <w:bottom w:val="single" w:sz="4" w:space="0" w:color="auto"/>
            </w:tcBorders>
            <w:shd w:val="clear" w:color="auto" w:fill="auto"/>
            <w:vAlign w:val="bottom"/>
            <w:hideMark/>
          </w:tcPr>
          <w:p w14:paraId="62324076"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O envio de dados ocorreu apenas até a RAE do 2º trimestre, em razão da revisão do PDTIC e de metas estratégicas deste objetivo.</w:t>
            </w:r>
          </w:p>
        </w:tc>
      </w:tr>
      <w:tr w:rsidR="00882031" w:rsidRPr="00882031" w14:paraId="52133342" w14:textId="77777777" w:rsidTr="00882031">
        <w:trPr>
          <w:trHeight w:val="1020"/>
        </w:trPr>
        <w:tc>
          <w:tcPr>
            <w:tcW w:w="1833" w:type="dxa"/>
            <w:vMerge/>
            <w:tcBorders>
              <w:top w:val="nil"/>
              <w:bottom w:val="single" w:sz="4" w:space="0" w:color="auto"/>
              <w:right w:val="single" w:sz="4" w:space="0" w:color="auto"/>
            </w:tcBorders>
            <w:vAlign w:val="center"/>
            <w:hideMark/>
          </w:tcPr>
          <w:p w14:paraId="74E382B8" w14:textId="77777777" w:rsidR="00882031" w:rsidRPr="00882031" w:rsidRDefault="00882031" w:rsidP="00882031">
            <w:pPr>
              <w:widowControl/>
              <w:autoSpaceDE/>
              <w:autoSpaceDN/>
              <w:rPr>
                <w:rFonts w:eastAsia="Times New Roman"/>
                <w:color w:val="000000"/>
                <w:sz w:val="20"/>
                <w:szCs w:val="20"/>
                <w:lang w:eastAsia="pt-BR" w:bidi="ar-SA"/>
              </w:rPr>
            </w:pPr>
          </w:p>
        </w:tc>
        <w:tc>
          <w:tcPr>
            <w:tcW w:w="3720" w:type="dxa"/>
            <w:tcBorders>
              <w:top w:val="nil"/>
              <w:left w:val="nil"/>
              <w:bottom w:val="single" w:sz="4" w:space="0" w:color="auto"/>
              <w:right w:val="single" w:sz="4" w:space="0" w:color="auto"/>
            </w:tcBorders>
            <w:shd w:val="clear" w:color="auto" w:fill="auto"/>
            <w:vAlign w:val="center"/>
            <w:hideMark/>
          </w:tcPr>
          <w:p w14:paraId="571ABBBD"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3. Implantar um plano de continuidade de negócios até março de 2021</w:t>
            </w:r>
          </w:p>
        </w:tc>
        <w:tc>
          <w:tcPr>
            <w:tcW w:w="1258" w:type="dxa"/>
            <w:tcBorders>
              <w:top w:val="nil"/>
              <w:left w:val="nil"/>
              <w:bottom w:val="single" w:sz="4" w:space="0" w:color="auto"/>
              <w:right w:val="single" w:sz="4" w:space="0" w:color="auto"/>
            </w:tcBorders>
            <w:shd w:val="clear" w:color="auto" w:fill="auto"/>
            <w:noWrap/>
            <w:vAlign w:val="center"/>
            <w:hideMark/>
          </w:tcPr>
          <w:p w14:paraId="37A114E8"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SUPTI</w:t>
            </w:r>
          </w:p>
        </w:tc>
        <w:tc>
          <w:tcPr>
            <w:tcW w:w="1134" w:type="dxa"/>
            <w:tcBorders>
              <w:top w:val="nil"/>
              <w:left w:val="nil"/>
              <w:bottom w:val="single" w:sz="4" w:space="0" w:color="auto"/>
              <w:right w:val="single" w:sz="4" w:space="0" w:color="auto"/>
            </w:tcBorders>
            <w:shd w:val="clear" w:color="auto" w:fill="auto"/>
            <w:noWrap/>
            <w:vAlign w:val="center"/>
            <w:hideMark/>
          </w:tcPr>
          <w:p w14:paraId="39ABDA8E"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15%</w:t>
            </w:r>
          </w:p>
        </w:tc>
        <w:tc>
          <w:tcPr>
            <w:tcW w:w="1684" w:type="dxa"/>
            <w:tcBorders>
              <w:top w:val="nil"/>
              <w:left w:val="nil"/>
              <w:bottom w:val="single" w:sz="4" w:space="0" w:color="auto"/>
            </w:tcBorders>
            <w:shd w:val="clear" w:color="auto" w:fill="auto"/>
            <w:vAlign w:val="bottom"/>
            <w:hideMark/>
          </w:tcPr>
          <w:p w14:paraId="10EC3E00"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O envio de dados ocorreu apenas até a RAE do 2º trimestre, em razão da revisão do PDTIC e de metas estratégicas deste objetivo.</w:t>
            </w:r>
          </w:p>
        </w:tc>
      </w:tr>
      <w:tr w:rsidR="00882031" w:rsidRPr="00882031" w14:paraId="6957C219" w14:textId="77777777" w:rsidTr="00882031">
        <w:trPr>
          <w:trHeight w:val="1020"/>
        </w:trPr>
        <w:tc>
          <w:tcPr>
            <w:tcW w:w="1833" w:type="dxa"/>
            <w:vMerge/>
            <w:tcBorders>
              <w:top w:val="nil"/>
              <w:bottom w:val="single" w:sz="4" w:space="0" w:color="auto"/>
              <w:right w:val="single" w:sz="4" w:space="0" w:color="auto"/>
            </w:tcBorders>
            <w:vAlign w:val="center"/>
            <w:hideMark/>
          </w:tcPr>
          <w:p w14:paraId="45A239BA" w14:textId="77777777" w:rsidR="00882031" w:rsidRPr="00882031" w:rsidRDefault="00882031" w:rsidP="00882031">
            <w:pPr>
              <w:widowControl/>
              <w:autoSpaceDE/>
              <w:autoSpaceDN/>
              <w:rPr>
                <w:rFonts w:eastAsia="Times New Roman"/>
                <w:color w:val="000000"/>
                <w:sz w:val="20"/>
                <w:szCs w:val="20"/>
                <w:lang w:eastAsia="pt-BR" w:bidi="ar-SA"/>
              </w:rPr>
            </w:pPr>
          </w:p>
        </w:tc>
        <w:tc>
          <w:tcPr>
            <w:tcW w:w="3720" w:type="dxa"/>
            <w:tcBorders>
              <w:top w:val="nil"/>
              <w:left w:val="nil"/>
              <w:bottom w:val="single" w:sz="4" w:space="0" w:color="auto"/>
              <w:right w:val="single" w:sz="4" w:space="0" w:color="auto"/>
            </w:tcBorders>
            <w:shd w:val="clear" w:color="auto" w:fill="auto"/>
            <w:vAlign w:val="center"/>
            <w:hideMark/>
          </w:tcPr>
          <w:p w14:paraId="7B8D6ABC"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4. Implantar um plano de dados abertos até maio de 2021</w:t>
            </w:r>
          </w:p>
        </w:tc>
        <w:tc>
          <w:tcPr>
            <w:tcW w:w="1258" w:type="dxa"/>
            <w:tcBorders>
              <w:top w:val="nil"/>
              <w:left w:val="nil"/>
              <w:bottom w:val="single" w:sz="4" w:space="0" w:color="auto"/>
              <w:right w:val="single" w:sz="4" w:space="0" w:color="auto"/>
            </w:tcBorders>
            <w:shd w:val="clear" w:color="auto" w:fill="auto"/>
            <w:noWrap/>
            <w:vAlign w:val="center"/>
            <w:hideMark/>
          </w:tcPr>
          <w:p w14:paraId="7B44AA26"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SUPTI</w:t>
            </w:r>
          </w:p>
        </w:tc>
        <w:tc>
          <w:tcPr>
            <w:tcW w:w="1134" w:type="dxa"/>
            <w:tcBorders>
              <w:top w:val="nil"/>
              <w:left w:val="nil"/>
              <w:bottom w:val="single" w:sz="4" w:space="0" w:color="auto"/>
              <w:right w:val="single" w:sz="4" w:space="0" w:color="auto"/>
            </w:tcBorders>
            <w:shd w:val="clear" w:color="auto" w:fill="auto"/>
            <w:noWrap/>
            <w:vAlign w:val="center"/>
            <w:hideMark/>
          </w:tcPr>
          <w:p w14:paraId="14407DC0"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36%</w:t>
            </w:r>
          </w:p>
        </w:tc>
        <w:tc>
          <w:tcPr>
            <w:tcW w:w="1684" w:type="dxa"/>
            <w:tcBorders>
              <w:top w:val="nil"/>
              <w:left w:val="nil"/>
              <w:bottom w:val="single" w:sz="4" w:space="0" w:color="auto"/>
            </w:tcBorders>
            <w:shd w:val="clear" w:color="auto" w:fill="auto"/>
            <w:vAlign w:val="bottom"/>
            <w:hideMark/>
          </w:tcPr>
          <w:p w14:paraId="0924F1AA"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 xml:space="preserve">O envio de dados ocorreu apenas até a RAE do 2º trimestre, em </w:t>
            </w:r>
            <w:r w:rsidRPr="00882031">
              <w:rPr>
                <w:rFonts w:eastAsia="Times New Roman"/>
                <w:color w:val="000000"/>
                <w:sz w:val="20"/>
                <w:szCs w:val="20"/>
                <w:lang w:eastAsia="pt-BR" w:bidi="ar-SA"/>
              </w:rPr>
              <w:lastRenderedPageBreak/>
              <w:t>razão da revisão do PDTIC e de metas estratégicas deste objetivo.</w:t>
            </w:r>
          </w:p>
        </w:tc>
      </w:tr>
      <w:tr w:rsidR="00882031" w:rsidRPr="00882031" w14:paraId="4963C853" w14:textId="77777777" w:rsidTr="00882031">
        <w:trPr>
          <w:trHeight w:val="1020"/>
        </w:trPr>
        <w:tc>
          <w:tcPr>
            <w:tcW w:w="1833" w:type="dxa"/>
            <w:vMerge/>
            <w:tcBorders>
              <w:top w:val="nil"/>
              <w:bottom w:val="single" w:sz="4" w:space="0" w:color="auto"/>
              <w:right w:val="single" w:sz="4" w:space="0" w:color="auto"/>
            </w:tcBorders>
            <w:vAlign w:val="center"/>
            <w:hideMark/>
          </w:tcPr>
          <w:p w14:paraId="66BE33E3" w14:textId="77777777" w:rsidR="00882031" w:rsidRPr="00882031" w:rsidRDefault="00882031" w:rsidP="00882031">
            <w:pPr>
              <w:widowControl/>
              <w:autoSpaceDE/>
              <w:autoSpaceDN/>
              <w:rPr>
                <w:rFonts w:eastAsia="Times New Roman"/>
                <w:color w:val="000000"/>
                <w:sz w:val="20"/>
                <w:szCs w:val="20"/>
                <w:lang w:eastAsia="pt-BR" w:bidi="ar-SA"/>
              </w:rPr>
            </w:pPr>
          </w:p>
        </w:tc>
        <w:tc>
          <w:tcPr>
            <w:tcW w:w="3720" w:type="dxa"/>
            <w:tcBorders>
              <w:top w:val="nil"/>
              <w:left w:val="nil"/>
              <w:bottom w:val="single" w:sz="4" w:space="0" w:color="auto"/>
              <w:right w:val="single" w:sz="4" w:space="0" w:color="auto"/>
            </w:tcBorders>
            <w:shd w:val="clear" w:color="auto" w:fill="auto"/>
            <w:vAlign w:val="center"/>
            <w:hideMark/>
          </w:tcPr>
          <w:p w14:paraId="29D98081"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5. Promover a interoperabilidade dos sistemas da Valec até dezembro de 2021</w:t>
            </w:r>
          </w:p>
        </w:tc>
        <w:tc>
          <w:tcPr>
            <w:tcW w:w="1258" w:type="dxa"/>
            <w:tcBorders>
              <w:top w:val="nil"/>
              <w:left w:val="nil"/>
              <w:bottom w:val="single" w:sz="4" w:space="0" w:color="auto"/>
              <w:right w:val="single" w:sz="4" w:space="0" w:color="auto"/>
            </w:tcBorders>
            <w:shd w:val="clear" w:color="auto" w:fill="auto"/>
            <w:noWrap/>
            <w:vAlign w:val="center"/>
            <w:hideMark/>
          </w:tcPr>
          <w:p w14:paraId="1823A411"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SUPTI</w:t>
            </w:r>
          </w:p>
        </w:tc>
        <w:tc>
          <w:tcPr>
            <w:tcW w:w="1134" w:type="dxa"/>
            <w:tcBorders>
              <w:top w:val="nil"/>
              <w:left w:val="nil"/>
              <w:bottom w:val="single" w:sz="4" w:space="0" w:color="auto"/>
              <w:right w:val="single" w:sz="4" w:space="0" w:color="auto"/>
            </w:tcBorders>
            <w:shd w:val="clear" w:color="auto" w:fill="auto"/>
            <w:noWrap/>
            <w:vAlign w:val="center"/>
            <w:hideMark/>
          </w:tcPr>
          <w:p w14:paraId="2A59D36E"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23%</w:t>
            </w:r>
          </w:p>
        </w:tc>
        <w:tc>
          <w:tcPr>
            <w:tcW w:w="1684" w:type="dxa"/>
            <w:tcBorders>
              <w:top w:val="nil"/>
              <w:left w:val="nil"/>
              <w:bottom w:val="single" w:sz="4" w:space="0" w:color="auto"/>
            </w:tcBorders>
            <w:shd w:val="clear" w:color="auto" w:fill="auto"/>
            <w:vAlign w:val="bottom"/>
            <w:hideMark/>
          </w:tcPr>
          <w:p w14:paraId="5310DFBA"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O envio de dados ocorreu apenas até a RAE do 2º trimestre, em razão da revisão do PDTIC e de metas estratégicas deste objetivo.</w:t>
            </w:r>
          </w:p>
        </w:tc>
      </w:tr>
      <w:tr w:rsidR="00882031" w:rsidRPr="00882031" w14:paraId="601BD6CC" w14:textId="77777777" w:rsidTr="00882031">
        <w:trPr>
          <w:trHeight w:val="510"/>
        </w:trPr>
        <w:tc>
          <w:tcPr>
            <w:tcW w:w="1833" w:type="dxa"/>
            <w:vMerge/>
            <w:tcBorders>
              <w:top w:val="nil"/>
              <w:bottom w:val="single" w:sz="4" w:space="0" w:color="auto"/>
              <w:right w:val="single" w:sz="4" w:space="0" w:color="auto"/>
            </w:tcBorders>
            <w:vAlign w:val="center"/>
            <w:hideMark/>
          </w:tcPr>
          <w:p w14:paraId="1408E542" w14:textId="77777777" w:rsidR="00882031" w:rsidRPr="00882031" w:rsidRDefault="00882031" w:rsidP="00882031">
            <w:pPr>
              <w:widowControl/>
              <w:autoSpaceDE/>
              <w:autoSpaceDN/>
              <w:rPr>
                <w:rFonts w:eastAsia="Times New Roman"/>
                <w:color w:val="000000"/>
                <w:sz w:val="20"/>
                <w:szCs w:val="20"/>
                <w:lang w:eastAsia="pt-BR" w:bidi="ar-SA"/>
              </w:rPr>
            </w:pPr>
          </w:p>
        </w:tc>
        <w:tc>
          <w:tcPr>
            <w:tcW w:w="3720" w:type="dxa"/>
            <w:tcBorders>
              <w:top w:val="nil"/>
              <w:left w:val="nil"/>
              <w:bottom w:val="single" w:sz="4" w:space="0" w:color="auto"/>
              <w:right w:val="single" w:sz="4" w:space="0" w:color="auto"/>
            </w:tcBorders>
            <w:shd w:val="clear" w:color="auto" w:fill="auto"/>
            <w:vAlign w:val="center"/>
            <w:hideMark/>
          </w:tcPr>
          <w:p w14:paraId="344FC4EF"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8. Estabelecer políticas de modernização do parque, impressão, backup até dezembro de 2021</w:t>
            </w:r>
          </w:p>
        </w:tc>
        <w:tc>
          <w:tcPr>
            <w:tcW w:w="1258" w:type="dxa"/>
            <w:tcBorders>
              <w:top w:val="nil"/>
              <w:left w:val="nil"/>
              <w:bottom w:val="single" w:sz="4" w:space="0" w:color="auto"/>
              <w:right w:val="single" w:sz="4" w:space="0" w:color="auto"/>
            </w:tcBorders>
            <w:shd w:val="clear" w:color="auto" w:fill="auto"/>
            <w:noWrap/>
            <w:vAlign w:val="center"/>
            <w:hideMark/>
          </w:tcPr>
          <w:p w14:paraId="7342C1E3"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SUPTI</w:t>
            </w:r>
          </w:p>
        </w:tc>
        <w:tc>
          <w:tcPr>
            <w:tcW w:w="1134" w:type="dxa"/>
            <w:tcBorders>
              <w:top w:val="nil"/>
              <w:left w:val="nil"/>
              <w:bottom w:val="single" w:sz="4" w:space="0" w:color="auto"/>
              <w:right w:val="single" w:sz="4" w:space="0" w:color="auto"/>
            </w:tcBorders>
            <w:shd w:val="clear" w:color="auto" w:fill="auto"/>
            <w:noWrap/>
            <w:vAlign w:val="center"/>
            <w:hideMark/>
          </w:tcPr>
          <w:p w14:paraId="63152317"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100%</w:t>
            </w:r>
          </w:p>
        </w:tc>
        <w:tc>
          <w:tcPr>
            <w:tcW w:w="1684" w:type="dxa"/>
            <w:tcBorders>
              <w:top w:val="nil"/>
              <w:left w:val="nil"/>
              <w:bottom w:val="single" w:sz="4" w:space="0" w:color="auto"/>
            </w:tcBorders>
            <w:shd w:val="clear" w:color="auto" w:fill="auto"/>
            <w:vAlign w:val="bottom"/>
            <w:hideMark/>
          </w:tcPr>
          <w:p w14:paraId="3CF00C7C"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 </w:t>
            </w:r>
          </w:p>
        </w:tc>
      </w:tr>
      <w:tr w:rsidR="00882031" w:rsidRPr="00882031" w14:paraId="6134A10C" w14:textId="77777777" w:rsidTr="00882031">
        <w:trPr>
          <w:trHeight w:val="510"/>
        </w:trPr>
        <w:tc>
          <w:tcPr>
            <w:tcW w:w="1833" w:type="dxa"/>
            <w:vMerge/>
            <w:tcBorders>
              <w:top w:val="nil"/>
              <w:bottom w:val="single" w:sz="4" w:space="0" w:color="auto"/>
              <w:right w:val="single" w:sz="4" w:space="0" w:color="auto"/>
            </w:tcBorders>
            <w:vAlign w:val="center"/>
            <w:hideMark/>
          </w:tcPr>
          <w:p w14:paraId="270C4393" w14:textId="77777777" w:rsidR="00882031" w:rsidRPr="00882031" w:rsidRDefault="00882031" w:rsidP="00882031">
            <w:pPr>
              <w:widowControl/>
              <w:autoSpaceDE/>
              <w:autoSpaceDN/>
              <w:rPr>
                <w:rFonts w:eastAsia="Times New Roman"/>
                <w:color w:val="000000"/>
                <w:sz w:val="20"/>
                <w:szCs w:val="20"/>
                <w:lang w:eastAsia="pt-BR" w:bidi="ar-SA"/>
              </w:rPr>
            </w:pPr>
          </w:p>
        </w:tc>
        <w:tc>
          <w:tcPr>
            <w:tcW w:w="3720" w:type="dxa"/>
            <w:tcBorders>
              <w:top w:val="nil"/>
              <w:left w:val="nil"/>
              <w:bottom w:val="single" w:sz="4" w:space="0" w:color="auto"/>
              <w:right w:val="single" w:sz="4" w:space="0" w:color="auto"/>
            </w:tcBorders>
            <w:shd w:val="clear" w:color="auto" w:fill="auto"/>
            <w:vAlign w:val="center"/>
            <w:hideMark/>
          </w:tcPr>
          <w:p w14:paraId="1C8934B9"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9. Modernizar sala de gestão e auditório (segunda fase) até abril de 2021</w:t>
            </w:r>
          </w:p>
        </w:tc>
        <w:tc>
          <w:tcPr>
            <w:tcW w:w="1258" w:type="dxa"/>
            <w:tcBorders>
              <w:top w:val="nil"/>
              <w:left w:val="nil"/>
              <w:bottom w:val="single" w:sz="4" w:space="0" w:color="auto"/>
              <w:right w:val="single" w:sz="4" w:space="0" w:color="auto"/>
            </w:tcBorders>
            <w:shd w:val="clear" w:color="auto" w:fill="auto"/>
            <w:noWrap/>
            <w:vAlign w:val="center"/>
            <w:hideMark/>
          </w:tcPr>
          <w:p w14:paraId="56B85A46"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SUPTI</w:t>
            </w:r>
          </w:p>
        </w:tc>
        <w:tc>
          <w:tcPr>
            <w:tcW w:w="1134" w:type="dxa"/>
            <w:tcBorders>
              <w:top w:val="nil"/>
              <w:left w:val="nil"/>
              <w:bottom w:val="single" w:sz="4" w:space="0" w:color="auto"/>
              <w:right w:val="single" w:sz="4" w:space="0" w:color="auto"/>
            </w:tcBorders>
            <w:shd w:val="clear" w:color="auto" w:fill="auto"/>
            <w:noWrap/>
            <w:vAlign w:val="center"/>
            <w:hideMark/>
          </w:tcPr>
          <w:p w14:paraId="796C0AB0"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100%</w:t>
            </w:r>
          </w:p>
        </w:tc>
        <w:tc>
          <w:tcPr>
            <w:tcW w:w="1684" w:type="dxa"/>
            <w:tcBorders>
              <w:top w:val="nil"/>
              <w:left w:val="nil"/>
              <w:bottom w:val="single" w:sz="4" w:space="0" w:color="auto"/>
            </w:tcBorders>
            <w:shd w:val="clear" w:color="auto" w:fill="auto"/>
            <w:vAlign w:val="bottom"/>
            <w:hideMark/>
          </w:tcPr>
          <w:p w14:paraId="40E30B48"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 </w:t>
            </w:r>
          </w:p>
        </w:tc>
      </w:tr>
      <w:tr w:rsidR="00882031" w:rsidRPr="00882031" w14:paraId="50C59F22" w14:textId="77777777" w:rsidTr="00882031">
        <w:trPr>
          <w:trHeight w:val="1035"/>
        </w:trPr>
        <w:tc>
          <w:tcPr>
            <w:tcW w:w="1833" w:type="dxa"/>
            <w:vMerge/>
            <w:tcBorders>
              <w:top w:val="nil"/>
              <w:bottom w:val="single" w:sz="4" w:space="0" w:color="auto"/>
              <w:right w:val="single" w:sz="4" w:space="0" w:color="auto"/>
            </w:tcBorders>
            <w:vAlign w:val="center"/>
            <w:hideMark/>
          </w:tcPr>
          <w:p w14:paraId="3B1325AC" w14:textId="77777777" w:rsidR="00882031" w:rsidRPr="00882031" w:rsidRDefault="00882031" w:rsidP="00882031">
            <w:pPr>
              <w:widowControl/>
              <w:autoSpaceDE/>
              <w:autoSpaceDN/>
              <w:rPr>
                <w:rFonts w:eastAsia="Times New Roman"/>
                <w:color w:val="000000"/>
                <w:sz w:val="20"/>
                <w:szCs w:val="20"/>
                <w:lang w:eastAsia="pt-BR" w:bidi="ar-SA"/>
              </w:rPr>
            </w:pPr>
          </w:p>
        </w:tc>
        <w:tc>
          <w:tcPr>
            <w:tcW w:w="3720" w:type="dxa"/>
            <w:tcBorders>
              <w:top w:val="nil"/>
              <w:left w:val="nil"/>
              <w:bottom w:val="nil"/>
              <w:right w:val="single" w:sz="4" w:space="0" w:color="auto"/>
            </w:tcBorders>
            <w:shd w:val="clear" w:color="auto" w:fill="auto"/>
            <w:vAlign w:val="center"/>
            <w:hideMark/>
          </w:tcPr>
          <w:p w14:paraId="689908EE"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10. Realizar operação assistida do Documento de Transporte Eletrônico (DTe) até dezembro de 2021</w:t>
            </w:r>
          </w:p>
        </w:tc>
        <w:tc>
          <w:tcPr>
            <w:tcW w:w="1258" w:type="dxa"/>
            <w:tcBorders>
              <w:top w:val="nil"/>
              <w:left w:val="nil"/>
              <w:bottom w:val="nil"/>
              <w:right w:val="single" w:sz="4" w:space="0" w:color="auto"/>
            </w:tcBorders>
            <w:shd w:val="clear" w:color="auto" w:fill="auto"/>
            <w:noWrap/>
            <w:vAlign w:val="center"/>
            <w:hideMark/>
          </w:tcPr>
          <w:p w14:paraId="51F87D4F"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SUPTI e SUINP</w:t>
            </w:r>
          </w:p>
        </w:tc>
        <w:tc>
          <w:tcPr>
            <w:tcW w:w="1134" w:type="dxa"/>
            <w:tcBorders>
              <w:top w:val="nil"/>
              <w:left w:val="nil"/>
              <w:bottom w:val="nil"/>
              <w:right w:val="single" w:sz="4" w:space="0" w:color="auto"/>
            </w:tcBorders>
            <w:shd w:val="clear" w:color="auto" w:fill="auto"/>
            <w:noWrap/>
            <w:vAlign w:val="center"/>
            <w:hideMark/>
          </w:tcPr>
          <w:p w14:paraId="44EC1A4A"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22%</w:t>
            </w:r>
          </w:p>
        </w:tc>
        <w:tc>
          <w:tcPr>
            <w:tcW w:w="1684" w:type="dxa"/>
            <w:tcBorders>
              <w:top w:val="nil"/>
              <w:left w:val="nil"/>
              <w:bottom w:val="single" w:sz="4" w:space="0" w:color="auto"/>
            </w:tcBorders>
            <w:shd w:val="clear" w:color="auto" w:fill="auto"/>
            <w:vAlign w:val="bottom"/>
            <w:hideMark/>
          </w:tcPr>
          <w:p w14:paraId="30B95383"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O envio de dados ocorreu apenas até a RAE do 2º trimestre, em razão da revisão do PDTIC e de metas estratégicas deste objetivo.</w:t>
            </w:r>
          </w:p>
        </w:tc>
      </w:tr>
      <w:tr w:rsidR="00882031" w:rsidRPr="00882031" w14:paraId="06AE3E32" w14:textId="77777777" w:rsidTr="00882031">
        <w:trPr>
          <w:trHeight w:val="255"/>
        </w:trPr>
        <w:tc>
          <w:tcPr>
            <w:tcW w:w="1833" w:type="dxa"/>
            <w:vMerge w:val="restart"/>
            <w:tcBorders>
              <w:top w:val="single" w:sz="8" w:space="0" w:color="auto"/>
              <w:bottom w:val="single" w:sz="4" w:space="0" w:color="auto"/>
              <w:right w:val="single" w:sz="4" w:space="0" w:color="auto"/>
            </w:tcBorders>
            <w:shd w:val="clear" w:color="auto" w:fill="auto"/>
            <w:vAlign w:val="center"/>
            <w:hideMark/>
          </w:tcPr>
          <w:p w14:paraId="4876AD53"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Objetivo 3.2 - Desenvolver, valorizar e atrair talentos</w:t>
            </w:r>
          </w:p>
        </w:tc>
        <w:tc>
          <w:tcPr>
            <w:tcW w:w="3720" w:type="dxa"/>
            <w:tcBorders>
              <w:top w:val="single" w:sz="8" w:space="0" w:color="auto"/>
              <w:left w:val="nil"/>
              <w:bottom w:val="single" w:sz="4" w:space="0" w:color="auto"/>
              <w:right w:val="single" w:sz="4" w:space="0" w:color="auto"/>
            </w:tcBorders>
            <w:shd w:val="clear" w:color="auto" w:fill="auto"/>
            <w:vAlign w:val="center"/>
            <w:hideMark/>
          </w:tcPr>
          <w:p w14:paraId="0BE4180E"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1. Implantar processo seletivo inovador até junho de 2021</w:t>
            </w:r>
          </w:p>
        </w:tc>
        <w:tc>
          <w:tcPr>
            <w:tcW w:w="1258" w:type="dxa"/>
            <w:tcBorders>
              <w:top w:val="single" w:sz="8" w:space="0" w:color="auto"/>
              <w:left w:val="nil"/>
              <w:bottom w:val="single" w:sz="4" w:space="0" w:color="auto"/>
              <w:right w:val="single" w:sz="4" w:space="0" w:color="auto"/>
            </w:tcBorders>
            <w:shd w:val="clear" w:color="auto" w:fill="auto"/>
            <w:noWrap/>
            <w:vAlign w:val="center"/>
            <w:hideMark/>
          </w:tcPr>
          <w:p w14:paraId="487B8ED4"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SUGEP</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47232844"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100%</w:t>
            </w:r>
          </w:p>
        </w:tc>
        <w:tc>
          <w:tcPr>
            <w:tcW w:w="1684" w:type="dxa"/>
            <w:tcBorders>
              <w:top w:val="single" w:sz="8" w:space="0" w:color="auto"/>
              <w:left w:val="nil"/>
              <w:bottom w:val="single" w:sz="4" w:space="0" w:color="auto"/>
            </w:tcBorders>
            <w:shd w:val="clear" w:color="auto" w:fill="auto"/>
            <w:vAlign w:val="bottom"/>
            <w:hideMark/>
          </w:tcPr>
          <w:p w14:paraId="2ACC9CF5"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 </w:t>
            </w:r>
          </w:p>
        </w:tc>
      </w:tr>
      <w:tr w:rsidR="00882031" w:rsidRPr="00882031" w14:paraId="47F3FC1F" w14:textId="77777777" w:rsidTr="00882031">
        <w:trPr>
          <w:trHeight w:val="255"/>
        </w:trPr>
        <w:tc>
          <w:tcPr>
            <w:tcW w:w="1833" w:type="dxa"/>
            <w:vMerge/>
            <w:tcBorders>
              <w:top w:val="single" w:sz="8" w:space="0" w:color="auto"/>
              <w:bottom w:val="single" w:sz="4" w:space="0" w:color="auto"/>
              <w:right w:val="single" w:sz="4" w:space="0" w:color="auto"/>
            </w:tcBorders>
            <w:vAlign w:val="center"/>
            <w:hideMark/>
          </w:tcPr>
          <w:p w14:paraId="6594B9D0" w14:textId="77777777" w:rsidR="00882031" w:rsidRPr="00882031" w:rsidRDefault="00882031" w:rsidP="00882031">
            <w:pPr>
              <w:widowControl/>
              <w:autoSpaceDE/>
              <w:autoSpaceDN/>
              <w:rPr>
                <w:rFonts w:eastAsia="Times New Roman"/>
                <w:color w:val="000000"/>
                <w:sz w:val="20"/>
                <w:szCs w:val="20"/>
                <w:lang w:eastAsia="pt-BR" w:bidi="ar-SA"/>
              </w:rPr>
            </w:pPr>
          </w:p>
        </w:tc>
        <w:tc>
          <w:tcPr>
            <w:tcW w:w="3720" w:type="dxa"/>
            <w:tcBorders>
              <w:top w:val="nil"/>
              <w:left w:val="nil"/>
              <w:bottom w:val="single" w:sz="4" w:space="0" w:color="auto"/>
              <w:right w:val="single" w:sz="4" w:space="0" w:color="auto"/>
            </w:tcBorders>
            <w:shd w:val="clear" w:color="auto" w:fill="auto"/>
            <w:vAlign w:val="center"/>
            <w:hideMark/>
          </w:tcPr>
          <w:p w14:paraId="15A93C81"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4. Propor atualização do PCS até agosto de 2021</w:t>
            </w:r>
          </w:p>
        </w:tc>
        <w:tc>
          <w:tcPr>
            <w:tcW w:w="1258" w:type="dxa"/>
            <w:tcBorders>
              <w:top w:val="nil"/>
              <w:left w:val="nil"/>
              <w:bottom w:val="single" w:sz="4" w:space="0" w:color="auto"/>
              <w:right w:val="single" w:sz="4" w:space="0" w:color="auto"/>
            </w:tcBorders>
            <w:shd w:val="clear" w:color="auto" w:fill="auto"/>
            <w:noWrap/>
            <w:vAlign w:val="center"/>
            <w:hideMark/>
          </w:tcPr>
          <w:p w14:paraId="1882CF79"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SUGEP</w:t>
            </w:r>
          </w:p>
        </w:tc>
        <w:tc>
          <w:tcPr>
            <w:tcW w:w="1134" w:type="dxa"/>
            <w:tcBorders>
              <w:top w:val="nil"/>
              <w:left w:val="nil"/>
              <w:bottom w:val="single" w:sz="4" w:space="0" w:color="auto"/>
              <w:right w:val="single" w:sz="4" w:space="0" w:color="auto"/>
            </w:tcBorders>
            <w:shd w:val="clear" w:color="auto" w:fill="auto"/>
            <w:noWrap/>
            <w:vAlign w:val="center"/>
            <w:hideMark/>
          </w:tcPr>
          <w:p w14:paraId="6D5E07AE"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40%</w:t>
            </w:r>
          </w:p>
        </w:tc>
        <w:tc>
          <w:tcPr>
            <w:tcW w:w="1684" w:type="dxa"/>
            <w:tcBorders>
              <w:top w:val="nil"/>
              <w:left w:val="nil"/>
              <w:bottom w:val="single" w:sz="4" w:space="0" w:color="auto"/>
            </w:tcBorders>
            <w:shd w:val="clear" w:color="auto" w:fill="auto"/>
            <w:vAlign w:val="bottom"/>
            <w:hideMark/>
          </w:tcPr>
          <w:p w14:paraId="4B599D4A"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Prazo ajustado para março de 2022</w:t>
            </w:r>
          </w:p>
        </w:tc>
      </w:tr>
      <w:tr w:rsidR="00882031" w:rsidRPr="00882031" w14:paraId="7C8E1074" w14:textId="77777777" w:rsidTr="00882031">
        <w:trPr>
          <w:trHeight w:val="255"/>
        </w:trPr>
        <w:tc>
          <w:tcPr>
            <w:tcW w:w="1833" w:type="dxa"/>
            <w:vMerge/>
            <w:tcBorders>
              <w:top w:val="single" w:sz="8" w:space="0" w:color="auto"/>
              <w:bottom w:val="single" w:sz="4" w:space="0" w:color="auto"/>
              <w:right w:val="single" w:sz="4" w:space="0" w:color="auto"/>
            </w:tcBorders>
            <w:vAlign w:val="center"/>
            <w:hideMark/>
          </w:tcPr>
          <w:p w14:paraId="761BFBBD" w14:textId="77777777" w:rsidR="00882031" w:rsidRPr="00882031" w:rsidRDefault="00882031" w:rsidP="00882031">
            <w:pPr>
              <w:widowControl/>
              <w:autoSpaceDE/>
              <w:autoSpaceDN/>
              <w:rPr>
                <w:rFonts w:eastAsia="Times New Roman"/>
                <w:color w:val="000000"/>
                <w:sz w:val="20"/>
                <w:szCs w:val="20"/>
                <w:lang w:eastAsia="pt-BR" w:bidi="ar-SA"/>
              </w:rPr>
            </w:pPr>
          </w:p>
        </w:tc>
        <w:tc>
          <w:tcPr>
            <w:tcW w:w="3720" w:type="dxa"/>
            <w:tcBorders>
              <w:top w:val="nil"/>
              <w:left w:val="nil"/>
              <w:bottom w:val="single" w:sz="4" w:space="0" w:color="auto"/>
              <w:right w:val="single" w:sz="4" w:space="0" w:color="auto"/>
            </w:tcBorders>
            <w:shd w:val="clear" w:color="auto" w:fill="auto"/>
            <w:vAlign w:val="center"/>
            <w:hideMark/>
          </w:tcPr>
          <w:p w14:paraId="2A9570A1"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5. Elaborar dicionário de competências até março de 2021</w:t>
            </w:r>
          </w:p>
        </w:tc>
        <w:tc>
          <w:tcPr>
            <w:tcW w:w="1258" w:type="dxa"/>
            <w:tcBorders>
              <w:top w:val="nil"/>
              <w:left w:val="nil"/>
              <w:bottom w:val="single" w:sz="4" w:space="0" w:color="auto"/>
              <w:right w:val="single" w:sz="4" w:space="0" w:color="auto"/>
            </w:tcBorders>
            <w:shd w:val="clear" w:color="auto" w:fill="auto"/>
            <w:noWrap/>
            <w:vAlign w:val="center"/>
            <w:hideMark/>
          </w:tcPr>
          <w:p w14:paraId="420EAAC7"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SUGEP</w:t>
            </w:r>
          </w:p>
        </w:tc>
        <w:tc>
          <w:tcPr>
            <w:tcW w:w="1134" w:type="dxa"/>
            <w:tcBorders>
              <w:top w:val="nil"/>
              <w:left w:val="nil"/>
              <w:bottom w:val="single" w:sz="4" w:space="0" w:color="auto"/>
              <w:right w:val="single" w:sz="4" w:space="0" w:color="auto"/>
            </w:tcBorders>
            <w:shd w:val="clear" w:color="auto" w:fill="auto"/>
            <w:noWrap/>
            <w:vAlign w:val="center"/>
            <w:hideMark/>
          </w:tcPr>
          <w:p w14:paraId="47BA6969"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100%</w:t>
            </w:r>
          </w:p>
        </w:tc>
        <w:tc>
          <w:tcPr>
            <w:tcW w:w="1684" w:type="dxa"/>
            <w:tcBorders>
              <w:top w:val="nil"/>
              <w:left w:val="nil"/>
              <w:bottom w:val="single" w:sz="4" w:space="0" w:color="auto"/>
            </w:tcBorders>
            <w:shd w:val="clear" w:color="auto" w:fill="auto"/>
            <w:vAlign w:val="bottom"/>
            <w:hideMark/>
          </w:tcPr>
          <w:p w14:paraId="556AC82C"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 </w:t>
            </w:r>
          </w:p>
        </w:tc>
      </w:tr>
      <w:tr w:rsidR="00882031" w:rsidRPr="00882031" w14:paraId="4A19521E" w14:textId="77777777" w:rsidTr="00882031">
        <w:trPr>
          <w:trHeight w:val="255"/>
        </w:trPr>
        <w:tc>
          <w:tcPr>
            <w:tcW w:w="1833" w:type="dxa"/>
            <w:vMerge/>
            <w:tcBorders>
              <w:top w:val="single" w:sz="8" w:space="0" w:color="auto"/>
              <w:bottom w:val="single" w:sz="4" w:space="0" w:color="auto"/>
              <w:right w:val="single" w:sz="4" w:space="0" w:color="auto"/>
            </w:tcBorders>
            <w:vAlign w:val="center"/>
            <w:hideMark/>
          </w:tcPr>
          <w:p w14:paraId="711A357D" w14:textId="77777777" w:rsidR="00882031" w:rsidRPr="00882031" w:rsidRDefault="00882031" w:rsidP="00882031">
            <w:pPr>
              <w:widowControl/>
              <w:autoSpaceDE/>
              <w:autoSpaceDN/>
              <w:rPr>
                <w:rFonts w:eastAsia="Times New Roman"/>
                <w:color w:val="000000"/>
                <w:sz w:val="20"/>
                <w:szCs w:val="20"/>
                <w:lang w:eastAsia="pt-BR" w:bidi="ar-SA"/>
              </w:rPr>
            </w:pPr>
          </w:p>
        </w:tc>
        <w:tc>
          <w:tcPr>
            <w:tcW w:w="3720" w:type="dxa"/>
            <w:tcBorders>
              <w:top w:val="nil"/>
              <w:left w:val="nil"/>
              <w:bottom w:val="single" w:sz="4" w:space="0" w:color="auto"/>
              <w:right w:val="single" w:sz="4" w:space="0" w:color="auto"/>
            </w:tcBorders>
            <w:shd w:val="clear" w:color="auto" w:fill="auto"/>
            <w:vAlign w:val="center"/>
            <w:hideMark/>
          </w:tcPr>
          <w:p w14:paraId="1582E649"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6. Implantar QVT até março de 2022</w:t>
            </w:r>
          </w:p>
        </w:tc>
        <w:tc>
          <w:tcPr>
            <w:tcW w:w="1258" w:type="dxa"/>
            <w:tcBorders>
              <w:top w:val="nil"/>
              <w:left w:val="nil"/>
              <w:bottom w:val="single" w:sz="4" w:space="0" w:color="auto"/>
              <w:right w:val="single" w:sz="4" w:space="0" w:color="auto"/>
            </w:tcBorders>
            <w:shd w:val="clear" w:color="auto" w:fill="auto"/>
            <w:noWrap/>
            <w:vAlign w:val="center"/>
            <w:hideMark/>
          </w:tcPr>
          <w:p w14:paraId="59C94B52"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SUGEP</w:t>
            </w:r>
          </w:p>
        </w:tc>
        <w:tc>
          <w:tcPr>
            <w:tcW w:w="1134" w:type="dxa"/>
            <w:tcBorders>
              <w:top w:val="nil"/>
              <w:left w:val="nil"/>
              <w:bottom w:val="single" w:sz="4" w:space="0" w:color="auto"/>
              <w:right w:val="single" w:sz="4" w:space="0" w:color="auto"/>
            </w:tcBorders>
            <w:shd w:val="clear" w:color="auto" w:fill="auto"/>
            <w:noWrap/>
            <w:vAlign w:val="center"/>
            <w:hideMark/>
          </w:tcPr>
          <w:p w14:paraId="1A5B6999"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100%</w:t>
            </w:r>
          </w:p>
        </w:tc>
        <w:tc>
          <w:tcPr>
            <w:tcW w:w="1684" w:type="dxa"/>
            <w:tcBorders>
              <w:top w:val="nil"/>
              <w:left w:val="nil"/>
              <w:bottom w:val="single" w:sz="4" w:space="0" w:color="auto"/>
            </w:tcBorders>
            <w:shd w:val="clear" w:color="auto" w:fill="auto"/>
            <w:vAlign w:val="bottom"/>
            <w:hideMark/>
          </w:tcPr>
          <w:p w14:paraId="3FEEE022"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 </w:t>
            </w:r>
          </w:p>
        </w:tc>
      </w:tr>
      <w:tr w:rsidR="00882031" w:rsidRPr="00882031" w14:paraId="3F741EE0" w14:textId="77777777" w:rsidTr="00882031">
        <w:trPr>
          <w:trHeight w:val="255"/>
        </w:trPr>
        <w:tc>
          <w:tcPr>
            <w:tcW w:w="1833" w:type="dxa"/>
            <w:vMerge/>
            <w:tcBorders>
              <w:top w:val="single" w:sz="8" w:space="0" w:color="auto"/>
              <w:bottom w:val="single" w:sz="4" w:space="0" w:color="auto"/>
              <w:right w:val="single" w:sz="4" w:space="0" w:color="auto"/>
            </w:tcBorders>
            <w:vAlign w:val="center"/>
            <w:hideMark/>
          </w:tcPr>
          <w:p w14:paraId="4870139A" w14:textId="77777777" w:rsidR="00882031" w:rsidRPr="00882031" w:rsidRDefault="00882031" w:rsidP="00882031">
            <w:pPr>
              <w:widowControl/>
              <w:autoSpaceDE/>
              <w:autoSpaceDN/>
              <w:rPr>
                <w:rFonts w:eastAsia="Times New Roman"/>
                <w:color w:val="000000"/>
                <w:sz w:val="20"/>
                <w:szCs w:val="20"/>
                <w:lang w:eastAsia="pt-BR" w:bidi="ar-SA"/>
              </w:rPr>
            </w:pPr>
          </w:p>
        </w:tc>
        <w:tc>
          <w:tcPr>
            <w:tcW w:w="3720" w:type="dxa"/>
            <w:tcBorders>
              <w:top w:val="nil"/>
              <w:left w:val="nil"/>
              <w:bottom w:val="single" w:sz="4" w:space="0" w:color="auto"/>
              <w:right w:val="single" w:sz="4" w:space="0" w:color="auto"/>
            </w:tcBorders>
            <w:shd w:val="clear" w:color="auto" w:fill="auto"/>
            <w:vAlign w:val="center"/>
            <w:hideMark/>
          </w:tcPr>
          <w:p w14:paraId="0EACD876"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7. Propor atualização do Regulamento de GP até março de 2021</w:t>
            </w:r>
          </w:p>
        </w:tc>
        <w:tc>
          <w:tcPr>
            <w:tcW w:w="1258" w:type="dxa"/>
            <w:tcBorders>
              <w:top w:val="nil"/>
              <w:left w:val="nil"/>
              <w:bottom w:val="single" w:sz="4" w:space="0" w:color="auto"/>
              <w:right w:val="single" w:sz="4" w:space="0" w:color="auto"/>
            </w:tcBorders>
            <w:shd w:val="clear" w:color="auto" w:fill="auto"/>
            <w:noWrap/>
            <w:vAlign w:val="center"/>
            <w:hideMark/>
          </w:tcPr>
          <w:p w14:paraId="17F8CE5B"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SUGEP</w:t>
            </w:r>
          </w:p>
        </w:tc>
        <w:tc>
          <w:tcPr>
            <w:tcW w:w="1134" w:type="dxa"/>
            <w:tcBorders>
              <w:top w:val="nil"/>
              <w:left w:val="nil"/>
              <w:bottom w:val="single" w:sz="4" w:space="0" w:color="auto"/>
              <w:right w:val="single" w:sz="4" w:space="0" w:color="auto"/>
            </w:tcBorders>
            <w:shd w:val="clear" w:color="auto" w:fill="auto"/>
            <w:noWrap/>
            <w:vAlign w:val="center"/>
            <w:hideMark/>
          </w:tcPr>
          <w:p w14:paraId="3F114855"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100%</w:t>
            </w:r>
          </w:p>
        </w:tc>
        <w:tc>
          <w:tcPr>
            <w:tcW w:w="1684" w:type="dxa"/>
            <w:tcBorders>
              <w:top w:val="nil"/>
              <w:left w:val="nil"/>
              <w:bottom w:val="single" w:sz="4" w:space="0" w:color="auto"/>
            </w:tcBorders>
            <w:shd w:val="clear" w:color="auto" w:fill="auto"/>
            <w:vAlign w:val="bottom"/>
            <w:hideMark/>
          </w:tcPr>
          <w:p w14:paraId="1510C577"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 </w:t>
            </w:r>
          </w:p>
        </w:tc>
      </w:tr>
      <w:tr w:rsidR="00882031" w:rsidRPr="00882031" w14:paraId="76AD65A7" w14:textId="77777777" w:rsidTr="00882031">
        <w:trPr>
          <w:trHeight w:val="255"/>
        </w:trPr>
        <w:tc>
          <w:tcPr>
            <w:tcW w:w="1833" w:type="dxa"/>
            <w:vMerge/>
            <w:tcBorders>
              <w:top w:val="single" w:sz="8" w:space="0" w:color="auto"/>
              <w:bottom w:val="single" w:sz="4" w:space="0" w:color="auto"/>
              <w:right w:val="single" w:sz="4" w:space="0" w:color="auto"/>
            </w:tcBorders>
            <w:vAlign w:val="center"/>
            <w:hideMark/>
          </w:tcPr>
          <w:p w14:paraId="64D15D80" w14:textId="77777777" w:rsidR="00882031" w:rsidRPr="00882031" w:rsidRDefault="00882031" w:rsidP="00882031">
            <w:pPr>
              <w:widowControl/>
              <w:autoSpaceDE/>
              <w:autoSpaceDN/>
              <w:rPr>
                <w:rFonts w:eastAsia="Times New Roman"/>
                <w:color w:val="000000"/>
                <w:sz w:val="20"/>
                <w:szCs w:val="20"/>
                <w:lang w:eastAsia="pt-BR" w:bidi="ar-SA"/>
              </w:rPr>
            </w:pPr>
          </w:p>
        </w:tc>
        <w:tc>
          <w:tcPr>
            <w:tcW w:w="3720" w:type="dxa"/>
            <w:tcBorders>
              <w:top w:val="nil"/>
              <w:left w:val="nil"/>
              <w:bottom w:val="single" w:sz="4" w:space="0" w:color="auto"/>
              <w:right w:val="single" w:sz="4" w:space="0" w:color="auto"/>
            </w:tcBorders>
            <w:shd w:val="clear" w:color="auto" w:fill="auto"/>
            <w:vAlign w:val="center"/>
            <w:hideMark/>
          </w:tcPr>
          <w:p w14:paraId="4EFCE771"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8. Mapear ciclo de competências até março de 2021</w:t>
            </w:r>
          </w:p>
        </w:tc>
        <w:tc>
          <w:tcPr>
            <w:tcW w:w="1258" w:type="dxa"/>
            <w:tcBorders>
              <w:top w:val="nil"/>
              <w:left w:val="nil"/>
              <w:bottom w:val="single" w:sz="4" w:space="0" w:color="auto"/>
              <w:right w:val="single" w:sz="4" w:space="0" w:color="auto"/>
            </w:tcBorders>
            <w:shd w:val="clear" w:color="auto" w:fill="auto"/>
            <w:noWrap/>
            <w:vAlign w:val="center"/>
            <w:hideMark/>
          </w:tcPr>
          <w:p w14:paraId="5747C220"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SUGEP</w:t>
            </w:r>
          </w:p>
        </w:tc>
        <w:tc>
          <w:tcPr>
            <w:tcW w:w="1134" w:type="dxa"/>
            <w:tcBorders>
              <w:top w:val="nil"/>
              <w:left w:val="nil"/>
              <w:bottom w:val="single" w:sz="4" w:space="0" w:color="auto"/>
              <w:right w:val="single" w:sz="4" w:space="0" w:color="auto"/>
            </w:tcBorders>
            <w:shd w:val="clear" w:color="auto" w:fill="auto"/>
            <w:noWrap/>
            <w:vAlign w:val="center"/>
            <w:hideMark/>
          </w:tcPr>
          <w:p w14:paraId="76EF2AED"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100%</w:t>
            </w:r>
          </w:p>
        </w:tc>
        <w:tc>
          <w:tcPr>
            <w:tcW w:w="1684" w:type="dxa"/>
            <w:tcBorders>
              <w:top w:val="nil"/>
              <w:left w:val="nil"/>
              <w:bottom w:val="single" w:sz="4" w:space="0" w:color="auto"/>
            </w:tcBorders>
            <w:shd w:val="clear" w:color="auto" w:fill="auto"/>
            <w:vAlign w:val="bottom"/>
            <w:hideMark/>
          </w:tcPr>
          <w:p w14:paraId="504EB61D"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 </w:t>
            </w:r>
          </w:p>
        </w:tc>
      </w:tr>
      <w:tr w:rsidR="00882031" w:rsidRPr="00882031" w14:paraId="7186CC2A" w14:textId="77777777" w:rsidTr="00882031">
        <w:trPr>
          <w:trHeight w:val="510"/>
        </w:trPr>
        <w:tc>
          <w:tcPr>
            <w:tcW w:w="1833" w:type="dxa"/>
            <w:vMerge/>
            <w:tcBorders>
              <w:top w:val="single" w:sz="8" w:space="0" w:color="auto"/>
              <w:bottom w:val="single" w:sz="4" w:space="0" w:color="auto"/>
              <w:right w:val="single" w:sz="4" w:space="0" w:color="auto"/>
            </w:tcBorders>
            <w:vAlign w:val="center"/>
            <w:hideMark/>
          </w:tcPr>
          <w:p w14:paraId="75219FD1" w14:textId="77777777" w:rsidR="00882031" w:rsidRPr="00882031" w:rsidRDefault="00882031" w:rsidP="00882031">
            <w:pPr>
              <w:widowControl/>
              <w:autoSpaceDE/>
              <w:autoSpaceDN/>
              <w:rPr>
                <w:rFonts w:eastAsia="Times New Roman"/>
                <w:color w:val="000000"/>
                <w:sz w:val="20"/>
                <w:szCs w:val="20"/>
                <w:lang w:eastAsia="pt-BR" w:bidi="ar-SA"/>
              </w:rPr>
            </w:pPr>
          </w:p>
        </w:tc>
        <w:tc>
          <w:tcPr>
            <w:tcW w:w="3720" w:type="dxa"/>
            <w:tcBorders>
              <w:top w:val="nil"/>
              <w:left w:val="nil"/>
              <w:bottom w:val="single" w:sz="4" w:space="0" w:color="auto"/>
              <w:right w:val="single" w:sz="4" w:space="0" w:color="auto"/>
            </w:tcBorders>
            <w:shd w:val="clear" w:color="auto" w:fill="auto"/>
            <w:vAlign w:val="center"/>
            <w:hideMark/>
          </w:tcPr>
          <w:p w14:paraId="25FD0159"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9. Implantar plano de capacitação e de desenvolvimento de líderes em janeiro de 2021</w:t>
            </w:r>
          </w:p>
        </w:tc>
        <w:tc>
          <w:tcPr>
            <w:tcW w:w="1258" w:type="dxa"/>
            <w:tcBorders>
              <w:top w:val="nil"/>
              <w:left w:val="nil"/>
              <w:bottom w:val="single" w:sz="4" w:space="0" w:color="auto"/>
              <w:right w:val="single" w:sz="4" w:space="0" w:color="auto"/>
            </w:tcBorders>
            <w:shd w:val="clear" w:color="auto" w:fill="auto"/>
            <w:noWrap/>
            <w:vAlign w:val="center"/>
            <w:hideMark/>
          </w:tcPr>
          <w:p w14:paraId="762986E0"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SUGEP</w:t>
            </w:r>
          </w:p>
        </w:tc>
        <w:tc>
          <w:tcPr>
            <w:tcW w:w="1134" w:type="dxa"/>
            <w:tcBorders>
              <w:top w:val="nil"/>
              <w:left w:val="nil"/>
              <w:bottom w:val="single" w:sz="4" w:space="0" w:color="auto"/>
              <w:right w:val="single" w:sz="4" w:space="0" w:color="auto"/>
            </w:tcBorders>
            <w:shd w:val="clear" w:color="auto" w:fill="auto"/>
            <w:noWrap/>
            <w:vAlign w:val="center"/>
            <w:hideMark/>
          </w:tcPr>
          <w:p w14:paraId="32282D85"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100%</w:t>
            </w:r>
          </w:p>
        </w:tc>
        <w:tc>
          <w:tcPr>
            <w:tcW w:w="1684" w:type="dxa"/>
            <w:tcBorders>
              <w:top w:val="nil"/>
              <w:left w:val="nil"/>
              <w:bottom w:val="single" w:sz="4" w:space="0" w:color="auto"/>
            </w:tcBorders>
            <w:shd w:val="clear" w:color="auto" w:fill="auto"/>
            <w:vAlign w:val="bottom"/>
            <w:hideMark/>
          </w:tcPr>
          <w:p w14:paraId="4A6721C1"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 </w:t>
            </w:r>
          </w:p>
        </w:tc>
      </w:tr>
      <w:tr w:rsidR="00882031" w:rsidRPr="00882031" w14:paraId="22BF7C71" w14:textId="77777777" w:rsidTr="00882031">
        <w:trPr>
          <w:trHeight w:val="525"/>
        </w:trPr>
        <w:tc>
          <w:tcPr>
            <w:tcW w:w="1833" w:type="dxa"/>
            <w:vMerge/>
            <w:tcBorders>
              <w:top w:val="single" w:sz="8" w:space="0" w:color="auto"/>
              <w:bottom w:val="single" w:sz="4" w:space="0" w:color="auto"/>
              <w:right w:val="single" w:sz="4" w:space="0" w:color="auto"/>
            </w:tcBorders>
            <w:vAlign w:val="center"/>
            <w:hideMark/>
          </w:tcPr>
          <w:p w14:paraId="5B536C67" w14:textId="77777777" w:rsidR="00882031" w:rsidRPr="00882031" w:rsidRDefault="00882031" w:rsidP="00882031">
            <w:pPr>
              <w:widowControl/>
              <w:autoSpaceDE/>
              <w:autoSpaceDN/>
              <w:rPr>
                <w:rFonts w:eastAsia="Times New Roman"/>
                <w:color w:val="000000"/>
                <w:sz w:val="20"/>
                <w:szCs w:val="20"/>
                <w:lang w:eastAsia="pt-BR" w:bidi="ar-SA"/>
              </w:rPr>
            </w:pPr>
          </w:p>
        </w:tc>
        <w:tc>
          <w:tcPr>
            <w:tcW w:w="3720" w:type="dxa"/>
            <w:tcBorders>
              <w:top w:val="nil"/>
              <w:left w:val="nil"/>
              <w:bottom w:val="nil"/>
              <w:right w:val="single" w:sz="4" w:space="0" w:color="auto"/>
            </w:tcBorders>
            <w:shd w:val="clear" w:color="auto" w:fill="auto"/>
            <w:vAlign w:val="center"/>
            <w:hideMark/>
          </w:tcPr>
          <w:p w14:paraId="2A72A315"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10. Implantar uma certificação de agentes de compras públicas e gestor/fiscal de contratos até abril de 2021</w:t>
            </w:r>
          </w:p>
        </w:tc>
        <w:tc>
          <w:tcPr>
            <w:tcW w:w="1258" w:type="dxa"/>
            <w:tcBorders>
              <w:top w:val="nil"/>
              <w:left w:val="nil"/>
              <w:bottom w:val="nil"/>
              <w:right w:val="single" w:sz="4" w:space="0" w:color="auto"/>
            </w:tcBorders>
            <w:shd w:val="clear" w:color="auto" w:fill="auto"/>
            <w:noWrap/>
            <w:vAlign w:val="center"/>
            <w:hideMark/>
          </w:tcPr>
          <w:p w14:paraId="0AE7132E"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SUGEP</w:t>
            </w:r>
          </w:p>
        </w:tc>
        <w:tc>
          <w:tcPr>
            <w:tcW w:w="1134" w:type="dxa"/>
            <w:tcBorders>
              <w:top w:val="nil"/>
              <w:left w:val="nil"/>
              <w:bottom w:val="nil"/>
              <w:right w:val="single" w:sz="4" w:space="0" w:color="auto"/>
            </w:tcBorders>
            <w:shd w:val="clear" w:color="auto" w:fill="auto"/>
            <w:noWrap/>
            <w:vAlign w:val="center"/>
            <w:hideMark/>
          </w:tcPr>
          <w:p w14:paraId="5DD7882D"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30%</w:t>
            </w:r>
          </w:p>
        </w:tc>
        <w:tc>
          <w:tcPr>
            <w:tcW w:w="1684" w:type="dxa"/>
            <w:tcBorders>
              <w:top w:val="nil"/>
              <w:left w:val="nil"/>
              <w:bottom w:val="nil"/>
            </w:tcBorders>
            <w:shd w:val="clear" w:color="auto" w:fill="auto"/>
            <w:vAlign w:val="bottom"/>
            <w:hideMark/>
          </w:tcPr>
          <w:p w14:paraId="30901697"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 </w:t>
            </w:r>
          </w:p>
        </w:tc>
      </w:tr>
      <w:tr w:rsidR="00882031" w:rsidRPr="00882031" w14:paraId="391DF95A" w14:textId="77777777" w:rsidTr="00882031">
        <w:trPr>
          <w:trHeight w:val="255"/>
        </w:trPr>
        <w:tc>
          <w:tcPr>
            <w:tcW w:w="1833" w:type="dxa"/>
            <w:vMerge w:val="restart"/>
            <w:tcBorders>
              <w:top w:val="single" w:sz="8" w:space="0" w:color="auto"/>
              <w:bottom w:val="single" w:sz="4" w:space="0" w:color="auto"/>
              <w:right w:val="single" w:sz="4" w:space="0" w:color="auto"/>
            </w:tcBorders>
            <w:shd w:val="clear" w:color="auto" w:fill="auto"/>
            <w:vAlign w:val="center"/>
            <w:hideMark/>
          </w:tcPr>
          <w:p w14:paraId="2715CFDF"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Objetivo 3.3 - Modernizar e simplificar processos e instituir cultura de gestão de resultados</w:t>
            </w:r>
          </w:p>
        </w:tc>
        <w:tc>
          <w:tcPr>
            <w:tcW w:w="3720" w:type="dxa"/>
            <w:tcBorders>
              <w:top w:val="single" w:sz="8" w:space="0" w:color="auto"/>
              <w:left w:val="nil"/>
              <w:bottom w:val="single" w:sz="4" w:space="0" w:color="auto"/>
              <w:right w:val="single" w:sz="4" w:space="0" w:color="auto"/>
            </w:tcBorders>
            <w:shd w:val="clear" w:color="auto" w:fill="auto"/>
            <w:vAlign w:val="center"/>
            <w:hideMark/>
          </w:tcPr>
          <w:p w14:paraId="0AD4692B"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3. (Re)desenhar todos os processos-chave até dezembro de 2022</w:t>
            </w:r>
          </w:p>
        </w:tc>
        <w:tc>
          <w:tcPr>
            <w:tcW w:w="1258" w:type="dxa"/>
            <w:tcBorders>
              <w:top w:val="single" w:sz="8" w:space="0" w:color="auto"/>
              <w:left w:val="nil"/>
              <w:bottom w:val="single" w:sz="4" w:space="0" w:color="auto"/>
              <w:right w:val="single" w:sz="4" w:space="0" w:color="auto"/>
            </w:tcBorders>
            <w:shd w:val="clear" w:color="auto" w:fill="auto"/>
            <w:noWrap/>
            <w:vAlign w:val="center"/>
            <w:hideMark/>
          </w:tcPr>
          <w:p w14:paraId="11D35138"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ASGOV</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72DF8677"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32%</w:t>
            </w:r>
          </w:p>
        </w:tc>
        <w:tc>
          <w:tcPr>
            <w:tcW w:w="1684" w:type="dxa"/>
            <w:tcBorders>
              <w:top w:val="single" w:sz="8" w:space="0" w:color="auto"/>
              <w:left w:val="nil"/>
              <w:bottom w:val="single" w:sz="4" w:space="0" w:color="auto"/>
            </w:tcBorders>
            <w:shd w:val="clear" w:color="auto" w:fill="auto"/>
            <w:vAlign w:val="bottom"/>
            <w:hideMark/>
          </w:tcPr>
          <w:p w14:paraId="04367B1F"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 </w:t>
            </w:r>
          </w:p>
        </w:tc>
      </w:tr>
      <w:tr w:rsidR="00882031" w:rsidRPr="00882031" w14:paraId="77AC3C32" w14:textId="77777777" w:rsidTr="00882031">
        <w:trPr>
          <w:trHeight w:val="510"/>
        </w:trPr>
        <w:tc>
          <w:tcPr>
            <w:tcW w:w="1833" w:type="dxa"/>
            <w:vMerge/>
            <w:tcBorders>
              <w:top w:val="single" w:sz="8" w:space="0" w:color="auto"/>
              <w:bottom w:val="single" w:sz="4" w:space="0" w:color="auto"/>
              <w:right w:val="single" w:sz="4" w:space="0" w:color="auto"/>
            </w:tcBorders>
            <w:vAlign w:val="center"/>
            <w:hideMark/>
          </w:tcPr>
          <w:p w14:paraId="4DF3C829" w14:textId="77777777" w:rsidR="00882031" w:rsidRPr="00882031" w:rsidRDefault="00882031" w:rsidP="00882031">
            <w:pPr>
              <w:widowControl/>
              <w:autoSpaceDE/>
              <w:autoSpaceDN/>
              <w:rPr>
                <w:rFonts w:eastAsia="Times New Roman"/>
                <w:color w:val="000000"/>
                <w:sz w:val="20"/>
                <w:szCs w:val="20"/>
                <w:lang w:eastAsia="pt-BR" w:bidi="ar-SA"/>
              </w:rPr>
            </w:pPr>
          </w:p>
        </w:tc>
        <w:tc>
          <w:tcPr>
            <w:tcW w:w="3720" w:type="dxa"/>
            <w:tcBorders>
              <w:top w:val="nil"/>
              <w:left w:val="nil"/>
              <w:bottom w:val="single" w:sz="4" w:space="0" w:color="auto"/>
              <w:right w:val="single" w:sz="4" w:space="0" w:color="auto"/>
            </w:tcBorders>
            <w:shd w:val="clear" w:color="auto" w:fill="auto"/>
            <w:vAlign w:val="center"/>
            <w:hideMark/>
          </w:tcPr>
          <w:p w14:paraId="1C52BE43"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4. Implementar avaliação do Grau de Transparência Ativa (GTA) na Valec até dezembro de 2021</w:t>
            </w:r>
          </w:p>
        </w:tc>
        <w:tc>
          <w:tcPr>
            <w:tcW w:w="1258" w:type="dxa"/>
            <w:tcBorders>
              <w:top w:val="nil"/>
              <w:left w:val="nil"/>
              <w:bottom w:val="single" w:sz="4" w:space="0" w:color="auto"/>
              <w:right w:val="single" w:sz="4" w:space="0" w:color="auto"/>
            </w:tcBorders>
            <w:shd w:val="clear" w:color="auto" w:fill="auto"/>
            <w:noWrap/>
            <w:vAlign w:val="center"/>
            <w:hideMark/>
          </w:tcPr>
          <w:p w14:paraId="2D59E35D"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ASGOV</w:t>
            </w:r>
          </w:p>
        </w:tc>
        <w:tc>
          <w:tcPr>
            <w:tcW w:w="1134" w:type="dxa"/>
            <w:tcBorders>
              <w:top w:val="nil"/>
              <w:left w:val="nil"/>
              <w:bottom w:val="single" w:sz="4" w:space="0" w:color="auto"/>
              <w:right w:val="single" w:sz="4" w:space="0" w:color="auto"/>
            </w:tcBorders>
            <w:shd w:val="clear" w:color="auto" w:fill="auto"/>
            <w:noWrap/>
            <w:vAlign w:val="center"/>
            <w:hideMark/>
          </w:tcPr>
          <w:p w14:paraId="6C742426"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100%</w:t>
            </w:r>
          </w:p>
        </w:tc>
        <w:tc>
          <w:tcPr>
            <w:tcW w:w="1684" w:type="dxa"/>
            <w:tcBorders>
              <w:top w:val="nil"/>
              <w:left w:val="nil"/>
              <w:bottom w:val="single" w:sz="4" w:space="0" w:color="auto"/>
            </w:tcBorders>
            <w:shd w:val="clear" w:color="auto" w:fill="auto"/>
            <w:vAlign w:val="bottom"/>
            <w:hideMark/>
          </w:tcPr>
          <w:p w14:paraId="3E9BBCF1"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 </w:t>
            </w:r>
          </w:p>
        </w:tc>
      </w:tr>
      <w:tr w:rsidR="00882031" w:rsidRPr="00882031" w14:paraId="6AD47CEC" w14:textId="77777777" w:rsidTr="00882031">
        <w:trPr>
          <w:trHeight w:val="780"/>
        </w:trPr>
        <w:tc>
          <w:tcPr>
            <w:tcW w:w="1833" w:type="dxa"/>
            <w:vMerge/>
            <w:tcBorders>
              <w:top w:val="single" w:sz="8" w:space="0" w:color="auto"/>
              <w:bottom w:val="single" w:sz="4" w:space="0" w:color="auto"/>
              <w:right w:val="single" w:sz="4" w:space="0" w:color="auto"/>
            </w:tcBorders>
            <w:vAlign w:val="center"/>
            <w:hideMark/>
          </w:tcPr>
          <w:p w14:paraId="258E316B" w14:textId="77777777" w:rsidR="00882031" w:rsidRPr="00882031" w:rsidRDefault="00882031" w:rsidP="00882031">
            <w:pPr>
              <w:widowControl/>
              <w:autoSpaceDE/>
              <w:autoSpaceDN/>
              <w:rPr>
                <w:rFonts w:eastAsia="Times New Roman"/>
                <w:color w:val="000000"/>
                <w:sz w:val="20"/>
                <w:szCs w:val="20"/>
                <w:lang w:eastAsia="pt-BR" w:bidi="ar-SA"/>
              </w:rPr>
            </w:pPr>
          </w:p>
        </w:tc>
        <w:tc>
          <w:tcPr>
            <w:tcW w:w="3720" w:type="dxa"/>
            <w:tcBorders>
              <w:top w:val="nil"/>
              <w:left w:val="nil"/>
              <w:bottom w:val="single" w:sz="4" w:space="0" w:color="auto"/>
              <w:right w:val="single" w:sz="4" w:space="0" w:color="auto"/>
            </w:tcBorders>
            <w:shd w:val="clear" w:color="auto" w:fill="auto"/>
            <w:vAlign w:val="center"/>
            <w:hideMark/>
          </w:tcPr>
          <w:p w14:paraId="5B0A9509"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5. Revisão dos riscos estratégicos até dezembro de 2021;</w:t>
            </w:r>
            <w:r w:rsidRPr="00882031">
              <w:rPr>
                <w:rFonts w:eastAsia="Times New Roman"/>
                <w:color w:val="000000"/>
                <w:sz w:val="20"/>
                <w:szCs w:val="20"/>
                <w:lang w:eastAsia="pt-BR" w:bidi="ar-SA"/>
              </w:rPr>
              <w:br/>
              <w:t>Identificação de controles existentes e/ou definição de planos de tratamento dos riscos</w:t>
            </w:r>
          </w:p>
        </w:tc>
        <w:tc>
          <w:tcPr>
            <w:tcW w:w="1258" w:type="dxa"/>
            <w:tcBorders>
              <w:top w:val="nil"/>
              <w:left w:val="nil"/>
              <w:bottom w:val="single" w:sz="4" w:space="0" w:color="auto"/>
              <w:right w:val="single" w:sz="4" w:space="0" w:color="auto"/>
            </w:tcBorders>
            <w:shd w:val="clear" w:color="auto" w:fill="auto"/>
            <w:noWrap/>
            <w:vAlign w:val="center"/>
            <w:hideMark/>
          </w:tcPr>
          <w:p w14:paraId="400458D4"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ASGOV</w:t>
            </w:r>
          </w:p>
        </w:tc>
        <w:tc>
          <w:tcPr>
            <w:tcW w:w="1134" w:type="dxa"/>
            <w:tcBorders>
              <w:top w:val="nil"/>
              <w:left w:val="nil"/>
              <w:bottom w:val="single" w:sz="4" w:space="0" w:color="auto"/>
              <w:right w:val="single" w:sz="4" w:space="0" w:color="auto"/>
            </w:tcBorders>
            <w:shd w:val="clear" w:color="auto" w:fill="auto"/>
            <w:vAlign w:val="center"/>
            <w:hideMark/>
          </w:tcPr>
          <w:p w14:paraId="01D09FB3"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100%</w:t>
            </w:r>
            <w:r w:rsidRPr="00882031">
              <w:rPr>
                <w:rFonts w:eastAsia="Times New Roman"/>
                <w:color w:val="000000"/>
                <w:sz w:val="20"/>
                <w:szCs w:val="20"/>
                <w:lang w:eastAsia="pt-BR" w:bidi="ar-SA"/>
              </w:rPr>
              <w:br/>
              <w:t>100%</w:t>
            </w:r>
          </w:p>
        </w:tc>
        <w:tc>
          <w:tcPr>
            <w:tcW w:w="1684" w:type="dxa"/>
            <w:tcBorders>
              <w:top w:val="nil"/>
              <w:left w:val="nil"/>
              <w:bottom w:val="single" w:sz="4" w:space="0" w:color="auto"/>
            </w:tcBorders>
            <w:shd w:val="clear" w:color="auto" w:fill="auto"/>
            <w:vAlign w:val="bottom"/>
            <w:hideMark/>
          </w:tcPr>
          <w:p w14:paraId="3B8B51F8"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 </w:t>
            </w:r>
          </w:p>
        </w:tc>
      </w:tr>
      <w:tr w:rsidR="00882031" w:rsidRPr="00882031" w14:paraId="0E5005EA" w14:textId="77777777" w:rsidTr="00882031">
        <w:trPr>
          <w:trHeight w:val="510"/>
        </w:trPr>
        <w:tc>
          <w:tcPr>
            <w:tcW w:w="1833" w:type="dxa"/>
            <w:vMerge w:val="restart"/>
            <w:tcBorders>
              <w:top w:val="single" w:sz="8" w:space="0" w:color="auto"/>
              <w:bottom w:val="single" w:sz="8" w:space="0" w:color="000000"/>
              <w:right w:val="single" w:sz="4" w:space="0" w:color="auto"/>
            </w:tcBorders>
            <w:shd w:val="clear" w:color="auto" w:fill="auto"/>
            <w:vAlign w:val="center"/>
            <w:hideMark/>
          </w:tcPr>
          <w:p w14:paraId="74C954CE"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lastRenderedPageBreak/>
              <w:t>Objetivo 3.4 - Fortalecer a integridade, confiabilidade, transparência e promover ações de melhoria de gestão de riscos e de controles internos</w:t>
            </w:r>
          </w:p>
        </w:tc>
        <w:tc>
          <w:tcPr>
            <w:tcW w:w="3720" w:type="dxa"/>
            <w:tcBorders>
              <w:top w:val="single" w:sz="8" w:space="0" w:color="auto"/>
              <w:left w:val="nil"/>
              <w:bottom w:val="single" w:sz="4" w:space="0" w:color="auto"/>
              <w:right w:val="single" w:sz="4" w:space="0" w:color="auto"/>
            </w:tcBorders>
            <w:shd w:val="clear" w:color="auto" w:fill="auto"/>
            <w:vAlign w:val="center"/>
            <w:hideMark/>
          </w:tcPr>
          <w:p w14:paraId="6AC75267"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4. Modernizar Políticas relacionadas ao fomento da integridade e combate à corrupção até julho de 2021</w:t>
            </w:r>
          </w:p>
        </w:tc>
        <w:tc>
          <w:tcPr>
            <w:tcW w:w="1258" w:type="dxa"/>
            <w:tcBorders>
              <w:top w:val="single" w:sz="8" w:space="0" w:color="auto"/>
              <w:left w:val="nil"/>
              <w:bottom w:val="single" w:sz="4" w:space="0" w:color="auto"/>
              <w:right w:val="single" w:sz="4" w:space="0" w:color="auto"/>
            </w:tcBorders>
            <w:shd w:val="clear" w:color="auto" w:fill="auto"/>
            <w:noWrap/>
            <w:vAlign w:val="center"/>
            <w:hideMark/>
          </w:tcPr>
          <w:p w14:paraId="7BB12516"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ASGOV</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55E8BDF1"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100%</w:t>
            </w:r>
          </w:p>
        </w:tc>
        <w:tc>
          <w:tcPr>
            <w:tcW w:w="1684" w:type="dxa"/>
            <w:tcBorders>
              <w:top w:val="single" w:sz="8" w:space="0" w:color="auto"/>
              <w:left w:val="nil"/>
              <w:bottom w:val="single" w:sz="4" w:space="0" w:color="auto"/>
            </w:tcBorders>
            <w:shd w:val="clear" w:color="auto" w:fill="auto"/>
            <w:vAlign w:val="bottom"/>
            <w:hideMark/>
          </w:tcPr>
          <w:p w14:paraId="5CCBB79E"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 </w:t>
            </w:r>
          </w:p>
        </w:tc>
      </w:tr>
      <w:tr w:rsidR="00882031" w:rsidRPr="00882031" w14:paraId="681E97C5" w14:textId="77777777" w:rsidTr="00882031">
        <w:trPr>
          <w:trHeight w:val="255"/>
        </w:trPr>
        <w:tc>
          <w:tcPr>
            <w:tcW w:w="1833" w:type="dxa"/>
            <w:vMerge/>
            <w:tcBorders>
              <w:top w:val="single" w:sz="8" w:space="0" w:color="auto"/>
              <w:bottom w:val="single" w:sz="8" w:space="0" w:color="000000"/>
              <w:right w:val="single" w:sz="4" w:space="0" w:color="auto"/>
            </w:tcBorders>
            <w:vAlign w:val="center"/>
            <w:hideMark/>
          </w:tcPr>
          <w:p w14:paraId="2EFF897F" w14:textId="77777777" w:rsidR="00882031" w:rsidRPr="00882031" w:rsidRDefault="00882031" w:rsidP="00882031">
            <w:pPr>
              <w:widowControl/>
              <w:autoSpaceDE/>
              <w:autoSpaceDN/>
              <w:rPr>
                <w:rFonts w:eastAsia="Times New Roman"/>
                <w:color w:val="000000"/>
                <w:sz w:val="20"/>
                <w:szCs w:val="20"/>
                <w:lang w:eastAsia="pt-BR" w:bidi="ar-SA"/>
              </w:rPr>
            </w:pPr>
          </w:p>
        </w:tc>
        <w:tc>
          <w:tcPr>
            <w:tcW w:w="3720" w:type="dxa"/>
            <w:tcBorders>
              <w:top w:val="nil"/>
              <w:left w:val="nil"/>
              <w:bottom w:val="single" w:sz="4" w:space="0" w:color="auto"/>
              <w:right w:val="single" w:sz="4" w:space="0" w:color="auto"/>
            </w:tcBorders>
            <w:shd w:val="clear" w:color="auto" w:fill="auto"/>
            <w:vAlign w:val="center"/>
            <w:hideMark/>
          </w:tcPr>
          <w:p w14:paraId="1C4A9C6A"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6. Finalizar Plano de Integridade até dezembro de 2021</w:t>
            </w:r>
          </w:p>
        </w:tc>
        <w:tc>
          <w:tcPr>
            <w:tcW w:w="1258" w:type="dxa"/>
            <w:tcBorders>
              <w:top w:val="nil"/>
              <w:left w:val="nil"/>
              <w:bottom w:val="single" w:sz="4" w:space="0" w:color="auto"/>
              <w:right w:val="single" w:sz="4" w:space="0" w:color="auto"/>
            </w:tcBorders>
            <w:shd w:val="clear" w:color="auto" w:fill="auto"/>
            <w:noWrap/>
            <w:vAlign w:val="center"/>
            <w:hideMark/>
          </w:tcPr>
          <w:p w14:paraId="755F48B9"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ASGOV</w:t>
            </w:r>
          </w:p>
        </w:tc>
        <w:tc>
          <w:tcPr>
            <w:tcW w:w="1134" w:type="dxa"/>
            <w:tcBorders>
              <w:top w:val="nil"/>
              <w:left w:val="nil"/>
              <w:bottom w:val="single" w:sz="4" w:space="0" w:color="auto"/>
              <w:right w:val="single" w:sz="4" w:space="0" w:color="auto"/>
            </w:tcBorders>
            <w:shd w:val="clear" w:color="auto" w:fill="auto"/>
            <w:noWrap/>
            <w:vAlign w:val="center"/>
            <w:hideMark/>
          </w:tcPr>
          <w:p w14:paraId="6375E694"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100%</w:t>
            </w:r>
          </w:p>
        </w:tc>
        <w:tc>
          <w:tcPr>
            <w:tcW w:w="1684" w:type="dxa"/>
            <w:tcBorders>
              <w:top w:val="nil"/>
              <w:left w:val="nil"/>
              <w:bottom w:val="single" w:sz="4" w:space="0" w:color="auto"/>
            </w:tcBorders>
            <w:shd w:val="clear" w:color="auto" w:fill="auto"/>
            <w:vAlign w:val="bottom"/>
            <w:hideMark/>
          </w:tcPr>
          <w:p w14:paraId="3D1BA1E5"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 </w:t>
            </w:r>
          </w:p>
        </w:tc>
      </w:tr>
      <w:tr w:rsidR="00882031" w:rsidRPr="00882031" w14:paraId="16E90F83" w14:textId="77777777" w:rsidTr="00882031">
        <w:trPr>
          <w:trHeight w:val="510"/>
        </w:trPr>
        <w:tc>
          <w:tcPr>
            <w:tcW w:w="1833" w:type="dxa"/>
            <w:vMerge/>
            <w:tcBorders>
              <w:top w:val="single" w:sz="8" w:space="0" w:color="auto"/>
              <w:bottom w:val="single" w:sz="8" w:space="0" w:color="000000"/>
              <w:right w:val="single" w:sz="4" w:space="0" w:color="auto"/>
            </w:tcBorders>
            <w:vAlign w:val="center"/>
            <w:hideMark/>
          </w:tcPr>
          <w:p w14:paraId="78B148A3" w14:textId="77777777" w:rsidR="00882031" w:rsidRPr="00882031" w:rsidRDefault="00882031" w:rsidP="00882031">
            <w:pPr>
              <w:widowControl/>
              <w:autoSpaceDE/>
              <w:autoSpaceDN/>
              <w:rPr>
                <w:rFonts w:eastAsia="Times New Roman"/>
                <w:color w:val="000000"/>
                <w:sz w:val="20"/>
                <w:szCs w:val="20"/>
                <w:lang w:eastAsia="pt-BR" w:bidi="ar-SA"/>
              </w:rPr>
            </w:pPr>
          </w:p>
        </w:tc>
        <w:tc>
          <w:tcPr>
            <w:tcW w:w="3720" w:type="dxa"/>
            <w:tcBorders>
              <w:top w:val="nil"/>
              <w:left w:val="nil"/>
              <w:bottom w:val="single" w:sz="4" w:space="0" w:color="auto"/>
              <w:right w:val="single" w:sz="4" w:space="0" w:color="auto"/>
            </w:tcBorders>
            <w:shd w:val="clear" w:color="auto" w:fill="auto"/>
            <w:vAlign w:val="center"/>
            <w:hideMark/>
          </w:tcPr>
          <w:p w14:paraId="443CA0E2"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7. Implementar 2ª linha de defesa de controles internos até agosto de 2021</w:t>
            </w:r>
          </w:p>
        </w:tc>
        <w:tc>
          <w:tcPr>
            <w:tcW w:w="1258" w:type="dxa"/>
            <w:tcBorders>
              <w:top w:val="nil"/>
              <w:left w:val="nil"/>
              <w:bottom w:val="single" w:sz="4" w:space="0" w:color="auto"/>
              <w:right w:val="single" w:sz="4" w:space="0" w:color="auto"/>
            </w:tcBorders>
            <w:shd w:val="clear" w:color="auto" w:fill="auto"/>
            <w:noWrap/>
            <w:vAlign w:val="center"/>
            <w:hideMark/>
          </w:tcPr>
          <w:p w14:paraId="64F4C7C1"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ASGOV</w:t>
            </w:r>
          </w:p>
        </w:tc>
        <w:tc>
          <w:tcPr>
            <w:tcW w:w="1134" w:type="dxa"/>
            <w:tcBorders>
              <w:top w:val="nil"/>
              <w:left w:val="nil"/>
              <w:bottom w:val="single" w:sz="4" w:space="0" w:color="auto"/>
              <w:right w:val="single" w:sz="4" w:space="0" w:color="auto"/>
            </w:tcBorders>
            <w:shd w:val="clear" w:color="auto" w:fill="auto"/>
            <w:noWrap/>
            <w:vAlign w:val="center"/>
            <w:hideMark/>
          </w:tcPr>
          <w:p w14:paraId="1DA02629" w14:textId="77777777" w:rsidR="00882031" w:rsidRPr="00882031" w:rsidRDefault="00882031" w:rsidP="00882031">
            <w:pPr>
              <w:widowControl/>
              <w:autoSpaceDE/>
              <w:autoSpaceDN/>
              <w:jc w:val="center"/>
              <w:rPr>
                <w:rFonts w:eastAsia="Times New Roman"/>
                <w:sz w:val="20"/>
                <w:szCs w:val="20"/>
                <w:lang w:eastAsia="pt-BR" w:bidi="ar-SA"/>
              </w:rPr>
            </w:pPr>
            <w:r w:rsidRPr="00882031">
              <w:rPr>
                <w:rFonts w:eastAsia="Times New Roman"/>
                <w:sz w:val="20"/>
                <w:szCs w:val="20"/>
                <w:lang w:eastAsia="pt-BR" w:bidi="ar-SA"/>
              </w:rPr>
              <w:t>100%</w:t>
            </w:r>
          </w:p>
        </w:tc>
        <w:tc>
          <w:tcPr>
            <w:tcW w:w="1684" w:type="dxa"/>
            <w:tcBorders>
              <w:top w:val="nil"/>
              <w:left w:val="nil"/>
              <w:bottom w:val="single" w:sz="4" w:space="0" w:color="auto"/>
            </w:tcBorders>
            <w:shd w:val="clear" w:color="auto" w:fill="auto"/>
            <w:vAlign w:val="bottom"/>
            <w:hideMark/>
          </w:tcPr>
          <w:p w14:paraId="23E4ADB7"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 </w:t>
            </w:r>
          </w:p>
        </w:tc>
      </w:tr>
      <w:tr w:rsidR="00882031" w:rsidRPr="00882031" w14:paraId="00FBCF1D" w14:textId="77777777" w:rsidTr="00882031">
        <w:trPr>
          <w:trHeight w:val="510"/>
        </w:trPr>
        <w:tc>
          <w:tcPr>
            <w:tcW w:w="1833" w:type="dxa"/>
            <w:vMerge/>
            <w:tcBorders>
              <w:top w:val="single" w:sz="8" w:space="0" w:color="auto"/>
              <w:bottom w:val="single" w:sz="8" w:space="0" w:color="000000"/>
              <w:right w:val="single" w:sz="4" w:space="0" w:color="auto"/>
            </w:tcBorders>
            <w:vAlign w:val="center"/>
            <w:hideMark/>
          </w:tcPr>
          <w:p w14:paraId="0604D9C1" w14:textId="77777777" w:rsidR="00882031" w:rsidRPr="00882031" w:rsidRDefault="00882031" w:rsidP="00882031">
            <w:pPr>
              <w:widowControl/>
              <w:autoSpaceDE/>
              <w:autoSpaceDN/>
              <w:rPr>
                <w:rFonts w:eastAsia="Times New Roman"/>
                <w:color w:val="000000"/>
                <w:sz w:val="20"/>
                <w:szCs w:val="20"/>
                <w:lang w:eastAsia="pt-BR" w:bidi="ar-SA"/>
              </w:rPr>
            </w:pPr>
          </w:p>
        </w:tc>
        <w:tc>
          <w:tcPr>
            <w:tcW w:w="3720" w:type="dxa"/>
            <w:tcBorders>
              <w:top w:val="nil"/>
              <w:left w:val="nil"/>
              <w:bottom w:val="single" w:sz="4" w:space="0" w:color="auto"/>
              <w:right w:val="single" w:sz="4" w:space="0" w:color="auto"/>
            </w:tcBorders>
            <w:shd w:val="clear" w:color="auto" w:fill="auto"/>
            <w:vAlign w:val="center"/>
            <w:hideMark/>
          </w:tcPr>
          <w:p w14:paraId="03226755"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8. Coordenar o preenchimento do formulário e coleta de evidências do IG-SEST em 2021</w:t>
            </w:r>
          </w:p>
        </w:tc>
        <w:tc>
          <w:tcPr>
            <w:tcW w:w="1258" w:type="dxa"/>
            <w:tcBorders>
              <w:top w:val="nil"/>
              <w:left w:val="nil"/>
              <w:bottom w:val="single" w:sz="4" w:space="0" w:color="auto"/>
              <w:right w:val="single" w:sz="4" w:space="0" w:color="auto"/>
            </w:tcBorders>
            <w:shd w:val="clear" w:color="auto" w:fill="auto"/>
            <w:noWrap/>
            <w:vAlign w:val="center"/>
            <w:hideMark/>
          </w:tcPr>
          <w:p w14:paraId="59E2CD6B"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ASGOV</w:t>
            </w:r>
          </w:p>
        </w:tc>
        <w:tc>
          <w:tcPr>
            <w:tcW w:w="1134" w:type="dxa"/>
            <w:tcBorders>
              <w:top w:val="nil"/>
              <w:left w:val="nil"/>
              <w:bottom w:val="single" w:sz="4" w:space="0" w:color="auto"/>
              <w:right w:val="single" w:sz="4" w:space="0" w:color="auto"/>
            </w:tcBorders>
            <w:shd w:val="clear" w:color="auto" w:fill="auto"/>
            <w:noWrap/>
            <w:vAlign w:val="center"/>
            <w:hideMark/>
          </w:tcPr>
          <w:p w14:paraId="6CEF5BC9"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100%</w:t>
            </w:r>
          </w:p>
        </w:tc>
        <w:tc>
          <w:tcPr>
            <w:tcW w:w="1684" w:type="dxa"/>
            <w:tcBorders>
              <w:top w:val="nil"/>
              <w:left w:val="nil"/>
              <w:bottom w:val="single" w:sz="4" w:space="0" w:color="auto"/>
            </w:tcBorders>
            <w:shd w:val="clear" w:color="auto" w:fill="auto"/>
            <w:vAlign w:val="bottom"/>
            <w:hideMark/>
          </w:tcPr>
          <w:p w14:paraId="35A11DAA"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 </w:t>
            </w:r>
          </w:p>
        </w:tc>
      </w:tr>
      <w:tr w:rsidR="00882031" w:rsidRPr="00882031" w14:paraId="5D29B668" w14:textId="77777777" w:rsidTr="00882031">
        <w:trPr>
          <w:trHeight w:val="510"/>
        </w:trPr>
        <w:tc>
          <w:tcPr>
            <w:tcW w:w="1833" w:type="dxa"/>
            <w:vMerge/>
            <w:tcBorders>
              <w:top w:val="single" w:sz="8" w:space="0" w:color="auto"/>
              <w:bottom w:val="single" w:sz="8" w:space="0" w:color="000000"/>
              <w:right w:val="single" w:sz="4" w:space="0" w:color="auto"/>
            </w:tcBorders>
            <w:vAlign w:val="center"/>
            <w:hideMark/>
          </w:tcPr>
          <w:p w14:paraId="57454288" w14:textId="77777777" w:rsidR="00882031" w:rsidRPr="00882031" w:rsidRDefault="00882031" w:rsidP="00882031">
            <w:pPr>
              <w:widowControl/>
              <w:autoSpaceDE/>
              <w:autoSpaceDN/>
              <w:rPr>
                <w:rFonts w:eastAsia="Times New Roman"/>
                <w:color w:val="000000"/>
                <w:sz w:val="20"/>
                <w:szCs w:val="20"/>
                <w:lang w:eastAsia="pt-BR" w:bidi="ar-SA"/>
              </w:rPr>
            </w:pPr>
          </w:p>
        </w:tc>
        <w:tc>
          <w:tcPr>
            <w:tcW w:w="3720" w:type="dxa"/>
            <w:tcBorders>
              <w:top w:val="nil"/>
              <w:left w:val="nil"/>
              <w:bottom w:val="single" w:sz="4" w:space="0" w:color="auto"/>
              <w:right w:val="single" w:sz="4" w:space="0" w:color="auto"/>
            </w:tcBorders>
            <w:shd w:val="clear" w:color="auto" w:fill="auto"/>
            <w:vAlign w:val="center"/>
            <w:hideMark/>
          </w:tcPr>
          <w:p w14:paraId="171641B0"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9. Coordenar o preenchimento do formulário e coleta de evidências do IGG-TCU no ano de levantamento 2021</w:t>
            </w:r>
          </w:p>
        </w:tc>
        <w:tc>
          <w:tcPr>
            <w:tcW w:w="1258" w:type="dxa"/>
            <w:tcBorders>
              <w:top w:val="nil"/>
              <w:left w:val="nil"/>
              <w:bottom w:val="single" w:sz="4" w:space="0" w:color="auto"/>
              <w:right w:val="single" w:sz="4" w:space="0" w:color="auto"/>
            </w:tcBorders>
            <w:shd w:val="clear" w:color="auto" w:fill="auto"/>
            <w:noWrap/>
            <w:vAlign w:val="center"/>
            <w:hideMark/>
          </w:tcPr>
          <w:p w14:paraId="4BE2B98E"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ASGOV</w:t>
            </w:r>
          </w:p>
        </w:tc>
        <w:tc>
          <w:tcPr>
            <w:tcW w:w="1134" w:type="dxa"/>
            <w:tcBorders>
              <w:top w:val="nil"/>
              <w:left w:val="nil"/>
              <w:bottom w:val="single" w:sz="4" w:space="0" w:color="auto"/>
              <w:right w:val="single" w:sz="4" w:space="0" w:color="auto"/>
            </w:tcBorders>
            <w:shd w:val="clear" w:color="auto" w:fill="auto"/>
            <w:noWrap/>
            <w:vAlign w:val="center"/>
            <w:hideMark/>
          </w:tcPr>
          <w:p w14:paraId="53F55467"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100%</w:t>
            </w:r>
          </w:p>
        </w:tc>
        <w:tc>
          <w:tcPr>
            <w:tcW w:w="1684" w:type="dxa"/>
            <w:tcBorders>
              <w:top w:val="nil"/>
              <w:left w:val="nil"/>
              <w:bottom w:val="single" w:sz="4" w:space="0" w:color="auto"/>
            </w:tcBorders>
            <w:shd w:val="clear" w:color="auto" w:fill="auto"/>
            <w:vAlign w:val="bottom"/>
            <w:hideMark/>
          </w:tcPr>
          <w:p w14:paraId="05B3C8C4"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 </w:t>
            </w:r>
          </w:p>
        </w:tc>
      </w:tr>
      <w:tr w:rsidR="00882031" w:rsidRPr="00882031" w14:paraId="695ADA82" w14:textId="77777777" w:rsidTr="00882031">
        <w:trPr>
          <w:trHeight w:val="255"/>
        </w:trPr>
        <w:tc>
          <w:tcPr>
            <w:tcW w:w="1833" w:type="dxa"/>
            <w:vMerge/>
            <w:tcBorders>
              <w:top w:val="single" w:sz="8" w:space="0" w:color="auto"/>
              <w:bottom w:val="single" w:sz="8" w:space="0" w:color="000000"/>
              <w:right w:val="single" w:sz="4" w:space="0" w:color="auto"/>
            </w:tcBorders>
            <w:vAlign w:val="center"/>
            <w:hideMark/>
          </w:tcPr>
          <w:p w14:paraId="24479E42" w14:textId="77777777" w:rsidR="00882031" w:rsidRPr="00882031" w:rsidRDefault="00882031" w:rsidP="00882031">
            <w:pPr>
              <w:widowControl/>
              <w:autoSpaceDE/>
              <w:autoSpaceDN/>
              <w:rPr>
                <w:rFonts w:eastAsia="Times New Roman"/>
                <w:color w:val="000000"/>
                <w:sz w:val="20"/>
                <w:szCs w:val="20"/>
                <w:lang w:eastAsia="pt-BR" w:bidi="ar-SA"/>
              </w:rPr>
            </w:pPr>
          </w:p>
        </w:tc>
        <w:tc>
          <w:tcPr>
            <w:tcW w:w="3720" w:type="dxa"/>
            <w:tcBorders>
              <w:top w:val="nil"/>
              <w:left w:val="nil"/>
              <w:bottom w:val="single" w:sz="4" w:space="0" w:color="auto"/>
              <w:right w:val="single" w:sz="4" w:space="0" w:color="auto"/>
            </w:tcBorders>
            <w:shd w:val="clear" w:color="auto" w:fill="auto"/>
            <w:vAlign w:val="center"/>
            <w:hideMark/>
          </w:tcPr>
          <w:p w14:paraId="6A8F01B9"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10. Aprovar Resolução DIREX do Acórdão nº 84/20</w:t>
            </w:r>
          </w:p>
        </w:tc>
        <w:tc>
          <w:tcPr>
            <w:tcW w:w="1258" w:type="dxa"/>
            <w:tcBorders>
              <w:top w:val="nil"/>
              <w:left w:val="nil"/>
              <w:bottom w:val="single" w:sz="4" w:space="0" w:color="auto"/>
              <w:right w:val="single" w:sz="4" w:space="0" w:color="auto"/>
            </w:tcBorders>
            <w:shd w:val="clear" w:color="auto" w:fill="auto"/>
            <w:noWrap/>
            <w:vAlign w:val="center"/>
            <w:hideMark/>
          </w:tcPr>
          <w:p w14:paraId="0B41F572"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DIREM</w:t>
            </w:r>
          </w:p>
        </w:tc>
        <w:tc>
          <w:tcPr>
            <w:tcW w:w="1134" w:type="dxa"/>
            <w:tcBorders>
              <w:top w:val="nil"/>
              <w:left w:val="nil"/>
              <w:bottom w:val="single" w:sz="4" w:space="0" w:color="auto"/>
              <w:right w:val="single" w:sz="4" w:space="0" w:color="auto"/>
            </w:tcBorders>
            <w:shd w:val="clear" w:color="auto" w:fill="auto"/>
            <w:noWrap/>
            <w:vAlign w:val="center"/>
            <w:hideMark/>
          </w:tcPr>
          <w:p w14:paraId="7C71C4B7"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100%</w:t>
            </w:r>
          </w:p>
        </w:tc>
        <w:tc>
          <w:tcPr>
            <w:tcW w:w="1684" w:type="dxa"/>
            <w:tcBorders>
              <w:top w:val="nil"/>
              <w:left w:val="nil"/>
              <w:bottom w:val="single" w:sz="4" w:space="0" w:color="auto"/>
            </w:tcBorders>
            <w:shd w:val="clear" w:color="auto" w:fill="auto"/>
            <w:vAlign w:val="bottom"/>
            <w:hideMark/>
          </w:tcPr>
          <w:p w14:paraId="3394AA6D"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 </w:t>
            </w:r>
          </w:p>
        </w:tc>
      </w:tr>
      <w:tr w:rsidR="00882031" w:rsidRPr="00882031" w14:paraId="6A41ECEB" w14:textId="77777777" w:rsidTr="00882031">
        <w:trPr>
          <w:trHeight w:val="255"/>
        </w:trPr>
        <w:tc>
          <w:tcPr>
            <w:tcW w:w="1833" w:type="dxa"/>
            <w:vMerge/>
            <w:tcBorders>
              <w:top w:val="single" w:sz="8" w:space="0" w:color="auto"/>
              <w:bottom w:val="single" w:sz="8" w:space="0" w:color="000000"/>
              <w:right w:val="single" w:sz="4" w:space="0" w:color="auto"/>
            </w:tcBorders>
            <w:vAlign w:val="center"/>
            <w:hideMark/>
          </w:tcPr>
          <w:p w14:paraId="5D7D8EEE" w14:textId="77777777" w:rsidR="00882031" w:rsidRPr="00882031" w:rsidRDefault="00882031" w:rsidP="00882031">
            <w:pPr>
              <w:widowControl/>
              <w:autoSpaceDE/>
              <w:autoSpaceDN/>
              <w:rPr>
                <w:rFonts w:eastAsia="Times New Roman"/>
                <w:color w:val="000000"/>
                <w:sz w:val="20"/>
                <w:szCs w:val="20"/>
                <w:lang w:eastAsia="pt-BR" w:bidi="ar-SA"/>
              </w:rPr>
            </w:pPr>
          </w:p>
        </w:tc>
        <w:tc>
          <w:tcPr>
            <w:tcW w:w="3720" w:type="dxa"/>
            <w:tcBorders>
              <w:top w:val="nil"/>
              <w:left w:val="nil"/>
              <w:bottom w:val="single" w:sz="4" w:space="0" w:color="auto"/>
              <w:right w:val="single" w:sz="4" w:space="0" w:color="auto"/>
            </w:tcBorders>
            <w:shd w:val="clear" w:color="auto" w:fill="auto"/>
            <w:vAlign w:val="center"/>
            <w:hideMark/>
          </w:tcPr>
          <w:p w14:paraId="34E13B45"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11. Aprovar Plano de Ação da Resolução</w:t>
            </w:r>
          </w:p>
        </w:tc>
        <w:tc>
          <w:tcPr>
            <w:tcW w:w="1258" w:type="dxa"/>
            <w:tcBorders>
              <w:top w:val="nil"/>
              <w:left w:val="nil"/>
              <w:bottom w:val="single" w:sz="4" w:space="0" w:color="auto"/>
              <w:right w:val="single" w:sz="4" w:space="0" w:color="auto"/>
            </w:tcBorders>
            <w:shd w:val="clear" w:color="auto" w:fill="auto"/>
            <w:noWrap/>
            <w:vAlign w:val="center"/>
            <w:hideMark/>
          </w:tcPr>
          <w:p w14:paraId="3FAB94BE"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DIREM</w:t>
            </w:r>
          </w:p>
        </w:tc>
        <w:tc>
          <w:tcPr>
            <w:tcW w:w="1134" w:type="dxa"/>
            <w:tcBorders>
              <w:top w:val="nil"/>
              <w:left w:val="nil"/>
              <w:bottom w:val="single" w:sz="4" w:space="0" w:color="auto"/>
              <w:right w:val="single" w:sz="4" w:space="0" w:color="auto"/>
            </w:tcBorders>
            <w:shd w:val="clear" w:color="auto" w:fill="auto"/>
            <w:noWrap/>
            <w:vAlign w:val="center"/>
            <w:hideMark/>
          </w:tcPr>
          <w:p w14:paraId="34760C39"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100%</w:t>
            </w:r>
          </w:p>
        </w:tc>
        <w:tc>
          <w:tcPr>
            <w:tcW w:w="1684" w:type="dxa"/>
            <w:tcBorders>
              <w:top w:val="nil"/>
              <w:left w:val="nil"/>
              <w:bottom w:val="single" w:sz="4" w:space="0" w:color="auto"/>
            </w:tcBorders>
            <w:shd w:val="clear" w:color="auto" w:fill="auto"/>
            <w:vAlign w:val="bottom"/>
            <w:hideMark/>
          </w:tcPr>
          <w:p w14:paraId="2FBFC053"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 </w:t>
            </w:r>
          </w:p>
        </w:tc>
      </w:tr>
      <w:tr w:rsidR="00882031" w:rsidRPr="00882031" w14:paraId="45337666" w14:textId="77777777" w:rsidTr="00882031">
        <w:trPr>
          <w:trHeight w:val="270"/>
        </w:trPr>
        <w:tc>
          <w:tcPr>
            <w:tcW w:w="1833" w:type="dxa"/>
            <w:vMerge/>
            <w:tcBorders>
              <w:top w:val="single" w:sz="8" w:space="0" w:color="auto"/>
              <w:bottom w:val="single" w:sz="8" w:space="0" w:color="000000"/>
              <w:right w:val="single" w:sz="4" w:space="0" w:color="auto"/>
            </w:tcBorders>
            <w:vAlign w:val="center"/>
            <w:hideMark/>
          </w:tcPr>
          <w:p w14:paraId="7E2AD91F" w14:textId="77777777" w:rsidR="00882031" w:rsidRPr="00882031" w:rsidRDefault="00882031" w:rsidP="00882031">
            <w:pPr>
              <w:widowControl/>
              <w:autoSpaceDE/>
              <w:autoSpaceDN/>
              <w:rPr>
                <w:rFonts w:eastAsia="Times New Roman"/>
                <w:color w:val="000000"/>
                <w:sz w:val="20"/>
                <w:szCs w:val="20"/>
                <w:lang w:eastAsia="pt-BR" w:bidi="ar-SA"/>
              </w:rPr>
            </w:pPr>
          </w:p>
        </w:tc>
        <w:tc>
          <w:tcPr>
            <w:tcW w:w="3720" w:type="dxa"/>
            <w:tcBorders>
              <w:top w:val="nil"/>
              <w:left w:val="nil"/>
              <w:bottom w:val="single" w:sz="8" w:space="0" w:color="auto"/>
              <w:right w:val="single" w:sz="4" w:space="0" w:color="auto"/>
            </w:tcBorders>
            <w:shd w:val="clear" w:color="auto" w:fill="auto"/>
            <w:vAlign w:val="center"/>
            <w:hideMark/>
          </w:tcPr>
          <w:p w14:paraId="4CD86DBA"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12. Atender o Plano de Ação</w:t>
            </w:r>
          </w:p>
        </w:tc>
        <w:tc>
          <w:tcPr>
            <w:tcW w:w="1258" w:type="dxa"/>
            <w:tcBorders>
              <w:top w:val="nil"/>
              <w:left w:val="nil"/>
              <w:bottom w:val="single" w:sz="8" w:space="0" w:color="auto"/>
              <w:right w:val="single" w:sz="4" w:space="0" w:color="auto"/>
            </w:tcBorders>
            <w:shd w:val="clear" w:color="auto" w:fill="auto"/>
            <w:noWrap/>
            <w:vAlign w:val="center"/>
            <w:hideMark/>
          </w:tcPr>
          <w:p w14:paraId="25F64EF7"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DIREM</w:t>
            </w:r>
          </w:p>
        </w:tc>
        <w:tc>
          <w:tcPr>
            <w:tcW w:w="1134" w:type="dxa"/>
            <w:tcBorders>
              <w:top w:val="nil"/>
              <w:left w:val="nil"/>
              <w:bottom w:val="single" w:sz="8" w:space="0" w:color="auto"/>
              <w:right w:val="single" w:sz="4" w:space="0" w:color="auto"/>
            </w:tcBorders>
            <w:shd w:val="clear" w:color="auto" w:fill="auto"/>
            <w:noWrap/>
            <w:vAlign w:val="center"/>
            <w:hideMark/>
          </w:tcPr>
          <w:p w14:paraId="75401DC3" w14:textId="77777777" w:rsidR="00882031" w:rsidRPr="00882031" w:rsidRDefault="00882031" w:rsidP="00882031">
            <w:pPr>
              <w:widowControl/>
              <w:autoSpaceDE/>
              <w:autoSpaceDN/>
              <w:jc w:val="center"/>
              <w:rPr>
                <w:rFonts w:eastAsia="Times New Roman"/>
                <w:color w:val="000000"/>
                <w:sz w:val="20"/>
                <w:szCs w:val="20"/>
                <w:lang w:eastAsia="pt-BR" w:bidi="ar-SA"/>
              </w:rPr>
            </w:pPr>
            <w:r w:rsidRPr="00882031">
              <w:rPr>
                <w:rFonts w:eastAsia="Times New Roman"/>
                <w:color w:val="000000"/>
                <w:sz w:val="20"/>
                <w:szCs w:val="20"/>
                <w:lang w:eastAsia="pt-BR" w:bidi="ar-SA"/>
              </w:rPr>
              <w:t>90%</w:t>
            </w:r>
          </w:p>
        </w:tc>
        <w:tc>
          <w:tcPr>
            <w:tcW w:w="1684" w:type="dxa"/>
            <w:tcBorders>
              <w:top w:val="nil"/>
              <w:left w:val="nil"/>
              <w:bottom w:val="single" w:sz="8" w:space="0" w:color="auto"/>
            </w:tcBorders>
            <w:shd w:val="clear" w:color="auto" w:fill="auto"/>
            <w:vAlign w:val="bottom"/>
            <w:hideMark/>
          </w:tcPr>
          <w:p w14:paraId="37C2BF58" w14:textId="77777777" w:rsidR="00882031" w:rsidRPr="00882031" w:rsidRDefault="00882031" w:rsidP="00882031">
            <w:pPr>
              <w:widowControl/>
              <w:autoSpaceDE/>
              <w:autoSpaceDN/>
              <w:rPr>
                <w:rFonts w:eastAsia="Times New Roman"/>
                <w:color w:val="000000"/>
                <w:sz w:val="20"/>
                <w:szCs w:val="20"/>
                <w:lang w:eastAsia="pt-BR" w:bidi="ar-SA"/>
              </w:rPr>
            </w:pPr>
            <w:r w:rsidRPr="00882031">
              <w:rPr>
                <w:rFonts w:eastAsia="Times New Roman"/>
                <w:color w:val="000000"/>
                <w:sz w:val="20"/>
                <w:szCs w:val="20"/>
                <w:lang w:eastAsia="pt-BR" w:bidi="ar-SA"/>
              </w:rPr>
              <w:t> </w:t>
            </w:r>
          </w:p>
        </w:tc>
      </w:tr>
    </w:tbl>
    <w:p w14:paraId="69FF6CC2" w14:textId="77777777" w:rsidR="00FA06C6" w:rsidRPr="00252D7B" w:rsidRDefault="00FA06C6" w:rsidP="00635342">
      <w:pPr>
        <w:spacing w:before="120" w:after="120"/>
        <w:rPr>
          <w:rFonts w:asciiTheme="minorHAnsi" w:hAnsiTheme="minorHAnsi" w:cstheme="minorHAnsi"/>
        </w:rPr>
      </w:pPr>
    </w:p>
    <w:p w14:paraId="69C2E999" w14:textId="7837B166" w:rsidR="00635342" w:rsidRPr="00252D7B" w:rsidRDefault="00635342" w:rsidP="00635342">
      <w:pPr>
        <w:spacing w:before="120" w:after="120"/>
        <w:rPr>
          <w:rFonts w:asciiTheme="minorHAnsi" w:hAnsiTheme="minorHAnsi" w:cstheme="minorHAnsi"/>
        </w:rPr>
      </w:pPr>
      <w:bookmarkStart w:id="156" w:name="_Toc94012505"/>
      <w:bookmarkStart w:id="157" w:name="_Toc95830244"/>
      <w:bookmarkEnd w:id="155"/>
    </w:p>
    <w:p w14:paraId="0B9D83C1" w14:textId="488BB177" w:rsidR="004A5619" w:rsidRPr="00252D7B" w:rsidRDefault="004A5619">
      <w:pPr>
        <w:widowControl/>
        <w:autoSpaceDE/>
        <w:autoSpaceDN/>
        <w:spacing w:after="160" w:line="259" w:lineRule="auto"/>
        <w:rPr>
          <w:rFonts w:asciiTheme="minorHAnsi" w:hAnsiTheme="minorHAnsi" w:cstheme="minorHAnsi"/>
        </w:rPr>
      </w:pPr>
      <w:r w:rsidRPr="00252D7B">
        <w:rPr>
          <w:rFonts w:asciiTheme="minorHAnsi" w:hAnsiTheme="minorHAnsi" w:cstheme="minorHAnsi"/>
        </w:rPr>
        <w:br w:type="page"/>
      </w:r>
    </w:p>
    <w:p w14:paraId="758893FB" w14:textId="1F7A2FF8" w:rsidR="00635342" w:rsidRPr="00252D7B" w:rsidRDefault="00635342" w:rsidP="00635342">
      <w:pPr>
        <w:pStyle w:val="Ttulo3"/>
        <w:rPr>
          <w:rFonts w:asciiTheme="minorHAnsi" w:hAnsiTheme="minorHAnsi" w:cstheme="minorHAnsi"/>
        </w:rPr>
      </w:pPr>
      <w:bookmarkStart w:id="158" w:name="_Toc96705944"/>
      <w:bookmarkStart w:id="159" w:name="_Toc103680536"/>
      <w:r w:rsidRPr="00252D7B">
        <w:rPr>
          <w:rFonts w:asciiTheme="minorHAnsi" w:hAnsiTheme="minorHAnsi" w:cstheme="minorHAnsi"/>
        </w:rPr>
        <w:lastRenderedPageBreak/>
        <w:t>Alinhamento entre Estratégia e Cadeia de Valor</w:t>
      </w:r>
      <w:bookmarkEnd w:id="156"/>
      <w:bookmarkEnd w:id="157"/>
      <w:bookmarkEnd w:id="158"/>
      <w:bookmarkEnd w:id="159"/>
    </w:p>
    <w:p w14:paraId="13A1F8A0" w14:textId="77777777" w:rsidR="00635342" w:rsidRPr="00252D7B" w:rsidRDefault="00635342" w:rsidP="00635342">
      <w:pPr>
        <w:rPr>
          <w:rFonts w:asciiTheme="minorHAnsi" w:hAnsiTheme="minorHAnsi" w:cstheme="minorHAnsi"/>
        </w:rPr>
      </w:pPr>
      <w:bookmarkStart w:id="160" w:name="_Toc95830245"/>
    </w:p>
    <w:p w14:paraId="47CBD017" w14:textId="16F22232" w:rsidR="00635342" w:rsidRPr="00252D7B" w:rsidRDefault="00635342" w:rsidP="00661C8E">
      <w:pPr>
        <w:spacing w:before="120" w:after="120"/>
        <w:rPr>
          <w:rFonts w:asciiTheme="minorHAnsi" w:hAnsiTheme="minorHAnsi" w:cstheme="minorHAnsi"/>
          <w:sz w:val="24"/>
          <w:szCs w:val="24"/>
        </w:rPr>
      </w:pPr>
      <w:r w:rsidRPr="00252D7B">
        <w:rPr>
          <w:rFonts w:asciiTheme="minorHAnsi" w:hAnsiTheme="minorHAnsi" w:cstheme="minorHAnsi"/>
          <w:sz w:val="24"/>
          <w:szCs w:val="24"/>
        </w:rPr>
        <w:t>O alinhamento da estratégia organizacional com a cadeia de valor, ocorre por meio dos indicadores estratégicos. Para isso, a Diretoria reuniu-se para indicar os objetivos estratégicos que orientam as operações contidas nos macroprocessos (</w:t>
      </w:r>
      <w:r w:rsidRPr="00252D7B">
        <w:rPr>
          <w:rFonts w:asciiTheme="minorHAnsi" w:hAnsiTheme="minorHAnsi" w:cstheme="minorHAnsi"/>
          <w:sz w:val="24"/>
          <w:szCs w:val="24"/>
        </w:rPr>
        <w:fldChar w:fldCharType="begin"/>
      </w:r>
      <w:r w:rsidRPr="00252D7B">
        <w:rPr>
          <w:rFonts w:asciiTheme="minorHAnsi" w:hAnsiTheme="minorHAnsi" w:cstheme="minorHAnsi"/>
          <w:sz w:val="24"/>
          <w:szCs w:val="24"/>
        </w:rPr>
        <w:instrText xml:space="preserve"> REF _Ref96355941 \h  \* MERGEFORMAT </w:instrText>
      </w:r>
      <w:r w:rsidRPr="00252D7B">
        <w:rPr>
          <w:rFonts w:asciiTheme="minorHAnsi" w:hAnsiTheme="minorHAnsi" w:cstheme="minorHAnsi"/>
          <w:sz w:val="24"/>
          <w:szCs w:val="24"/>
        </w:rPr>
      </w:r>
      <w:r w:rsidRPr="00252D7B">
        <w:rPr>
          <w:rFonts w:asciiTheme="minorHAnsi" w:hAnsiTheme="minorHAnsi" w:cstheme="minorHAnsi"/>
          <w:sz w:val="24"/>
          <w:szCs w:val="24"/>
        </w:rPr>
        <w:fldChar w:fldCharType="separate"/>
      </w:r>
      <w:r w:rsidR="00C12888" w:rsidRPr="00C12888">
        <w:rPr>
          <w:rFonts w:asciiTheme="minorHAnsi" w:hAnsiTheme="minorHAnsi" w:cstheme="minorHAnsi"/>
          <w:sz w:val="24"/>
          <w:szCs w:val="24"/>
        </w:rPr>
        <w:t xml:space="preserve">Figura </w:t>
      </w:r>
      <w:r w:rsidR="00C12888" w:rsidRPr="00C12888">
        <w:rPr>
          <w:rFonts w:asciiTheme="minorHAnsi" w:hAnsiTheme="minorHAnsi" w:cstheme="minorHAnsi"/>
          <w:noProof/>
          <w:sz w:val="24"/>
          <w:szCs w:val="24"/>
        </w:rPr>
        <w:t>17</w:t>
      </w:r>
      <w:r w:rsidRPr="00252D7B">
        <w:rPr>
          <w:rFonts w:asciiTheme="minorHAnsi" w:hAnsiTheme="minorHAnsi" w:cstheme="minorHAnsi"/>
          <w:sz w:val="24"/>
          <w:szCs w:val="24"/>
        </w:rPr>
        <w:fldChar w:fldCharType="end"/>
      </w:r>
      <w:r w:rsidRPr="00252D7B">
        <w:rPr>
          <w:rFonts w:asciiTheme="minorHAnsi" w:hAnsiTheme="minorHAnsi" w:cstheme="minorHAnsi"/>
          <w:sz w:val="24"/>
          <w:szCs w:val="24"/>
        </w:rPr>
        <w:t>).</w:t>
      </w:r>
    </w:p>
    <w:p w14:paraId="70FAE482" w14:textId="77777777" w:rsidR="00635342" w:rsidRPr="00252D7B" w:rsidRDefault="00635342" w:rsidP="00635342">
      <w:pPr>
        <w:rPr>
          <w:rFonts w:asciiTheme="minorHAnsi" w:hAnsiTheme="minorHAnsi" w:cstheme="minorHAnsi"/>
        </w:rPr>
      </w:pPr>
    </w:p>
    <w:p w14:paraId="641D4D7B" w14:textId="4702071A" w:rsidR="00635342" w:rsidRPr="00252D7B" w:rsidRDefault="00635342" w:rsidP="00635342">
      <w:pPr>
        <w:pStyle w:val="Legenda"/>
        <w:jc w:val="center"/>
        <w:rPr>
          <w:rFonts w:asciiTheme="minorHAnsi" w:hAnsiTheme="minorHAnsi" w:cstheme="minorHAnsi"/>
          <w:sz w:val="20"/>
          <w:szCs w:val="20"/>
        </w:rPr>
      </w:pPr>
      <w:bookmarkStart w:id="161" w:name="_Ref96355941"/>
      <w:bookmarkStart w:id="162" w:name="_Toc96706075"/>
      <w:bookmarkStart w:id="163" w:name="_Toc103680753"/>
      <w:r w:rsidRPr="00252D7B">
        <w:rPr>
          <w:rFonts w:asciiTheme="minorHAnsi" w:hAnsiTheme="minorHAnsi" w:cstheme="minorHAnsi"/>
          <w:sz w:val="20"/>
          <w:szCs w:val="20"/>
        </w:rPr>
        <w:t xml:space="preserve">Figura </w:t>
      </w:r>
      <w:r w:rsidR="00F46BDB" w:rsidRPr="00252D7B">
        <w:rPr>
          <w:rFonts w:asciiTheme="minorHAnsi" w:hAnsiTheme="minorHAnsi" w:cstheme="minorHAnsi"/>
          <w:sz w:val="20"/>
          <w:szCs w:val="20"/>
        </w:rPr>
        <w:fldChar w:fldCharType="begin"/>
      </w:r>
      <w:r w:rsidR="00F46BDB" w:rsidRPr="00252D7B">
        <w:rPr>
          <w:rFonts w:asciiTheme="minorHAnsi" w:hAnsiTheme="minorHAnsi" w:cstheme="minorHAnsi"/>
          <w:sz w:val="20"/>
          <w:szCs w:val="20"/>
        </w:rPr>
        <w:instrText xml:space="preserve"> SEQ Figura \* ARABIC </w:instrText>
      </w:r>
      <w:r w:rsidR="00F46BDB"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17</w:t>
      </w:r>
      <w:r w:rsidR="00F46BDB" w:rsidRPr="00252D7B">
        <w:rPr>
          <w:rFonts w:asciiTheme="minorHAnsi" w:hAnsiTheme="minorHAnsi" w:cstheme="minorHAnsi"/>
          <w:sz w:val="20"/>
          <w:szCs w:val="20"/>
        </w:rPr>
        <w:fldChar w:fldCharType="end"/>
      </w:r>
      <w:bookmarkEnd w:id="161"/>
      <w:r w:rsidRPr="00252D7B">
        <w:rPr>
          <w:rFonts w:asciiTheme="minorHAnsi" w:hAnsiTheme="minorHAnsi" w:cstheme="minorHAnsi"/>
          <w:sz w:val="20"/>
          <w:szCs w:val="20"/>
        </w:rPr>
        <w:t xml:space="preserve"> – Cadeia de Valor da Valec e objetivos estratégicos correlatos</w:t>
      </w:r>
      <w:bookmarkEnd w:id="162"/>
      <w:bookmarkEnd w:id="163"/>
    </w:p>
    <w:p w14:paraId="53324412" w14:textId="77777777" w:rsidR="00635342" w:rsidRPr="00252D7B" w:rsidRDefault="00635342" w:rsidP="00635342">
      <w:pPr>
        <w:jc w:val="center"/>
        <w:rPr>
          <w:rFonts w:asciiTheme="minorHAnsi" w:hAnsiTheme="minorHAnsi" w:cstheme="minorHAnsi"/>
          <w:b/>
          <w:bCs/>
          <w:sz w:val="24"/>
          <w:szCs w:val="24"/>
        </w:rPr>
      </w:pPr>
      <w:r w:rsidRPr="00252D7B">
        <w:rPr>
          <w:rFonts w:asciiTheme="minorHAnsi" w:hAnsiTheme="minorHAnsi" w:cstheme="minorHAnsi"/>
          <w:b/>
          <w:bCs/>
          <w:noProof/>
          <w:sz w:val="24"/>
          <w:szCs w:val="24"/>
        </w:rPr>
        <w:drawing>
          <wp:inline distT="0" distB="0" distL="0" distR="0" wp14:anchorId="096B9C6C" wp14:editId="005CA3B2">
            <wp:extent cx="6505271" cy="3723855"/>
            <wp:effectExtent l="0" t="0" r="0" b="0"/>
            <wp:docPr id="90" name="Imagem 1" descr="Interface gráfica do usuário, Aplicativo&#10;&#10;Descrição gerada automaticamente">
              <a:extLst xmlns:a="http://schemas.openxmlformats.org/drawingml/2006/main">
                <a:ext uri="{FF2B5EF4-FFF2-40B4-BE49-F238E27FC236}">
                  <a16:creationId xmlns:a16="http://schemas.microsoft.com/office/drawing/2014/main" id="{5AE94ACF-9017-4364-8EE5-C8CEAF75AF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m 1" descr="Interface gráfica do usuário, Aplicativo&#10;&#10;Descrição gerada automaticamente">
                      <a:extLst>
                        <a:ext uri="{FF2B5EF4-FFF2-40B4-BE49-F238E27FC236}">
                          <a16:creationId xmlns:a16="http://schemas.microsoft.com/office/drawing/2014/main" id="{5AE94ACF-9017-4364-8EE5-C8CEAF75AF25}"/>
                        </a:ext>
                      </a:extLst>
                    </pic:cNvPr>
                    <pic:cNvPicPr>
                      <a:picLocks noChangeAspect="1"/>
                    </pic:cNvPicPr>
                  </pic:nvPicPr>
                  <pic:blipFill>
                    <a:blip r:embed="rId60"/>
                    <a:stretch>
                      <a:fillRect/>
                    </a:stretch>
                  </pic:blipFill>
                  <pic:spPr>
                    <a:xfrm>
                      <a:off x="0" y="0"/>
                      <a:ext cx="6517841" cy="3731050"/>
                    </a:xfrm>
                    <a:prstGeom prst="rect">
                      <a:avLst/>
                    </a:prstGeom>
                  </pic:spPr>
                </pic:pic>
              </a:graphicData>
            </a:graphic>
          </wp:inline>
        </w:drawing>
      </w:r>
    </w:p>
    <w:p w14:paraId="72B65E9C" w14:textId="29BDABDA" w:rsidR="00FC6CD1" w:rsidRPr="00252D7B" w:rsidRDefault="00FC6CD1" w:rsidP="00FC6CD1">
      <w:pPr>
        <w:spacing w:before="120" w:after="120"/>
        <w:rPr>
          <w:rFonts w:asciiTheme="minorHAnsi" w:hAnsiTheme="minorHAnsi" w:cstheme="minorHAnsi"/>
        </w:rPr>
      </w:pPr>
      <w:r w:rsidRPr="00252D7B">
        <w:rPr>
          <w:rFonts w:asciiTheme="minorHAnsi" w:hAnsiTheme="minorHAnsi" w:cstheme="minorHAnsi"/>
        </w:rPr>
        <w:t xml:space="preserve"> </w:t>
      </w:r>
    </w:p>
    <w:p w14:paraId="1EEF4A1B" w14:textId="77777777" w:rsidR="00C71FE5" w:rsidRPr="00252D7B" w:rsidRDefault="00C71FE5" w:rsidP="00FC6CD1">
      <w:pPr>
        <w:spacing w:before="120" w:after="120"/>
        <w:rPr>
          <w:rFonts w:asciiTheme="minorHAnsi" w:hAnsiTheme="minorHAnsi" w:cstheme="minorHAnsi"/>
        </w:rPr>
      </w:pPr>
    </w:p>
    <w:p w14:paraId="5F82E444" w14:textId="77777777" w:rsidR="00C71FE5" w:rsidRPr="00252D7B" w:rsidRDefault="00C71FE5" w:rsidP="00FC6CD1">
      <w:pPr>
        <w:spacing w:before="120" w:after="120"/>
        <w:rPr>
          <w:rFonts w:asciiTheme="minorHAnsi" w:hAnsiTheme="minorHAnsi" w:cstheme="minorHAnsi"/>
        </w:rPr>
      </w:pPr>
    </w:p>
    <w:p w14:paraId="3EFF1A9D" w14:textId="77777777" w:rsidR="00C71FE5" w:rsidRPr="00252D7B" w:rsidRDefault="00C71FE5" w:rsidP="00FC6CD1">
      <w:pPr>
        <w:spacing w:before="120" w:after="120"/>
        <w:rPr>
          <w:rFonts w:asciiTheme="minorHAnsi" w:hAnsiTheme="minorHAnsi" w:cstheme="minorHAnsi"/>
        </w:rPr>
      </w:pPr>
    </w:p>
    <w:p w14:paraId="6297BF77" w14:textId="26788FE4" w:rsidR="009B74DE" w:rsidRPr="00252D7B" w:rsidRDefault="009B74DE">
      <w:pPr>
        <w:widowControl/>
        <w:autoSpaceDE/>
        <w:autoSpaceDN/>
        <w:spacing w:after="160" w:line="259" w:lineRule="auto"/>
        <w:rPr>
          <w:rFonts w:asciiTheme="minorHAnsi" w:hAnsiTheme="minorHAnsi" w:cstheme="minorHAnsi"/>
        </w:rPr>
      </w:pPr>
      <w:r w:rsidRPr="00252D7B">
        <w:rPr>
          <w:rFonts w:asciiTheme="minorHAnsi" w:hAnsiTheme="minorHAnsi" w:cstheme="minorHAnsi"/>
        </w:rPr>
        <w:br w:type="page"/>
      </w:r>
    </w:p>
    <w:p w14:paraId="012EFB70" w14:textId="77777777" w:rsidR="005F4F80" w:rsidRPr="00252D7B" w:rsidRDefault="005F4F80" w:rsidP="00F100A9">
      <w:pPr>
        <w:pStyle w:val="Ttulo2"/>
      </w:pPr>
      <w:bookmarkStart w:id="164" w:name="_Toc52307050"/>
      <w:bookmarkStart w:id="165" w:name="_Toc52307072"/>
      <w:bookmarkStart w:id="166" w:name="_Toc80785726"/>
      <w:bookmarkStart w:id="167" w:name="_Toc103680537"/>
      <w:bookmarkStart w:id="168" w:name="_Toc64571528"/>
      <w:r w:rsidRPr="00252D7B">
        <w:lastRenderedPageBreak/>
        <w:t>Gestão orçamentária e financeira</w:t>
      </w:r>
      <w:bookmarkStart w:id="169" w:name="_Toc73106726"/>
      <w:bookmarkStart w:id="170" w:name="_Toc73109424"/>
      <w:bookmarkStart w:id="171" w:name="_Toc73109611"/>
      <w:bookmarkStart w:id="172" w:name="_Toc80707849"/>
      <w:bookmarkEnd w:id="164"/>
      <w:bookmarkEnd w:id="165"/>
      <w:bookmarkEnd w:id="166"/>
      <w:bookmarkEnd w:id="167"/>
      <w:bookmarkEnd w:id="169"/>
      <w:bookmarkEnd w:id="170"/>
      <w:bookmarkEnd w:id="171"/>
      <w:bookmarkEnd w:id="172"/>
    </w:p>
    <w:p w14:paraId="283472A3" w14:textId="77777777" w:rsidR="00786F39" w:rsidRPr="00252D7B" w:rsidRDefault="00786F39" w:rsidP="00786F39">
      <w:pPr>
        <w:pStyle w:val="Ttulo3"/>
        <w:rPr>
          <w:rFonts w:asciiTheme="minorHAnsi" w:hAnsiTheme="minorHAnsi" w:cstheme="minorHAnsi"/>
        </w:rPr>
      </w:pPr>
      <w:bookmarkStart w:id="173" w:name="_Toc80785727"/>
      <w:bookmarkStart w:id="174" w:name="_Toc95906790"/>
      <w:bookmarkStart w:id="175" w:name="_Toc103680538"/>
      <w:bookmarkStart w:id="176" w:name="_Toc94012562"/>
      <w:bookmarkStart w:id="177" w:name="_Toc95830295"/>
      <w:bookmarkEnd w:id="160"/>
      <w:bookmarkEnd w:id="168"/>
      <w:r w:rsidRPr="00252D7B">
        <w:rPr>
          <w:rFonts w:asciiTheme="minorHAnsi" w:hAnsiTheme="minorHAnsi" w:cstheme="minorHAnsi"/>
        </w:rPr>
        <w:t>Execução da Lei Orçamentária Anual (LOA 2021)</w:t>
      </w:r>
      <w:bookmarkEnd w:id="173"/>
      <w:bookmarkEnd w:id="174"/>
      <w:bookmarkEnd w:id="175"/>
    </w:p>
    <w:p w14:paraId="18668DE4" w14:textId="77777777" w:rsidR="00FA3E05" w:rsidRPr="00252D7B" w:rsidRDefault="00FA3E05" w:rsidP="00FA3E05">
      <w:pPr>
        <w:pStyle w:val="Legenda"/>
        <w:keepNext/>
        <w:rPr>
          <w:rFonts w:asciiTheme="minorHAnsi" w:hAnsiTheme="minorHAnsi" w:cstheme="minorHAnsi"/>
        </w:rPr>
      </w:pPr>
    </w:p>
    <w:p w14:paraId="0DF2F2E6" w14:textId="11ECFBED" w:rsidR="00FA3E05" w:rsidRPr="00252D7B" w:rsidRDefault="00FA3E05" w:rsidP="00FA3E05">
      <w:pPr>
        <w:pStyle w:val="Legenda"/>
        <w:keepNext/>
        <w:spacing w:after="0"/>
        <w:jc w:val="center"/>
        <w:rPr>
          <w:rFonts w:asciiTheme="minorHAnsi" w:hAnsiTheme="minorHAnsi" w:cstheme="minorHAnsi"/>
          <w:sz w:val="20"/>
          <w:szCs w:val="20"/>
        </w:rPr>
      </w:pPr>
      <w:bookmarkStart w:id="178" w:name="_Toc103680666"/>
      <w:r w:rsidRPr="00252D7B">
        <w:rPr>
          <w:rFonts w:asciiTheme="minorHAnsi" w:hAnsiTheme="minorHAnsi" w:cstheme="minorHAnsi"/>
          <w:sz w:val="20"/>
          <w:szCs w:val="20"/>
        </w:rPr>
        <w:t xml:space="preserve">Tabela </w:t>
      </w:r>
      <w:r w:rsidR="00FA416F" w:rsidRPr="00252D7B">
        <w:rPr>
          <w:rFonts w:asciiTheme="minorHAnsi" w:hAnsiTheme="minorHAnsi" w:cstheme="minorHAnsi"/>
          <w:sz w:val="20"/>
          <w:szCs w:val="20"/>
        </w:rPr>
        <w:fldChar w:fldCharType="begin"/>
      </w:r>
      <w:r w:rsidR="00FA416F" w:rsidRPr="00252D7B">
        <w:rPr>
          <w:rFonts w:asciiTheme="minorHAnsi" w:hAnsiTheme="minorHAnsi" w:cstheme="minorHAnsi"/>
          <w:sz w:val="20"/>
          <w:szCs w:val="20"/>
        </w:rPr>
        <w:instrText xml:space="preserve"> SEQ Tabela \* ARABIC </w:instrText>
      </w:r>
      <w:r w:rsidR="00FA416F"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4</w:t>
      </w:r>
      <w:r w:rsidR="00FA416F" w:rsidRPr="00252D7B">
        <w:rPr>
          <w:rFonts w:asciiTheme="minorHAnsi" w:hAnsiTheme="minorHAnsi" w:cstheme="minorHAnsi"/>
          <w:sz w:val="20"/>
          <w:szCs w:val="20"/>
        </w:rPr>
        <w:fldChar w:fldCharType="end"/>
      </w:r>
      <w:r w:rsidRPr="00252D7B">
        <w:rPr>
          <w:rFonts w:asciiTheme="minorHAnsi" w:hAnsiTheme="minorHAnsi" w:cstheme="minorHAnsi"/>
          <w:sz w:val="20"/>
          <w:szCs w:val="20"/>
        </w:rPr>
        <w:t xml:space="preserve"> </w:t>
      </w:r>
      <w:r w:rsidR="001D41E7" w:rsidRPr="00252D7B">
        <w:rPr>
          <w:rFonts w:asciiTheme="minorHAnsi" w:hAnsiTheme="minorHAnsi" w:cstheme="minorHAnsi"/>
          <w:sz w:val="20"/>
          <w:szCs w:val="20"/>
        </w:rPr>
        <w:t>–</w:t>
      </w:r>
      <w:r w:rsidRPr="00252D7B">
        <w:rPr>
          <w:rFonts w:asciiTheme="minorHAnsi" w:hAnsiTheme="minorHAnsi" w:cstheme="minorHAnsi"/>
          <w:sz w:val="20"/>
          <w:szCs w:val="20"/>
        </w:rPr>
        <w:t xml:space="preserve"> Execução da Lei Orçamentária Anual (LOA 2021)</w:t>
      </w:r>
      <w:r w:rsidR="001D41E7" w:rsidRPr="00252D7B">
        <w:rPr>
          <w:rFonts w:asciiTheme="minorHAnsi" w:hAnsiTheme="minorHAnsi" w:cstheme="minorHAnsi"/>
          <w:sz w:val="20"/>
          <w:szCs w:val="20"/>
        </w:rPr>
        <w:t xml:space="preserve"> (</w:t>
      </w:r>
      <w:r w:rsidRPr="00252D7B">
        <w:rPr>
          <w:rFonts w:asciiTheme="minorHAnsi" w:hAnsiTheme="minorHAnsi" w:cstheme="minorHAnsi"/>
          <w:sz w:val="20"/>
          <w:szCs w:val="20"/>
        </w:rPr>
        <w:t>R$ 1,00</w:t>
      </w:r>
      <w:r w:rsidR="001D41E7" w:rsidRPr="00252D7B">
        <w:rPr>
          <w:rFonts w:asciiTheme="minorHAnsi" w:hAnsiTheme="minorHAnsi" w:cstheme="minorHAnsi"/>
          <w:sz w:val="20"/>
          <w:szCs w:val="20"/>
        </w:rPr>
        <w:t>)</w:t>
      </w:r>
      <w:bookmarkEnd w:id="178"/>
    </w:p>
    <w:p w14:paraId="751378BD" w14:textId="77777777" w:rsidR="00C71FE5" w:rsidRPr="00252D7B" w:rsidRDefault="00C71FE5" w:rsidP="00C71FE5">
      <w:pPr>
        <w:rPr>
          <w:rFonts w:asciiTheme="minorHAnsi" w:hAnsiTheme="minorHAnsi" w:cstheme="minorHAnsi"/>
        </w:rPr>
      </w:pPr>
    </w:p>
    <w:tbl>
      <w:tblPr>
        <w:tblStyle w:val="Tabelacomgrade"/>
        <w:tblW w:w="9736" w:type="dxa"/>
        <w:jc w:val="center"/>
        <w:tblLook w:val="04A0" w:firstRow="1" w:lastRow="0" w:firstColumn="1" w:lastColumn="0" w:noHBand="0" w:noVBand="1"/>
      </w:tblPr>
      <w:tblGrid>
        <w:gridCol w:w="2830"/>
        <w:gridCol w:w="1726"/>
        <w:gridCol w:w="1727"/>
        <w:gridCol w:w="1726"/>
        <w:gridCol w:w="1727"/>
      </w:tblGrid>
      <w:tr w:rsidR="00C477F6" w:rsidRPr="00252D7B" w14:paraId="540B7C6F" w14:textId="7CBF8AB7" w:rsidTr="00E03684">
        <w:trPr>
          <w:tblHeader/>
          <w:jc w:val="center"/>
        </w:trPr>
        <w:tc>
          <w:tcPr>
            <w:tcW w:w="2830" w:type="dxa"/>
            <w:tcBorders>
              <w:left w:val="nil"/>
            </w:tcBorders>
            <w:shd w:val="clear" w:color="auto" w:fill="D9D9D9" w:themeFill="background1" w:themeFillShade="D9"/>
            <w:vAlign w:val="center"/>
          </w:tcPr>
          <w:p w14:paraId="0EF0EA94" w14:textId="5297D4D3" w:rsidR="00C477F6" w:rsidRPr="00252D7B" w:rsidRDefault="00C477F6" w:rsidP="00C477F6">
            <w:pPr>
              <w:widowControl/>
              <w:autoSpaceDE/>
              <w:autoSpaceDN/>
              <w:jc w:val="center"/>
              <w:rPr>
                <w:rFonts w:asciiTheme="minorHAnsi" w:eastAsia="Times New Roman" w:hAnsiTheme="minorHAnsi" w:cstheme="minorHAnsi"/>
                <w:b/>
                <w:bCs/>
                <w:color w:val="000000"/>
                <w:sz w:val="20"/>
                <w:szCs w:val="20"/>
                <w:lang w:eastAsia="pt-BR" w:bidi="ar-SA"/>
              </w:rPr>
            </w:pPr>
            <w:bookmarkStart w:id="179" w:name="_Hlk97192322"/>
            <w:r w:rsidRPr="00252D7B">
              <w:rPr>
                <w:rFonts w:asciiTheme="minorHAnsi" w:eastAsia="Times New Roman" w:hAnsiTheme="minorHAnsi" w:cstheme="minorHAnsi"/>
                <w:b/>
                <w:bCs/>
                <w:color w:val="000000"/>
                <w:sz w:val="20"/>
                <w:szCs w:val="20"/>
                <w:lang w:eastAsia="pt-BR" w:bidi="ar-SA"/>
              </w:rPr>
              <w:t>Grupos de Despesa</w:t>
            </w:r>
          </w:p>
        </w:tc>
        <w:tc>
          <w:tcPr>
            <w:tcW w:w="1726" w:type="dxa"/>
            <w:shd w:val="clear" w:color="auto" w:fill="D9D9D9" w:themeFill="background1" w:themeFillShade="D9"/>
            <w:vAlign w:val="center"/>
          </w:tcPr>
          <w:p w14:paraId="25CC8AF4" w14:textId="77777777" w:rsidR="00C477F6" w:rsidRPr="00252D7B" w:rsidRDefault="00C477F6" w:rsidP="00C477F6">
            <w:pPr>
              <w:jc w:val="center"/>
              <w:rPr>
                <w:rFonts w:asciiTheme="minorHAnsi" w:eastAsia="Times New Roman" w:hAnsiTheme="minorHAnsi" w:cstheme="minorHAnsi"/>
                <w:b/>
                <w:bCs/>
                <w:color w:val="000000"/>
                <w:sz w:val="20"/>
                <w:szCs w:val="20"/>
                <w:lang w:eastAsia="pt-BR" w:bidi="ar-SA"/>
              </w:rPr>
            </w:pPr>
            <w:r w:rsidRPr="00252D7B">
              <w:rPr>
                <w:rFonts w:asciiTheme="minorHAnsi" w:eastAsia="Times New Roman" w:hAnsiTheme="minorHAnsi" w:cstheme="minorHAnsi"/>
                <w:b/>
                <w:bCs/>
                <w:color w:val="000000"/>
                <w:sz w:val="20"/>
                <w:szCs w:val="20"/>
                <w:lang w:eastAsia="pt-BR" w:bidi="ar-SA"/>
              </w:rPr>
              <w:t>Projeto de Lei Orçamentária Anual</w:t>
            </w:r>
          </w:p>
          <w:p w14:paraId="4B63F06E" w14:textId="32FB867D" w:rsidR="00C477F6" w:rsidRPr="00252D7B" w:rsidRDefault="00C477F6" w:rsidP="00C477F6">
            <w:pPr>
              <w:widowControl/>
              <w:autoSpaceDE/>
              <w:autoSpaceDN/>
              <w:jc w:val="center"/>
              <w:rPr>
                <w:rFonts w:asciiTheme="minorHAnsi" w:eastAsia="Times New Roman" w:hAnsiTheme="minorHAnsi" w:cstheme="minorHAnsi"/>
                <w:b/>
                <w:bCs/>
                <w:color w:val="000000"/>
                <w:sz w:val="20"/>
                <w:szCs w:val="20"/>
                <w:lang w:eastAsia="pt-BR" w:bidi="ar-SA"/>
              </w:rPr>
            </w:pPr>
            <w:r w:rsidRPr="00252D7B">
              <w:rPr>
                <w:rFonts w:asciiTheme="minorHAnsi" w:eastAsia="Times New Roman" w:hAnsiTheme="minorHAnsi" w:cstheme="minorHAnsi"/>
                <w:b/>
                <w:bCs/>
                <w:color w:val="000000"/>
                <w:sz w:val="20"/>
                <w:szCs w:val="20"/>
                <w:lang w:eastAsia="pt-BR" w:bidi="ar-SA"/>
              </w:rPr>
              <w:t xml:space="preserve">PLOA 2021 </w:t>
            </w:r>
          </w:p>
        </w:tc>
        <w:tc>
          <w:tcPr>
            <w:tcW w:w="1727" w:type="dxa"/>
            <w:shd w:val="clear" w:color="auto" w:fill="D9D9D9" w:themeFill="background1" w:themeFillShade="D9"/>
            <w:vAlign w:val="center"/>
          </w:tcPr>
          <w:p w14:paraId="766326B3" w14:textId="77777777" w:rsidR="00C477F6" w:rsidRPr="00252D7B" w:rsidRDefault="00C477F6" w:rsidP="00C477F6">
            <w:pPr>
              <w:jc w:val="center"/>
              <w:rPr>
                <w:rFonts w:asciiTheme="minorHAnsi" w:eastAsia="Times New Roman" w:hAnsiTheme="minorHAnsi" w:cstheme="minorHAnsi"/>
                <w:b/>
                <w:bCs/>
                <w:color w:val="000000"/>
                <w:sz w:val="20"/>
                <w:szCs w:val="20"/>
                <w:lang w:eastAsia="pt-BR" w:bidi="ar-SA"/>
              </w:rPr>
            </w:pPr>
            <w:r w:rsidRPr="00252D7B">
              <w:rPr>
                <w:rFonts w:asciiTheme="minorHAnsi" w:eastAsia="Times New Roman" w:hAnsiTheme="minorHAnsi" w:cstheme="minorHAnsi"/>
                <w:b/>
                <w:bCs/>
                <w:color w:val="000000"/>
                <w:sz w:val="20"/>
                <w:szCs w:val="20"/>
                <w:lang w:eastAsia="pt-BR" w:bidi="ar-SA"/>
              </w:rPr>
              <w:t>Dotação Atualizada</w:t>
            </w:r>
          </w:p>
          <w:p w14:paraId="03C0E2A6" w14:textId="54D09132" w:rsidR="00C477F6" w:rsidRPr="00252D7B" w:rsidRDefault="00C477F6" w:rsidP="00C477F6">
            <w:pPr>
              <w:widowControl/>
              <w:autoSpaceDE/>
              <w:autoSpaceDN/>
              <w:jc w:val="center"/>
              <w:rPr>
                <w:rFonts w:asciiTheme="minorHAnsi" w:eastAsia="Times New Roman" w:hAnsiTheme="minorHAnsi" w:cstheme="minorHAnsi"/>
                <w:b/>
                <w:bCs/>
                <w:color w:val="000000"/>
                <w:sz w:val="20"/>
                <w:szCs w:val="20"/>
                <w:lang w:eastAsia="pt-BR" w:bidi="ar-SA"/>
              </w:rPr>
            </w:pPr>
            <w:r w:rsidRPr="00252D7B">
              <w:rPr>
                <w:rFonts w:asciiTheme="minorHAnsi" w:eastAsia="Times New Roman" w:hAnsiTheme="minorHAnsi" w:cstheme="minorHAnsi"/>
                <w:b/>
                <w:bCs/>
                <w:color w:val="000000"/>
                <w:sz w:val="20"/>
                <w:szCs w:val="20"/>
                <w:lang w:eastAsia="pt-BR" w:bidi="ar-SA"/>
              </w:rPr>
              <w:t xml:space="preserve">LOA 2021 +/-Créditos </w:t>
            </w:r>
          </w:p>
        </w:tc>
        <w:tc>
          <w:tcPr>
            <w:tcW w:w="1726" w:type="dxa"/>
            <w:shd w:val="clear" w:color="auto" w:fill="D9D9D9" w:themeFill="background1" w:themeFillShade="D9"/>
            <w:vAlign w:val="center"/>
          </w:tcPr>
          <w:p w14:paraId="605F01DB" w14:textId="77777777" w:rsidR="00C477F6" w:rsidRPr="00252D7B" w:rsidRDefault="00C477F6" w:rsidP="00C477F6">
            <w:pPr>
              <w:jc w:val="center"/>
              <w:rPr>
                <w:rFonts w:asciiTheme="minorHAnsi" w:eastAsia="Times New Roman" w:hAnsiTheme="minorHAnsi" w:cstheme="minorHAnsi"/>
                <w:b/>
                <w:bCs/>
                <w:color w:val="000000"/>
                <w:sz w:val="20"/>
                <w:szCs w:val="20"/>
                <w:lang w:eastAsia="pt-BR" w:bidi="ar-SA"/>
              </w:rPr>
            </w:pPr>
            <w:r w:rsidRPr="00252D7B">
              <w:rPr>
                <w:rFonts w:asciiTheme="minorHAnsi" w:eastAsia="Times New Roman" w:hAnsiTheme="minorHAnsi" w:cstheme="minorHAnsi"/>
                <w:b/>
                <w:bCs/>
                <w:color w:val="000000"/>
                <w:sz w:val="20"/>
                <w:szCs w:val="20"/>
                <w:lang w:eastAsia="pt-BR" w:bidi="ar-SA"/>
              </w:rPr>
              <w:t>Despesas</w:t>
            </w:r>
          </w:p>
          <w:p w14:paraId="37274AA8" w14:textId="37D70E78" w:rsidR="00C477F6" w:rsidRPr="00252D7B" w:rsidRDefault="00C477F6" w:rsidP="00C477F6">
            <w:pPr>
              <w:widowControl/>
              <w:autoSpaceDE/>
              <w:autoSpaceDN/>
              <w:jc w:val="center"/>
              <w:rPr>
                <w:rFonts w:asciiTheme="minorHAnsi" w:eastAsia="Times New Roman" w:hAnsiTheme="minorHAnsi" w:cstheme="minorHAnsi"/>
                <w:b/>
                <w:bCs/>
                <w:color w:val="000000"/>
                <w:sz w:val="20"/>
                <w:szCs w:val="20"/>
                <w:lang w:eastAsia="pt-BR" w:bidi="ar-SA"/>
              </w:rPr>
            </w:pPr>
            <w:r w:rsidRPr="00252D7B">
              <w:rPr>
                <w:rFonts w:asciiTheme="minorHAnsi" w:eastAsia="Times New Roman" w:hAnsiTheme="minorHAnsi" w:cstheme="minorHAnsi"/>
                <w:b/>
                <w:bCs/>
                <w:color w:val="000000"/>
                <w:sz w:val="20"/>
                <w:szCs w:val="20"/>
                <w:lang w:eastAsia="pt-BR" w:bidi="ar-SA"/>
              </w:rPr>
              <w:t>Empenhadas</w:t>
            </w:r>
          </w:p>
        </w:tc>
        <w:tc>
          <w:tcPr>
            <w:tcW w:w="1727" w:type="dxa"/>
            <w:tcBorders>
              <w:right w:val="nil"/>
            </w:tcBorders>
            <w:shd w:val="clear" w:color="auto" w:fill="D9D9D9" w:themeFill="background1" w:themeFillShade="D9"/>
            <w:vAlign w:val="center"/>
          </w:tcPr>
          <w:p w14:paraId="5B397E1F" w14:textId="5052D840" w:rsidR="00C477F6" w:rsidRPr="00252D7B" w:rsidRDefault="00C477F6" w:rsidP="00C477F6">
            <w:pPr>
              <w:widowControl/>
              <w:autoSpaceDE/>
              <w:autoSpaceDN/>
              <w:jc w:val="center"/>
              <w:rPr>
                <w:rFonts w:asciiTheme="minorHAnsi" w:eastAsia="Times New Roman" w:hAnsiTheme="minorHAnsi" w:cstheme="minorHAnsi"/>
                <w:b/>
                <w:bCs/>
                <w:color w:val="000000"/>
                <w:sz w:val="20"/>
                <w:szCs w:val="20"/>
                <w:lang w:eastAsia="pt-BR" w:bidi="ar-SA"/>
              </w:rPr>
            </w:pPr>
            <w:r w:rsidRPr="00252D7B">
              <w:rPr>
                <w:rFonts w:asciiTheme="minorHAnsi" w:eastAsia="Times New Roman" w:hAnsiTheme="minorHAnsi" w:cstheme="minorHAnsi"/>
                <w:b/>
                <w:bCs/>
                <w:color w:val="000000"/>
                <w:sz w:val="20"/>
                <w:szCs w:val="20"/>
                <w:lang w:eastAsia="pt-BR" w:bidi="ar-SA"/>
              </w:rPr>
              <w:t>Despesas Pagas</w:t>
            </w:r>
          </w:p>
        </w:tc>
      </w:tr>
      <w:tr w:rsidR="00C477F6" w:rsidRPr="00252D7B" w14:paraId="42A2D742" w14:textId="67AE53FC" w:rsidTr="00E03684">
        <w:trPr>
          <w:jc w:val="center"/>
        </w:trPr>
        <w:tc>
          <w:tcPr>
            <w:tcW w:w="2830" w:type="dxa"/>
            <w:tcBorders>
              <w:left w:val="nil"/>
            </w:tcBorders>
            <w:vAlign w:val="center"/>
          </w:tcPr>
          <w:p w14:paraId="57B18B4F" w14:textId="14FB88FD" w:rsidR="00C477F6" w:rsidRPr="00252D7B" w:rsidRDefault="00C477F6" w:rsidP="00F15FAD">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 xml:space="preserve">Investimentos </w:t>
            </w:r>
          </w:p>
        </w:tc>
        <w:tc>
          <w:tcPr>
            <w:tcW w:w="1726" w:type="dxa"/>
            <w:vAlign w:val="center"/>
          </w:tcPr>
          <w:p w14:paraId="513A3F7F" w14:textId="10C320F6" w:rsidR="00C477F6" w:rsidRPr="00252D7B" w:rsidRDefault="00C477F6" w:rsidP="00F15FAD">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546.732.036</w:t>
            </w:r>
          </w:p>
        </w:tc>
        <w:tc>
          <w:tcPr>
            <w:tcW w:w="1727" w:type="dxa"/>
            <w:vAlign w:val="center"/>
          </w:tcPr>
          <w:p w14:paraId="5BE09935" w14:textId="28D4490C" w:rsidR="00C477F6" w:rsidRPr="00252D7B" w:rsidRDefault="00C477F6" w:rsidP="00F15FAD">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430.056.383</w:t>
            </w:r>
          </w:p>
        </w:tc>
        <w:tc>
          <w:tcPr>
            <w:tcW w:w="1726" w:type="dxa"/>
            <w:vAlign w:val="center"/>
          </w:tcPr>
          <w:p w14:paraId="04312B34" w14:textId="7303165E" w:rsidR="00C477F6" w:rsidRPr="00252D7B" w:rsidRDefault="00C477F6" w:rsidP="00F15FAD">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 xml:space="preserve">417.830.204 </w:t>
            </w:r>
          </w:p>
        </w:tc>
        <w:tc>
          <w:tcPr>
            <w:tcW w:w="1727" w:type="dxa"/>
            <w:tcBorders>
              <w:right w:val="nil"/>
            </w:tcBorders>
            <w:vAlign w:val="center"/>
          </w:tcPr>
          <w:p w14:paraId="25D8E86E" w14:textId="587DF927" w:rsidR="00C477F6" w:rsidRPr="00252D7B" w:rsidRDefault="00C477F6" w:rsidP="00F15FAD">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177.648.302</w:t>
            </w:r>
          </w:p>
        </w:tc>
      </w:tr>
      <w:tr w:rsidR="00C477F6" w:rsidRPr="00252D7B" w14:paraId="6B3CFC4E" w14:textId="77777777" w:rsidTr="00E03684">
        <w:trPr>
          <w:jc w:val="center"/>
        </w:trPr>
        <w:tc>
          <w:tcPr>
            <w:tcW w:w="2830" w:type="dxa"/>
            <w:tcBorders>
              <w:left w:val="nil"/>
            </w:tcBorders>
            <w:vAlign w:val="center"/>
          </w:tcPr>
          <w:p w14:paraId="7AD50E3F" w14:textId="73CC214F" w:rsidR="00C477F6" w:rsidRPr="00252D7B" w:rsidRDefault="00C477F6" w:rsidP="00F15FAD">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Outras Despesas Correntes (*)</w:t>
            </w:r>
          </w:p>
        </w:tc>
        <w:tc>
          <w:tcPr>
            <w:tcW w:w="1726" w:type="dxa"/>
            <w:vAlign w:val="center"/>
          </w:tcPr>
          <w:p w14:paraId="5A90801F" w14:textId="7926D339" w:rsidR="00C477F6" w:rsidRPr="00252D7B" w:rsidRDefault="00C477F6" w:rsidP="00F15FAD">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63.517.044</w:t>
            </w:r>
          </w:p>
        </w:tc>
        <w:tc>
          <w:tcPr>
            <w:tcW w:w="1727" w:type="dxa"/>
            <w:vAlign w:val="center"/>
          </w:tcPr>
          <w:p w14:paraId="748FFB34" w14:textId="618237E7" w:rsidR="00C477F6" w:rsidRPr="00252D7B" w:rsidRDefault="00C477F6" w:rsidP="00F15FAD">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62.607.018</w:t>
            </w:r>
          </w:p>
        </w:tc>
        <w:tc>
          <w:tcPr>
            <w:tcW w:w="1726" w:type="dxa"/>
            <w:vAlign w:val="center"/>
          </w:tcPr>
          <w:p w14:paraId="52A4E0D7" w14:textId="5BA77F0B" w:rsidR="00C477F6" w:rsidRPr="00252D7B" w:rsidRDefault="00C477F6" w:rsidP="00F15FAD">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 xml:space="preserve">59.503.958 </w:t>
            </w:r>
          </w:p>
        </w:tc>
        <w:tc>
          <w:tcPr>
            <w:tcW w:w="1727" w:type="dxa"/>
            <w:tcBorders>
              <w:right w:val="nil"/>
            </w:tcBorders>
            <w:vAlign w:val="center"/>
          </w:tcPr>
          <w:p w14:paraId="1A528820" w14:textId="43C1B8F0" w:rsidR="00C477F6" w:rsidRPr="00252D7B" w:rsidRDefault="00C477F6" w:rsidP="00F15FAD">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26.039.017</w:t>
            </w:r>
          </w:p>
        </w:tc>
      </w:tr>
      <w:tr w:rsidR="00C477F6" w:rsidRPr="00252D7B" w14:paraId="7D236342" w14:textId="77777777" w:rsidTr="00E03684">
        <w:trPr>
          <w:jc w:val="center"/>
        </w:trPr>
        <w:tc>
          <w:tcPr>
            <w:tcW w:w="2830" w:type="dxa"/>
            <w:tcBorders>
              <w:left w:val="nil"/>
            </w:tcBorders>
            <w:vAlign w:val="center"/>
          </w:tcPr>
          <w:p w14:paraId="7F9DFCDD" w14:textId="79E0B742" w:rsidR="00C477F6" w:rsidRPr="00252D7B" w:rsidRDefault="00C477F6" w:rsidP="00F15FAD">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Pessoal e Encargos Sociais (**)</w:t>
            </w:r>
          </w:p>
        </w:tc>
        <w:tc>
          <w:tcPr>
            <w:tcW w:w="1726" w:type="dxa"/>
            <w:vAlign w:val="center"/>
          </w:tcPr>
          <w:p w14:paraId="6AFA94AE" w14:textId="3CE36AA5" w:rsidR="00C477F6" w:rsidRPr="00252D7B" w:rsidRDefault="00C477F6" w:rsidP="00F15FAD">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115.371.594</w:t>
            </w:r>
          </w:p>
        </w:tc>
        <w:tc>
          <w:tcPr>
            <w:tcW w:w="1727" w:type="dxa"/>
            <w:vAlign w:val="center"/>
          </w:tcPr>
          <w:p w14:paraId="2A26D4B8" w14:textId="7B7F0598" w:rsidR="00C477F6" w:rsidRPr="00252D7B" w:rsidRDefault="00C477F6" w:rsidP="00F15FAD">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120.738.937</w:t>
            </w:r>
          </w:p>
        </w:tc>
        <w:tc>
          <w:tcPr>
            <w:tcW w:w="1726" w:type="dxa"/>
            <w:vAlign w:val="center"/>
          </w:tcPr>
          <w:p w14:paraId="2EBB53E9" w14:textId="53068743" w:rsidR="00C477F6" w:rsidRPr="00252D7B" w:rsidRDefault="00C477F6" w:rsidP="00F15FAD">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 xml:space="preserve">114.613.588 </w:t>
            </w:r>
          </w:p>
        </w:tc>
        <w:tc>
          <w:tcPr>
            <w:tcW w:w="1727" w:type="dxa"/>
            <w:tcBorders>
              <w:right w:val="nil"/>
            </w:tcBorders>
            <w:vAlign w:val="center"/>
          </w:tcPr>
          <w:p w14:paraId="638EECE8" w14:textId="3C7FF6AC" w:rsidR="00C477F6" w:rsidRPr="00252D7B" w:rsidRDefault="00C477F6" w:rsidP="00F15FAD">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252D7B">
              <w:rPr>
                <w:rFonts w:asciiTheme="minorHAnsi" w:eastAsia="Times New Roman" w:hAnsiTheme="minorHAnsi" w:cstheme="minorHAnsi"/>
                <w:color w:val="000000"/>
                <w:sz w:val="20"/>
                <w:szCs w:val="20"/>
                <w:lang w:eastAsia="pt-BR" w:bidi="ar-SA"/>
              </w:rPr>
              <w:t>105.146.497</w:t>
            </w:r>
          </w:p>
        </w:tc>
      </w:tr>
      <w:tr w:rsidR="00C477F6" w:rsidRPr="00252D7B" w14:paraId="44CA778A" w14:textId="77777777" w:rsidTr="00E03684">
        <w:trPr>
          <w:jc w:val="center"/>
        </w:trPr>
        <w:tc>
          <w:tcPr>
            <w:tcW w:w="2830" w:type="dxa"/>
            <w:tcBorders>
              <w:left w:val="nil"/>
            </w:tcBorders>
            <w:vAlign w:val="center"/>
          </w:tcPr>
          <w:p w14:paraId="4B7E981E" w14:textId="1426FC74" w:rsidR="00C477F6" w:rsidRPr="00252D7B" w:rsidRDefault="00C477F6" w:rsidP="00F15FAD">
            <w:pPr>
              <w:widowControl/>
              <w:autoSpaceDE/>
              <w:autoSpaceDN/>
              <w:spacing w:before="100" w:beforeAutospacing="1" w:after="100" w:afterAutospacing="1"/>
              <w:rPr>
                <w:rFonts w:asciiTheme="minorHAnsi" w:eastAsia="Times New Roman" w:hAnsiTheme="minorHAnsi" w:cstheme="minorHAnsi"/>
                <w:b/>
                <w:bCs/>
                <w:color w:val="000000"/>
                <w:sz w:val="20"/>
                <w:szCs w:val="20"/>
                <w:lang w:eastAsia="pt-BR" w:bidi="ar-SA"/>
              </w:rPr>
            </w:pPr>
            <w:r w:rsidRPr="00252D7B">
              <w:rPr>
                <w:rFonts w:asciiTheme="minorHAnsi" w:eastAsia="Times New Roman" w:hAnsiTheme="minorHAnsi" w:cstheme="minorHAnsi"/>
                <w:b/>
                <w:bCs/>
                <w:color w:val="000000"/>
                <w:sz w:val="20"/>
                <w:szCs w:val="20"/>
                <w:lang w:eastAsia="pt-BR" w:bidi="ar-SA"/>
              </w:rPr>
              <w:t>Total</w:t>
            </w:r>
          </w:p>
        </w:tc>
        <w:tc>
          <w:tcPr>
            <w:tcW w:w="1726" w:type="dxa"/>
            <w:vAlign w:val="center"/>
          </w:tcPr>
          <w:p w14:paraId="529E8B91" w14:textId="36AFAB0F" w:rsidR="00C477F6" w:rsidRPr="00252D7B" w:rsidRDefault="00C477F6" w:rsidP="00F15FAD">
            <w:pPr>
              <w:widowControl/>
              <w:autoSpaceDE/>
              <w:autoSpaceDN/>
              <w:spacing w:before="100" w:beforeAutospacing="1" w:after="100" w:afterAutospacing="1"/>
              <w:jc w:val="right"/>
              <w:rPr>
                <w:rFonts w:asciiTheme="minorHAnsi" w:eastAsia="Times New Roman" w:hAnsiTheme="minorHAnsi" w:cstheme="minorHAnsi"/>
                <w:b/>
                <w:bCs/>
                <w:color w:val="000000"/>
                <w:sz w:val="20"/>
                <w:szCs w:val="20"/>
                <w:lang w:eastAsia="pt-BR" w:bidi="ar-SA"/>
              </w:rPr>
            </w:pPr>
            <w:r w:rsidRPr="00252D7B">
              <w:rPr>
                <w:rFonts w:asciiTheme="minorHAnsi" w:eastAsia="Times New Roman" w:hAnsiTheme="minorHAnsi" w:cstheme="minorHAnsi"/>
                <w:b/>
                <w:bCs/>
                <w:color w:val="000000"/>
                <w:sz w:val="20"/>
                <w:szCs w:val="20"/>
                <w:lang w:eastAsia="pt-BR" w:bidi="ar-SA"/>
              </w:rPr>
              <w:t>725.620.674</w:t>
            </w:r>
          </w:p>
        </w:tc>
        <w:tc>
          <w:tcPr>
            <w:tcW w:w="1727" w:type="dxa"/>
            <w:vAlign w:val="center"/>
          </w:tcPr>
          <w:p w14:paraId="275D1D42" w14:textId="0C422BC7" w:rsidR="00C477F6" w:rsidRPr="00252D7B" w:rsidRDefault="00C477F6" w:rsidP="00F15FAD">
            <w:pPr>
              <w:widowControl/>
              <w:autoSpaceDE/>
              <w:autoSpaceDN/>
              <w:spacing w:before="100" w:beforeAutospacing="1" w:after="100" w:afterAutospacing="1"/>
              <w:jc w:val="right"/>
              <w:rPr>
                <w:rFonts w:asciiTheme="minorHAnsi" w:eastAsia="Times New Roman" w:hAnsiTheme="minorHAnsi" w:cstheme="minorHAnsi"/>
                <w:b/>
                <w:bCs/>
                <w:color w:val="000000"/>
                <w:sz w:val="20"/>
                <w:szCs w:val="20"/>
                <w:lang w:eastAsia="pt-BR" w:bidi="ar-SA"/>
              </w:rPr>
            </w:pPr>
            <w:r w:rsidRPr="00252D7B">
              <w:rPr>
                <w:rFonts w:asciiTheme="minorHAnsi" w:eastAsia="Times New Roman" w:hAnsiTheme="minorHAnsi" w:cstheme="minorHAnsi"/>
                <w:b/>
                <w:bCs/>
                <w:color w:val="000000"/>
                <w:sz w:val="20"/>
                <w:szCs w:val="20"/>
                <w:lang w:eastAsia="pt-BR" w:bidi="ar-SA"/>
              </w:rPr>
              <w:t>613.402.338</w:t>
            </w:r>
          </w:p>
        </w:tc>
        <w:tc>
          <w:tcPr>
            <w:tcW w:w="1726" w:type="dxa"/>
            <w:vAlign w:val="center"/>
          </w:tcPr>
          <w:p w14:paraId="3A382FD0" w14:textId="61963626" w:rsidR="00C477F6" w:rsidRPr="00252D7B" w:rsidRDefault="00C477F6" w:rsidP="00F15FAD">
            <w:pPr>
              <w:widowControl/>
              <w:autoSpaceDE/>
              <w:autoSpaceDN/>
              <w:spacing w:before="100" w:beforeAutospacing="1" w:after="100" w:afterAutospacing="1"/>
              <w:jc w:val="right"/>
              <w:rPr>
                <w:rFonts w:asciiTheme="minorHAnsi" w:eastAsia="Times New Roman" w:hAnsiTheme="minorHAnsi" w:cstheme="minorHAnsi"/>
                <w:b/>
                <w:bCs/>
                <w:color w:val="000000"/>
                <w:sz w:val="20"/>
                <w:szCs w:val="20"/>
                <w:lang w:eastAsia="pt-BR" w:bidi="ar-SA"/>
              </w:rPr>
            </w:pPr>
            <w:r w:rsidRPr="00252D7B">
              <w:rPr>
                <w:rFonts w:asciiTheme="minorHAnsi" w:eastAsia="Times New Roman" w:hAnsiTheme="minorHAnsi" w:cstheme="minorHAnsi"/>
                <w:b/>
                <w:bCs/>
                <w:color w:val="000000"/>
                <w:sz w:val="20"/>
                <w:szCs w:val="20"/>
                <w:lang w:eastAsia="pt-BR" w:bidi="ar-SA"/>
              </w:rPr>
              <w:t xml:space="preserve">591.947.750 </w:t>
            </w:r>
          </w:p>
        </w:tc>
        <w:tc>
          <w:tcPr>
            <w:tcW w:w="1727" w:type="dxa"/>
            <w:tcBorders>
              <w:right w:val="nil"/>
            </w:tcBorders>
            <w:vAlign w:val="center"/>
          </w:tcPr>
          <w:p w14:paraId="188F194E" w14:textId="5AA84D3C" w:rsidR="00C477F6" w:rsidRPr="00252D7B" w:rsidRDefault="00C477F6" w:rsidP="00F15FAD">
            <w:pPr>
              <w:widowControl/>
              <w:autoSpaceDE/>
              <w:autoSpaceDN/>
              <w:spacing w:before="100" w:beforeAutospacing="1" w:after="100" w:afterAutospacing="1"/>
              <w:jc w:val="right"/>
              <w:rPr>
                <w:rFonts w:asciiTheme="minorHAnsi" w:eastAsia="Times New Roman" w:hAnsiTheme="minorHAnsi" w:cstheme="minorHAnsi"/>
                <w:b/>
                <w:bCs/>
                <w:color w:val="000000"/>
                <w:sz w:val="20"/>
                <w:szCs w:val="20"/>
                <w:lang w:eastAsia="pt-BR" w:bidi="ar-SA"/>
              </w:rPr>
            </w:pPr>
            <w:r w:rsidRPr="00252D7B">
              <w:rPr>
                <w:rFonts w:asciiTheme="minorHAnsi" w:eastAsia="Times New Roman" w:hAnsiTheme="minorHAnsi" w:cstheme="minorHAnsi"/>
                <w:b/>
                <w:bCs/>
                <w:color w:val="000000"/>
                <w:sz w:val="20"/>
                <w:szCs w:val="20"/>
                <w:lang w:eastAsia="pt-BR" w:bidi="ar-SA"/>
              </w:rPr>
              <w:t>308.833.816</w:t>
            </w:r>
          </w:p>
        </w:tc>
      </w:tr>
    </w:tbl>
    <w:p w14:paraId="649376FA" w14:textId="2D0EC3AB" w:rsidR="00FA3E05" w:rsidRPr="00252D7B" w:rsidRDefault="00C71FE5" w:rsidP="00C71FE5">
      <w:pPr>
        <w:pStyle w:val="Legenda"/>
        <w:keepNext/>
        <w:spacing w:after="0"/>
        <w:jc w:val="center"/>
        <w:rPr>
          <w:rFonts w:asciiTheme="minorHAnsi" w:hAnsiTheme="minorHAnsi" w:cstheme="minorHAnsi"/>
          <w:sz w:val="20"/>
          <w:szCs w:val="20"/>
        </w:rPr>
      </w:pPr>
      <w:r w:rsidRPr="00252D7B">
        <w:rPr>
          <w:rFonts w:asciiTheme="minorHAnsi" w:hAnsiTheme="minorHAnsi" w:cstheme="minorHAnsi"/>
          <w:sz w:val="20"/>
          <w:szCs w:val="20"/>
        </w:rPr>
        <w:t>Fonte: Tesouro Gerencial - Legenda * - Inclui benefícios; ** - inclui despesas com sentenças judiciais</w:t>
      </w:r>
    </w:p>
    <w:p w14:paraId="6B0293B2" w14:textId="77777777" w:rsidR="00C71FE5" w:rsidRPr="00252D7B" w:rsidRDefault="00C71FE5" w:rsidP="00600449">
      <w:pPr>
        <w:spacing w:before="120" w:after="120"/>
        <w:jc w:val="both"/>
        <w:rPr>
          <w:rFonts w:asciiTheme="minorHAnsi" w:hAnsiTheme="minorHAnsi" w:cstheme="minorHAnsi"/>
          <w:sz w:val="24"/>
          <w:szCs w:val="24"/>
          <w:lang w:eastAsia="pt-BR"/>
        </w:rPr>
      </w:pPr>
    </w:p>
    <w:p w14:paraId="7AB6FAD3" w14:textId="30D8B555" w:rsidR="00786F39" w:rsidRPr="00252D7B" w:rsidRDefault="00786F39" w:rsidP="00600449">
      <w:pPr>
        <w:spacing w:before="120" w:after="120"/>
        <w:jc w:val="both"/>
        <w:rPr>
          <w:rFonts w:asciiTheme="minorHAnsi" w:hAnsiTheme="minorHAnsi" w:cstheme="minorHAnsi"/>
          <w:sz w:val="24"/>
          <w:szCs w:val="24"/>
          <w:lang w:eastAsia="pt-BR"/>
        </w:rPr>
      </w:pPr>
      <w:r w:rsidRPr="00252D7B">
        <w:rPr>
          <w:rFonts w:asciiTheme="minorHAnsi" w:hAnsiTheme="minorHAnsi" w:cstheme="minorHAnsi"/>
          <w:sz w:val="24"/>
          <w:szCs w:val="24"/>
          <w:lang w:eastAsia="pt-BR"/>
        </w:rPr>
        <w:t>A dotação atualizada do orçamento do exercício de 2021 foi de R$ 613 milhões, valor inferior a R$ 112 Milhões ao consignado no Projeto de Lei proposta Orçamentária Anual, abrangendo R$</w:t>
      </w:r>
      <w:r w:rsidR="00FC68CF">
        <w:rPr>
          <w:rFonts w:asciiTheme="minorHAnsi" w:hAnsiTheme="minorHAnsi" w:cstheme="minorHAnsi"/>
          <w:sz w:val="24"/>
          <w:szCs w:val="24"/>
          <w:lang w:eastAsia="pt-BR"/>
        </w:rPr>
        <w:t xml:space="preserve"> </w:t>
      </w:r>
      <w:r w:rsidRPr="00252D7B">
        <w:rPr>
          <w:rFonts w:asciiTheme="minorHAnsi" w:hAnsiTheme="minorHAnsi" w:cstheme="minorHAnsi"/>
          <w:sz w:val="24"/>
          <w:szCs w:val="24"/>
          <w:lang w:eastAsia="pt-BR"/>
        </w:rPr>
        <w:t>430 Milhões (70 %) para investimentos, R$</w:t>
      </w:r>
      <w:r w:rsidR="00FC68CF">
        <w:rPr>
          <w:rFonts w:asciiTheme="minorHAnsi" w:hAnsiTheme="minorHAnsi" w:cstheme="minorHAnsi"/>
          <w:sz w:val="24"/>
          <w:szCs w:val="24"/>
          <w:lang w:eastAsia="pt-BR"/>
        </w:rPr>
        <w:t xml:space="preserve"> </w:t>
      </w:r>
      <w:r w:rsidRPr="00252D7B">
        <w:rPr>
          <w:rFonts w:asciiTheme="minorHAnsi" w:hAnsiTheme="minorHAnsi" w:cstheme="minorHAnsi"/>
          <w:sz w:val="24"/>
          <w:szCs w:val="24"/>
          <w:lang w:eastAsia="pt-BR"/>
        </w:rPr>
        <w:t>62,6 Milhões para custeio (10 %) e R$</w:t>
      </w:r>
      <w:r w:rsidR="00FC68CF">
        <w:rPr>
          <w:rFonts w:asciiTheme="minorHAnsi" w:hAnsiTheme="minorHAnsi" w:cstheme="minorHAnsi"/>
          <w:sz w:val="24"/>
          <w:szCs w:val="24"/>
          <w:lang w:eastAsia="pt-BR"/>
        </w:rPr>
        <w:t xml:space="preserve"> </w:t>
      </w:r>
      <w:r w:rsidRPr="00252D7B">
        <w:rPr>
          <w:rFonts w:asciiTheme="minorHAnsi" w:hAnsiTheme="minorHAnsi" w:cstheme="minorHAnsi"/>
          <w:sz w:val="24"/>
          <w:szCs w:val="24"/>
          <w:lang w:eastAsia="pt-BR"/>
        </w:rPr>
        <w:t xml:space="preserve">120,7 Milhões (20%) com despesas obrigatórias. </w:t>
      </w:r>
    </w:p>
    <w:p w14:paraId="58C1591A" w14:textId="1F20A651" w:rsidR="00786F39" w:rsidRPr="00252D7B" w:rsidRDefault="00786F39" w:rsidP="00600449">
      <w:pPr>
        <w:spacing w:before="120" w:after="120"/>
        <w:jc w:val="both"/>
        <w:rPr>
          <w:rFonts w:asciiTheme="minorHAnsi" w:hAnsiTheme="minorHAnsi" w:cstheme="minorHAnsi"/>
          <w:sz w:val="24"/>
          <w:szCs w:val="24"/>
          <w:lang w:eastAsia="pt-BR"/>
        </w:rPr>
      </w:pPr>
      <w:r w:rsidRPr="00252D7B">
        <w:rPr>
          <w:rFonts w:asciiTheme="minorHAnsi" w:hAnsiTheme="minorHAnsi" w:cstheme="minorHAnsi"/>
          <w:sz w:val="24"/>
          <w:szCs w:val="24"/>
          <w:lang w:eastAsia="pt-BR"/>
        </w:rPr>
        <w:t>A Valec empenhou R$</w:t>
      </w:r>
      <w:r w:rsidR="00FC68CF">
        <w:rPr>
          <w:rFonts w:asciiTheme="minorHAnsi" w:hAnsiTheme="minorHAnsi" w:cstheme="minorHAnsi"/>
          <w:sz w:val="24"/>
          <w:szCs w:val="24"/>
          <w:lang w:eastAsia="pt-BR"/>
        </w:rPr>
        <w:t xml:space="preserve"> </w:t>
      </w:r>
      <w:r w:rsidRPr="00252D7B">
        <w:rPr>
          <w:rFonts w:asciiTheme="minorHAnsi" w:hAnsiTheme="minorHAnsi" w:cstheme="minorHAnsi"/>
          <w:sz w:val="24"/>
          <w:szCs w:val="24"/>
          <w:lang w:eastAsia="pt-BR"/>
        </w:rPr>
        <w:t>417,8 Milhões relativo aos recursos classificados como investimento, R$</w:t>
      </w:r>
      <w:r w:rsidR="00FC68CF">
        <w:rPr>
          <w:rFonts w:asciiTheme="minorHAnsi" w:hAnsiTheme="minorHAnsi" w:cstheme="minorHAnsi"/>
          <w:sz w:val="24"/>
          <w:szCs w:val="24"/>
          <w:lang w:eastAsia="pt-BR"/>
        </w:rPr>
        <w:t xml:space="preserve"> </w:t>
      </w:r>
      <w:r w:rsidRPr="00252D7B">
        <w:rPr>
          <w:rFonts w:asciiTheme="minorHAnsi" w:hAnsiTheme="minorHAnsi" w:cstheme="minorHAnsi"/>
          <w:sz w:val="24"/>
          <w:szCs w:val="24"/>
          <w:lang w:eastAsia="pt-BR"/>
        </w:rPr>
        <w:t>59,5 Milhões da dotação destinada a outras despesas correntes e realizou pagamentos no montante de R$ 105 milhões com despesas de Pessoal e Encargos Sociais.</w:t>
      </w:r>
    </w:p>
    <w:p w14:paraId="6E4C322A" w14:textId="77777777" w:rsidR="00C71FE5" w:rsidRPr="00252D7B" w:rsidRDefault="00C71FE5" w:rsidP="00600449">
      <w:pPr>
        <w:spacing w:before="120" w:after="120"/>
        <w:jc w:val="both"/>
        <w:rPr>
          <w:rFonts w:asciiTheme="minorHAnsi" w:hAnsiTheme="minorHAnsi" w:cstheme="minorHAnsi"/>
          <w:sz w:val="24"/>
          <w:szCs w:val="24"/>
          <w:lang w:eastAsia="pt-BR"/>
        </w:rPr>
      </w:pPr>
    </w:p>
    <w:p w14:paraId="3D307689" w14:textId="10643B7B" w:rsidR="003278EC" w:rsidRPr="00252D7B" w:rsidRDefault="003278EC" w:rsidP="003278EC">
      <w:pPr>
        <w:pStyle w:val="Legenda"/>
        <w:keepNext/>
        <w:spacing w:after="0"/>
        <w:jc w:val="center"/>
        <w:rPr>
          <w:rFonts w:asciiTheme="minorHAnsi" w:hAnsiTheme="minorHAnsi" w:cstheme="minorHAnsi"/>
          <w:sz w:val="20"/>
          <w:szCs w:val="20"/>
        </w:rPr>
      </w:pPr>
      <w:bookmarkStart w:id="180" w:name="_Toc103680667"/>
      <w:r w:rsidRPr="00252D7B">
        <w:rPr>
          <w:rFonts w:asciiTheme="minorHAnsi" w:hAnsiTheme="minorHAnsi" w:cstheme="minorHAnsi"/>
          <w:sz w:val="20"/>
          <w:szCs w:val="20"/>
        </w:rPr>
        <w:t xml:space="preserve">Tabela </w:t>
      </w:r>
      <w:r w:rsidR="00FA416F" w:rsidRPr="00252D7B">
        <w:rPr>
          <w:rFonts w:asciiTheme="minorHAnsi" w:hAnsiTheme="minorHAnsi" w:cstheme="minorHAnsi"/>
          <w:sz w:val="20"/>
          <w:szCs w:val="20"/>
        </w:rPr>
        <w:fldChar w:fldCharType="begin"/>
      </w:r>
      <w:r w:rsidR="00FA416F" w:rsidRPr="00252D7B">
        <w:rPr>
          <w:rFonts w:asciiTheme="minorHAnsi" w:hAnsiTheme="minorHAnsi" w:cstheme="minorHAnsi"/>
          <w:sz w:val="20"/>
          <w:szCs w:val="20"/>
        </w:rPr>
        <w:instrText xml:space="preserve"> SEQ Tabela \* ARABIC </w:instrText>
      </w:r>
      <w:r w:rsidR="00FA416F"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5</w:t>
      </w:r>
      <w:r w:rsidR="00FA416F" w:rsidRPr="00252D7B">
        <w:rPr>
          <w:rFonts w:asciiTheme="minorHAnsi" w:hAnsiTheme="minorHAnsi" w:cstheme="minorHAnsi"/>
          <w:sz w:val="20"/>
          <w:szCs w:val="20"/>
        </w:rPr>
        <w:fldChar w:fldCharType="end"/>
      </w:r>
      <w:r w:rsidRPr="00252D7B">
        <w:rPr>
          <w:rFonts w:asciiTheme="minorHAnsi" w:hAnsiTheme="minorHAnsi" w:cstheme="minorHAnsi"/>
          <w:sz w:val="20"/>
          <w:szCs w:val="20"/>
        </w:rPr>
        <w:t xml:space="preserve"> </w:t>
      </w:r>
      <w:r w:rsidR="003426B1" w:rsidRPr="00252D7B">
        <w:rPr>
          <w:rFonts w:asciiTheme="minorHAnsi" w:hAnsiTheme="minorHAnsi" w:cstheme="minorHAnsi"/>
          <w:sz w:val="20"/>
          <w:szCs w:val="20"/>
        </w:rPr>
        <w:t>–</w:t>
      </w:r>
      <w:r w:rsidRPr="00252D7B">
        <w:rPr>
          <w:rFonts w:asciiTheme="minorHAnsi" w:hAnsiTheme="minorHAnsi" w:cstheme="minorHAnsi"/>
          <w:sz w:val="20"/>
          <w:szCs w:val="20"/>
        </w:rPr>
        <w:t xml:space="preserve"> Execução de Restos a Pagar em 2021 (R$ 1,00)</w:t>
      </w:r>
      <w:bookmarkEnd w:id="180"/>
    </w:p>
    <w:p w14:paraId="1C54CB40" w14:textId="77777777" w:rsidR="00C71FE5" w:rsidRPr="00252D7B" w:rsidRDefault="00C71FE5" w:rsidP="00C71FE5">
      <w:pPr>
        <w:rPr>
          <w:rFonts w:asciiTheme="minorHAnsi" w:hAnsiTheme="minorHAnsi" w:cstheme="minorHAnsi"/>
        </w:rPr>
      </w:pPr>
    </w:p>
    <w:tbl>
      <w:tblPr>
        <w:tblStyle w:val="Tabelacomgrade"/>
        <w:tblW w:w="9726" w:type="dxa"/>
        <w:jc w:val="center"/>
        <w:tblLook w:val="04A0" w:firstRow="1" w:lastRow="0" w:firstColumn="1" w:lastColumn="0" w:noHBand="0" w:noVBand="1"/>
      </w:tblPr>
      <w:tblGrid>
        <w:gridCol w:w="2547"/>
        <w:gridCol w:w="2393"/>
        <w:gridCol w:w="2393"/>
        <w:gridCol w:w="2393"/>
      </w:tblGrid>
      <w:tr w:rsidR="00C353CE" w:rsidRPr="00252D7B" w14:paraId="6CEFCFB0" w14:textId="77777777" w:rsidTr="00E03684">
        <w:trPr>
          <w:tblHeader/>
          <w:jc w:val="center"/>
        </w:trPr>
        <w:tc>
          <w:tcPr>
            <w:tcW w:w="2547" w:type="dxa"/>
            <w:tcBorders>
              <w:left w:val="nil"/>
            </w:tcBorders>
            <w:shd w:val="clear" w:color="auto" w:fill="D9D9D9" w:themeFill="background1" w:themeFillShade="D9"/>
            <w:vAlign w:val="center"/>
          </w:tcPr>
          <w:p w14:paraId="7D8B993C" w14:textId="77777777" w:rsidR="00C353CE" w:rsidRPr="00E03684" w:rsidRDefault="00C353CE" w:rsidP="00E03684">
            <w:pPr>
              <w:widowControl/>
              <w:autoSpaceDE/>
              <w:autoSpaceDN/>
              <w:jc w:val="center"/>
              <w:rPr>
                <w:rFonts w:asciiTheme="minorHAnsi" w:eastAsia="Times New Roman" w:hAnsiTheme="minorHAnsi" w:cstheme="minorHAnsi"/>
                <w:b/>
                <w:bCs/>
                <w:color w:val="000000"/>
                <w:sz w:val="20"/>
                <w:szCs w:val="20"/>
                <w:lang w:eastAsia="pt-BR" w:bidi="ar-SA"/>
              </w:rPr>
            </w:pPr>
            <w:r w:rsidRPr="00E03684">
              <w:rPr>
                <w:rFonts w:asciiTheme="minorHAnsi" w:eastAsia="Times New Roman" w:hAnsiTheme="minorHAnsi" w:cstheme="minorHAnsi"/>
                <w:b/>
                <w:bCs/>
                <w:color w:val="000000"/>
                <w:sz w:val="20"/>
                <w:szCs w:val="20"/>
                <w:lang w:eastAsia="pt-BR" w:bidi="ar-SA"/>
              </w:rPr>
              <w:t>Grupos de Despesa</w:t>
            </w:r>
          </w:p>
        </w:tc>
        <w:tc>
          <w:tcPr>
            <w:tcW w:w="2393" w:type="dxa"/>
            <w:shd w:val="clear" w:color="auto" w:fill="D9D9D9" w:themeFill="background1" w:themeFillShade="D9"/>
            <w:vAlign w:val="center"/>
          </w:tcPr>
          <w:p w14:paraId="7F2BBA4C" w14:textId="7649FB5E" w:rsidR="00C353CE" w:rsidRPr="00E03684" w:rsidRDefault="00C353CE" w:rsidP="00E03684">
            <w:pPr>
              <w:widowControl/>
              <w:autoSpaceDE/>
              <w:autoSpaceDN/>
              <w:jc w:val="center"/>
              <w:rPr>
                <w:rFonts w:asciiTheme="minorHAnsi" w:eastAsia="Times New Roman" w:hAnsiTheme="minorHAnsi" w:cstheme="minorHAnsi"/>
                <w:b/>
                <w:bCs/>
                <w:color w:val="000000"/>
                <w:sz w:val="20"/>
                <w:szCs w:val="20"/>
                <w:lang w:eastAsia="pt-BR" w:bidi="ar-SA"/>
              </w:rPr>
            </w:pPr>
            <w:r w:rsidRPr="00E03684">
              <w:rPr>
                <w:rFonts w:asciiTheme="minorHAnsi" w:eastAsia="Times New Roman" w:hAnsiTheme="minorHAnsi" w:cstheme="minorHAnsi"/>
                <w:b/>
                <w:bCs/>
                <w:color w:val="000000"/>
                <w:sz w:val="20"/>
                <w:szCs w:val="20"/>
                <w:lang w:eastAsia="pt-BR" w:bidi="ar-SA"/>
              </w:rPr>
              <w:t>Restos a Pagar Inscritos (Processados e Não Processados)</w:t>
            </w:r>
          </w:p>
        </w:tc>
        <w:tc>
          <w:tcPr>
            <w:tcW w:w="2393" w:type="dxa"/>
            <w:shd w:val="clear" w:color="auto" w:fill="D9D9D9" w:themeFill="background1" w:themeFillShade="D9"/>
            <w:vAlign w:val="center"/>
          </w:tcPr>
          <w:p w14:paraId="4B96E122" w14:textId="77777777" w:rsidR="00C353CE" w:rsidRPr="00E03684" w:rsidRDefault="00C353CE" w:rsidP="00E03684">
            <w:pPr>
              <w:jc w:val="center"/>
              <w:rPr>
                <w:rFonts w:asciiTheme="minorHAnsi" w:eastAsia="Times New Roman" w:hAnsiTheme="minorHAnsi" w:cstheme="minorHAnsi"/>
                <w:b/>
                <w:bCs/>
                <w:color w:val="000000"/>
                <w:sz w:val="20"/>
                <w:szCs w:val="20"/>
                <w:lang w:eastAsia="pt-BR" w:bidi="ar-SA"/>
              </w:rPr>
            </w:pPr>
            <w:r w:rsidRPr="00E03684">
              <w:rPr>
                <w:rFonts w:asciiTheme="minorHAnsi" w:eastAsia="Times New Roman" w:hAnsiTheme="minorHAnsi" w:cstheme="minorHAnsi"/>
                <w:b/>
                <w:bCs/>
                <w:color w:val="000000"/>
                <w:sz w:val="20"/>
                <w:szCs w:val="20"/>
                <w:lang w:eastAsia="pt-BR" w:bidi="ar-SA"/>
              </w:rPr>
              <w:t>Dotação Atualizada</w:t>
            </w:r>
          </w:p>
          <w:p w14:paraId="7647A200" w14:textId="77777777" w:rsidR="00C353CE" w:rsidRPr="00E03684" w:rsidRDefault="00C353CE" w:rsidP="00E03684">
            <w:pPr>
              <w:widowControl/>
              <w:autoSpaceDE/>
              <w:autoSpaceDN/>
              <w:jc w:val="center"/>
              <w:rPr>
                <w:rFonts w:asciiTheme="minorHAnsi" w:eastAsia="Times New Roman" w:hAnsiTheme="minorHAnsi" w:cstheme="minorHAnsi"/>
                <w:b/>
                <w:bCs/>
                <w:color w:val="000000"/>
                <w:sz w:val="20"/>
                <w:szCs w:val="20"/>
                <w:lang w:eastAsia="pt-BR" w:bidi="ar-SA"/>
              </w:rPr>
            </w:pPr>
            <w:r w:rsidRPr="00E03684">
              <w:rPr>
                <w:rFonts w:asciiTheme="minorHAnsi" w:eastAsia="Times New Roman" w:hAnsiTheme="minorHAnsi" w:cstheme="minorHAnsi"/>
                <w:b/>
                <w:bCs/>
                <w:color w:val="000000"/>
                <w:sz w:val="20"/>
                <w:szCs w:val="20"/>
                <w:lang w:eastAsia="pt-BR" w:bidi="ar-SA"/>
              </w:rPr>
              <w:t xml:space="preserve">LOA 2021 +/-Créditos </w:t>
            </w:r>
          </w:p>
        </w:tc>
        <w:tc>
          <w:tcPr>
            <w:tcW w:w="2393" w:type="dxa"/>
            <w:tcBorders>
              <w:right w:val="nil"/>
            </w:tcBorders>
            <w:shd w:val="clear" w:color="auto" w:fill="D9D9D9" w:themeFill="background1" w:themeFillShade="D9"/>
            <w:vAlign w:val="center"/>
          </w:tcPr>
          <w:p w14:paraId="351ED33C" w14:textId="77777777" w:rsidR="00C353CE" w:rsidRPr="00E03684" w:rsidRDefault="00C353CE" w:rsidP="00E03684">
            <w:pPr>
              <w:jc w:val="center"/>
              <w:rPr>
                <w:rFonts w:asciiTheme="minorHAnsi" w:eastAsia="Times New Roman" w:hAnsiTheme="minorHAnsi" w:cstheme="minorHAnsi"/>
                <w:b/>
                <w:bCs/>
                <w:color w:val="000000"/>
                <w:sz w:val="20"/>
                <w:szCs w:val="20"/>
                <w:lang w:eastAsia="pt-BR" w:bidi="ar-SA"/>
              </w:rPr>
            </w:pPr>
            <w:r w:rsidRPr="00E03684">
              <w:rPr>
                <w:rFonts w:asciiTheme="minorHAnsi" w:eastAsia="Times New Roman" w:hAnsiTheme="minorHAnsi" w:cstheme="minorHAnsi"/>
                <w:b/>
                <w:bCs/>
                <w:color w:val="000000"/>
                <w:sz w:val="20"/>
                <w:szCs w:val="20"/>
                <w:lang w:eastAsia="pt-BR" w:bidi="ar-SA"/>
              </w:rPr>
              <w:t>Despesas</w:t>
            </w:r>
          </w:p>
          <w:p w14:paraId="7A9A7ABD" w14:textId="77777777" w:rsidR="00C353CE" w:rsidRPr="00E03684" w:rsidRDefault="00C353CE" w:rsidP="00E03684">
            <w:pPr>
              <w:widowControl/>
              <w:autoSpaceDE/>
              <w:autoSpaceDN/>
              <w:jc w:val="center"/>
              <w:rPr>
                <w:rFonts w:asciiTheme="minorHAnsi" w:eastAsia="Times New Roman" w:hAnsiTheme="minorHAnsi" w:cstheme="minorHAnsi"/>
                <w:b/>
                <w:bCs/>
                <w:color w:val="000000"/>
                <w:sz w:val="20"/>
                <w:szCs w:val="20"/>
                <w:lang w:eastAsia="pt-BR" w:bidi="ar-SA"/>
              </w:rPr>
            </w:pPr>
            <w:r w:rsidRPr="00E03684">
              <w:rPr>
                <w:rFonts w:asciiTheme="minorHAnsi" w:eastAsia="Times New Roman" w:hAnsiTheme="minorHAnsi" w:cstheme="minorHAnsi"/>
                <w:b/>
                <w:bCs/>
                <w:color w:val="000000"/>
                <w:sz w:val="20"/>
                <w:szCs w:val="20"/>
                <w:lang w:eastAsia="pt-BR" w:bidi="ar-SA"/>
              </w:rPr>
              <w:t>Empenhadas</w:t>
            </w:r>
          </w:p>
        </w:tc>
      </w:tr>
      <w:tr w:rsidR="003278EC" w:rsidRPr="00252D7B" w14:paraId="3845727F" w14:textId="77777777" w:rsidTr="00E03684">
        <w:trPr>
          <w:jc w:val="center"/>
        </w:trPr>
        <w:tc>
          <w:tcPr>
            <w:tcW w:w="2547" w:type="dxa"/>
            <w:tcBorders>
              <w:left w:val="nil"/>
            </w:tcBorders>
            <w:vAlign w:val="center"/>
          </w:tcPr>
          <w:p w14:paraId="46FF81FB" w14:textId="77777777" w:rsidR="003278EC" w:rsidRPr="00E03684" w:rsidRDefault="003278EC" w:rsidP="003278EC">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 xml:space="preserve">Investimentos </w:t>
            </w:r>
          </w:p>
        </w:tc>
        <w:tc>
          <w:tcPr>
            <w:tcW w:w="2393" w:type="dxa"/>
          </w:tcPr>
          <w:p w14:paraId="532A5B84" w14:textId="318D7D60" w:rsidR="003278EC" w:rsidRPr="00E03684" w:rsidRDefault="003278EC" w:rsidP="003278E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hAnsiTheme="minorHAnsi" w:cstheme="minorHAnsi"/>
                <w:sz w:val="20"/>
                <w:szCs w:val="20"/>
              </w:rPr>
              <w:t>270.967.180</w:t>
            </w:r>
          </w:p>
        </w:tc>
        <w:tc>
          <w:tcPr>
            <w:tcW w:w="2393" w:type="dxa"/>
          </w:tcPr>
          <w:p w14:paraId="1B05AEEC" w14:textId="1B0280F2" w:rsidR="003278EC" w:rsidRPr="00E03684" w:rsidRDefault="003278EC" w:rsidP="003278E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hAnsiTheme="minorHAnsi" w:cstheme="minorHAnsi"/>
                <w:sz w:val="20"/>
                <w:szCs w:val="20"/>
              </w:rPr>
              <w:t>12.424.112</w:t>
            </w:r>
          </w:p>
        </w:tc>
        <w:tc>
          <w:tcPr>
            <w:tcW w:w="2393" w:type="dxa"/>
            <w:tcBorders>
              <w:right w:val="nil"/>
            </w:tcBorders>
          </w:tcPr>
          <w:p w14:paraId="441450A7" w14:textId="5002D21C" w:rsidR="003278EC" w:rsidRPr="00E03684" w:rsidRDefault="003278EC" w:rsidP="003278E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hAnsiTheme="minorHAnsi" w:cstheme="minorHAnsi"/>
                <w:sz w:val="20"/>
                <w:szCs w:val="20"/>
              </w:rPr>
              <w:t xml:space="preserve">203.960.233 </w:t>
            </w:r>
          </w:p>
        </w:tc>
      </w:tr>
      <w:tr w:rsidR="003278EC" w:rsidRPr="00252D7B" w14:paraId="246037EA" w14:textId="77777777" w:rsidTr="00E03684">
        <w:trPr>
          <w:jc w:val="center"/>
        </w:trPr>
        <w:tc>
          <w:tcPr>
            <w:tcW w:w="2547" w:type="dxa"/>
            <w:tcBorders>
              <w:left w:val="nil"/>
            </w:tcBorders>
            <w:vAlign w:val="center"/>
          </w:tcPr>
          <w:p w14:paraId="5B464934" w14:textId="2A723231" w:rsidR="003278EC" w:rsidRPr="00E03684" w:rsidRDefault="003278EC" w:rsidP="003278EC">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Outras Despesas Correntes</w:t>
            </w:r>
          </w:p>
        </w:tc>
        <w:tc>
          <w:tcPr>
            <w:tcW w:w="2393" w:type="dxa"/>
          </w:tcPr>
          <w:p w14:paraId="32732C47" w14:textId="0D222472" w:rsidR="003278EC" w:rsidRPr="00E03684" w:rsidRDefault="003278EC" w:rsidP="003278E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hAnsiTheme="minorHAnsi" w:cstheme="minorHAnsi"/>
                <w:sz w:val="20"/>
                <w:szCs w:val="20"/>
              </w:rPr>
              <w:t>26.097.955</w:t>
            </w:r>
          </w:p>
        </w:tc>
        <w:tc>
          <w:tcPr>
            <w:tcW w:w="2393" w:type="dxa"/>
          </w:tcPr>
          <w:p w14:paraId="07767836" w14:textId="43492F06" w:rsidR="003278EC" w:rsidRPr="00E03684" w:rsidRDefault="003278EC" w:rsidP="003278E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hAnsiTheme="minorHAnsi" w:cstheme="minorHAnsi"/>
                <w:sz w:val="20"/>
                <w:szCs w:val="20"/>
              </w:rPr>
              <w:t>13.588.015</w:t>
            </w:r>
          </w:p>
        </w:tc>
        <w:tc>
          <w:tcPr>
            <w:tcW w:w="2393" w:type="dxa"/>
            <w:tcBorders>
              <w:right w:val="nil"/>
            </w:tcBorders>
          </w:tcPr>
          <w:p w14:paraId="66EE6FFB" w14:textId="65B843DE" w:rsidR="003278EC" w:rsidRPr="00E03684" w:rsidRDefault="003278EC" w:rsidP="003278E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hAnsiTheme="minorHAnsi" w:cstheme="minorHAnsi"/>
                <w:sz w:val="20"/>
                <w:szCs w:val="20"/>
              </w:rPr>
              <w:t xml:space="preserve">10.699.248 </w:t>
            </w:r>
          </w:p>
        </w:tc>
      </w:tr>
      <w:tr w:rsidR="003278EC" w:rsidRPr="00252D7B" w14:paraId="0755BBC0" w14:textId="77777777" w:rsidTr="00E03684">
        <w:trPr>
          <w:jc w:val="center"/>
        </w:trPr>
        <w:tc>
          <w:tcPr>
            <w:tcW w:w="2547" w:type="dxa"/>
            <w:tcBorders>
              <w:left w:val="nil"/>
            </w:tcBorders>
            <w:vAlign w:val="center"/>
          </w:tcPr>
          <w:p w14:paraId="1A4DCDF3" w14:textId="621E3F32" w:rsidR="003278EC" w:rsidRPr="00E03684" w:rsidRDefault="003278EC" w:rsidP="003278EC">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Pessoal e Encargos Sociais</w:t>
            </w:r>
          </w:p>
        </w:tc>
        <w:tc>
          <w:tcPr>
            <w:tcW w:w="2393" w:type="dxa"/>
          </w:tcPr>
          <w:p w14:paraId="35E290C2" w14:textId="3A01B0DB" w:rsidR="003278EC" w:rsidRPr="00E03684" w:rsidRDefault="003278EC" w:rsidP="003278E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hAnsiTheme="minorHAnsi" w:cstheme="minorHAnsi"/>
                <w:sz w:val="20"/>
                <w:szCs w:val="20"/>
              </w:rPr>
              <w:t>6.024.282</w:t>
            </w:r>
          </w:p>
        </w:tc>
        <w:tc>
          <w:tcPr>
            <w:tcW w:w="2393" w:type="dxa"/>
          </w:tcPr>
          <w:p w14:paraId="4FD84621" w14:textId="5AAEFCDE" w:rsidR="003278EC" w:rsidRPr="00E03684" w:rsidRDefault="003278EC" w:rsidP="003278E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hAnsiTheme="minorHAnsi" w:cstheme="minorHAnsi"/>
                <w:sz w:val="20"/>
                <w:szCs w:val="20"/>
              </w:rPr>
              <w:t>829</w:t>
            </w:r>
          </w:p>
        </w:tc>
        <w:tc>
          <w:tcPr>
            <w:tcW w:w="2393" w:type="dxa"/>
            <w:tcBorders>
              <w:right w:val="nil"/>
            </w:tcBorders>
          </w:tcPr>
          <w:p w14:paraId="37075028" w14:textId="3A235653" w:rsidR="003278EC" w:rsidRPr="00E03684" w:rsidRDefault="003278EC" w:rsidP="003278E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hAnsiTheme="minorHAnsi" w:cstheme="minorHAnsi"/>
                <w:sz w:val="20"/>
                <w:szCs w:val="20"/>
              </w:rPr>
              <w:t xml:space="preserve">6.023.453 </w:t>
            </w:r>
          </w:p>
        </w:tc>
      </w:tr>
      <w:tr w:rsidR="003278EC" w:rsidRPr="00252D7B" w14:paraId="4884D2B5" w14:textId="77777777" w:rsidTr="00E03684">
        <w:trPr>
          <w:jc w:val="center"/>
        </w:trPr>
        <w:tc>
          <w:tcPr>
            <w:tcW w:w="2547" w:type="dxa"/>
            <w:tcBorders>
              <w:left w:val="nil"/>
            </w:tcBorders>
            <w:vAlign w:val="center"/>
          </w:tcPr>
          <w:p w14:paraId="7F105929" w14:textId="77777777" w:rsidR="003278EC" w:rsidRPr="00E03684" w:rsidRDefault="003278EC" w:rsidP="003278EC">
            <w:pPr>
              <w:widowControl/>
              <w:autoSpaceDE/>
              <w:autoSpaceDN/>
              <w:spacing w:before="100" w:beforeAutospacing="1" w:after="100" w:afterAutospacing="1"/>
              <w:rPr>
                <w:rFonts w:asciiTheme="minorHAnsi" w:eastAsia="Times New Roman" w:hAnsiTheme="minorHAnsi" w:cstheme="minorHAnsi"/>
                <w:b/>
                <w:bCs/>
                <w:color w:val="000000"/>
                <w:sz w:val="20"/>
                <w:szCs w:val="20"/>
                <w:lang w:eastAsia="pt-BR" w:bidi="ar-SA"/>
              </w:rPr>
            </w:pPr>
            <w:r w:rsidRPr="00E03684">
              <w:rPr>
                <w:rFonts w:asciiTheme="minorHAnsi" w:eastAsia="Times New Roman" w:hAnsiTheme="minorHAnsi" w:cstheme="minorHAnsi"/>
                <w:b/>
                <w:bCs/>
                <w:color w:val="000000"/>
                <w:sz w:val="20"/>
                <w:szCs w:val="20"/>
                <w:lang w:eastAsia="pt-BR" w:bidi="ar-SA"/>
              </w:rPr>
              <w:t>Total</w:t>
            </w:r>
          </w:p>
        </w:tc>
        <w:tc>
          <w:tcPr>
            <w:tcW w:w="2393" w:type="dxa"/>
          </w:tcPr>
          <w:p w14:paraId="313984BD" w14:textId="34A1720C" w:rsidR="003278EC" w:rsidRPr="00E03684" w:rsidRDefault="003278EC" w:rsidP="003278EC">
            <w:pPr>
              <w:widowControl/>
              <w:autoSpaceDE/>
              <w:autoSpaceDN/>
              <w:spacing w:before="100" w:beforeAutospacing="1" w:after="100" w:afterAutospacing="1"/>
              <w:jc w:val="right"/>
              <w:rPr>
                <w:rFonts w:asciiTheme="minorHAnsi" w:eastAsia="Times New Roman" w:hAnsiTheme="minorHAnsi" w:cstheme="minorHAnsi"/>
                <w:b/>
                <w:bCs/>
                <w:color w:val="000000"/>
                <w:sz w:val="20"/>
                <w:szCs w:val="20"/>
                <w:lang w:eastAsia="pt-BR" w:bidi="ar-SA"/>
              </w:rPr>
            </w:pPr>
            <w:r w:rsidRPr="00E03684">
              <w:rPr>
                <w:rFonts w:asciiTheme="minorHAnsi" w:hAnsiTheme="minorHAnsi" w:cstheme="minorHAnsi"/>
                <w:b/>
                <w:bCs/>
                <w:sz w:val="20"/>
                <w:szCs w:val="20"/>
              </w:rPr>
              <w:t>303.089.417</w:t>
            </w:r>
          </w:p>
        </w:tc>
        <w:tc>
          <w:tcPr>
            <w:tcW w:w="2393" w:type="dxa"/>
          </w:tcPr>
          <w:p w14:paraId="06A61078" w14:textId="2A8A8DA5" w:rsidR="003278EC" w:rsidRPr="00E03684" w:rsidRDefault="003278EC" w:rsidP="003278EC">
            <w:pPr>
              <w:widowControl/>
              <w:autoSpaceDE/>
              <w:autoSpaceDN/>
              <w:spacing w:before="100" w:beforeAutospacing="1" w:after="100" w:afterAutospacing="1"/>
              <w:jc w:val="right"/>
              <w:rPr>
                <w:rFonts w:asciiTheme="minorHAnsi" w:eastAsia="Times New Roman" w:hAnsiTheme="minorHAnsi" w:cstheme="minorHAnsi"/>
                <w:b/>
                <w:bCs/>
                <w:color w:val="000000"/>
                <w:sz w:val="20"/>
                <w:szCs w:val="20"/>
                <w:lang w:eastAsia="pt-BR" w:bidi="ar-SA"/>
              </w:rPr>
            </w:pPr>
            <w:r w:rsidRPr="00E03684">
              <w:rPr>
                <w:rFonts w:asciiTheme="minorHAnsi" w:hAnsiTheme="minorHAnsi" w:cstheme="minorHAnsi"/>
                <w:b/>
                <w:bCs/>
                <w:sz w:val="20"/>
                <w:szCs w:val="20"/>
              </w:rPr>
              <w:t>26.012.956</w:t>
            </w:r>
          </w:p>
        </w:tc>
        <w:tc>
          <w:tcPr>
            <w:tcW w:w="2393" w:type="dxa"/>
            <w:tcBorders>
              <w:right w:val="nil"/>
            </w:tcBorders>
          </w:tcPr>
          <w:p w14:paraId="2BD27BD9" w14:textId="6E17D6C0" w:rsidR="003278EC" w:rsidRPr="00E03684" w:rsidRDefault="003278EC" w:rsidP="003278EC">
            <w:pPr>
              <w:widowControl/>
              <w:autoSpaceDE/>
              <w:autoSpaceDN/>
              <w:spacing w:before="100" w:beforeAutospacing="1" w:after="100" w:afterAutospacing="1"/>
              <w:jc w:val="right"/>
              <w:rPr>
                <w:rFonts w:asciiTheme="minorHAnsi" w:eastAsia="Times New Roman" w:hAnsiTheme="minorHAnsi" w:cstheme="minorHAnsi"/>
                <w:b/>
                <w:bCs/>
                <w:color w:val="000000"/>
                <w:sz w:val="20"/>
                <w:szCs w:val="20"/>
                <w:lang w:eastAsia="pt-BR" w:bidi="ar-SA"/>
              </w:rPr>
            </w:pPr>
            <w:r w:rsidRPr="00E03684">
              <w:rPr>
                <w:rFonts w:asciiTheme="minorHAnsi" w:hAnsiTheme="minorHAnsi" w:cstheme="minorHAnsi"/>
                <w:b/>
                <w:bCs/>
                <w:sz w:val="20"/>
                <w:szCs w:val="20"/>
              </w:rPr>
              <w:t xml:space="preserve">220.682.935 </w:t>
            </w:r>
          </w:p>
        </w:tc>
      </w:tr>
    </w:tbl>
    <w:p w14:paraId="4C12852B" w14:textId="7C061483" w:rsidR="00C353CE" w:rsidRPr="00252D7B" w:rsidRDefault="00C71FE5" w:rsidP="00C71FE5">
      <w:pPr>
        <w:pStyle w:val="Legenda"/>
        <w:keepNext/>
        <w:spacing w:after="0"/>
        <w:jc w:val="center"/>
        <w:rPr>
          <w:rFonts w:asciiTheme="minorHAnsi" w:hAnsiTheme="minorHAnsi" w:cstheme="minorHAnsi"/>
          <w:sz w:val="20"/>
          <w:szCs w:val="20"/>
        </w:rPr>
      </w:pPr>
      <w:r w:rsidRPr="00252D7B">
        <w:rPr>
          <w:rFonts w:asciiTheme="minorHAnsi" w:hAnsiTheme="minorHAnsi" w:cstheme="minorHAnsi"/>
          <w:sz w:val="20"/>
          <w:szCs w:val="20"/>
        </w:rPr>
        <w:t>Fonte: Tesouro Gerencial</w:t>
      </w:r>
    </w:p>
    <w:p w14:paraId="36E1A6A7" w14:textId="77777777" w:rsidR="00C71FE5" w:rsidRPr="00252D7B" w:rsidRDefault="00C71FE5" w:rsidP="00600449">
      <w:pPr>
        <w:spacing w:before="120" w:after="120"/>
        <w:jc w:val="both"/>
        <w:rPr>
          <w:rFonts w:asciiTheme="minorHAnsi" w:hAnsiTheme="minorHAnsi" w:cstheme="minorHAnsi"/>
          <w:sz w:val="24"/>
          <w:szCs w:val="24"/>
          <w:lang w:eastAsia="pt-BR"/>
        </w:rPr>
      </w:pPr>
    </w:p>
    <w:p w14:paraId="0FC6270F" w14:textId="6C43BB7B" w:rsidR="00786F39" w:rsidRPr="00252D7B" w:rsidRDefault="00786F39" w:rsidP="00600449">
      <w:pPr>
        <w:spacing w:before="120" w:after="120"/>
        <w:jc w:val="both"/>
        <w:rPr>
          <w:rFonts w:asciiTheme="minorHAnsi" w:hAnsiTheme="minorHAnsi" w:cstheme="minorHAnsi"/>
          <w:sz w:val="24"/>
          <w:szCs w:val="24"/>
          <w:lang w:eastAsia="pt-BR"/>
        </w:rPr>
      </w:pPr>
      <w:r w:rsidRPr="00252D7B">
        <w:rPr>
          <w:rFonts w:asciiTheme="minorHAnsi" w:hAnsiTheme="minorHAnsi" w:cstheme="minorHAnsi"/>
          <w:sz w:val="24"/>
          <w:szCs w:val="24"/>
          <w:lang w:eastAsia="pt-BR"/>
        </w:rPr>
        <w:t xml:space="preserve">A </w:t>
      </w:r>
      <w:r w:rsidR="00610C91" w:rsidRPr="00252D7B">
        <w:rPr>
          <w:rFonts w:asciiTheme="minorHAnsi" w:hAnsiTheme="minorHAnsi" w:cstheme="minorHAnsi"/>
          <w:sz w:val="24"/>
          <w:szCs w:val="24"/>
          <w:lang w:eastAsia="pt-BR"/>
        </w:rPr>
        <w:t>Valec</w:t>
      </w:r>
      <w:r w:rsidRPr="00252D7B">
        <w:rPr>
          <w:rFonts w:asciiTheme="minorHAnsi" w:hAnsiTheme="minorHAnsi" w:cstheme="minorHAnsi"/>
          <w:sz w:val="24"/>
          <w:szCs w:val="24"/>
          <w:lang w:eastAsia="pt-BR"/>
        </w:rPr>
        <w:t xml:space="preserve"> no ano de 2021 contou com R$</w:t>
      </w:r>
      <w:r w:rsidR="008B2030">
        <w:rPr>
          <w:rFonts w:asciiTheme="minorHAnsi" w:hAnsiTheme="minorHAnsi" w:cstheme="minorHAnsi"/>
          <w:sz w:val="24"/>
          <w:szCs w:val="24"/>
          <w:lang w:eastAsia="pt-BR"/>
        </w:rPr>
        <w:t xml:space="preserve"> </w:t>
      </w:r>
      <w:r w:rsidRPr="00252D7B">
        <w:rPr>
          <w:rFonts w:asciiTheme="minorHAnsi" w:hAnsiTheme="minorHAnsi" w:cstheme="minorHAnsi"/>
          <w:sz w:val="24"/>
          <w:szCs w:val="24"/>
          <w:lang w:eastAsia="pt-BR"/>
        </w:rPr>
        <w:t>303 Milhões em restos a pagar inscrito e reinscrito. Ao longo de 2021 foram bloqueados/cancelados R$</w:t>
      </w:r>
      <w:r w:rsidR="008B2030">
        <w:rPr>
          <w:rFonts w:asciiTheme="minorHAnsi" w:hAnsiTheme="minorHAnsi" w:cstheme="minorHAnsi"/>
          <w:sz w:val="24"/>
          <w:szCs w:val="24"/>
          <w:lang w:eastAsia="pt-BR"/>
        </w:rPr>
        <w:t xml:space="preserve"> </w:t>
      </w:r>
      <w:r w:rsidRPr="00252D7B">
        <w:rPr>
          <w:rFonts w:asciiTheme="minorHAnsi" w:hAnsiTheme="minorHAnsi" w:cstheme="minorHAnsi"/>
          <w:sz w:val="24"/>
          <w:szCs w:val="24"/>
          <w:lang w:eastAsia="pt-BR"/>
        </w:rPr>
        <w:t>26,0 Milhões e pagos R$</w:t>
      </w:r>
      <w:r w:rsidR="008B2030">
        <w:rPr>
          <w:rFonts w:asciiTheme="minorHAnsi" w:hAnsiTheme="minorHAnsi" w:cstheme="minorHAnsi"/>
          <w:sz w:val="24"/>
          <w:szCs w:val="24"/>
          <w:lang w:eastAsia="pt-BR"/>
        </w:rPr>
        <w:t xml:space="preserve"> </w:t>
      </w:r>
      <w:r w:rsidRPr="00252D7B">
        <w:rPr>
          <w:rFonts w:asciiTheme="minorHAnsi" w:hAnsiTheme="minorHAnsi" w:cstheme="minorHAnsi"/>
          <w:sz w:val="24"/>
          <w:szCs w:val="24"/>
          <w:lang w:eastAsia="pt-BR"/>
        </w:rPr>
        <w:t xml:space="preserve">220,7 Milhões. </w:t>
      </w:r>
    </w:p>
    <w:p w14:paraId="3FD5275E" w14:textId="500C5E5D" w:rsidR="00786F39" w:rsidRPr="00252D7B" w:rsidRDefault="00786F39" w:rsidP="00600449">
      <w:pPr>
        <w:spacing w:before="120" w:after="120"/>
        <w:jc w:val="both"/>
        <w:rPr>
          <w:rFonts w:asciiTheme="minorHAnsi" w:hAnsiTheme="minorHAnsi" w:cstheme="minorHAnsi"/>
          <w:sz w:val="24"/>
          <w:szCs w:val="24"/>
          <w:lang w:eastAsia="pt-BR"/>
        </w:rPr>
      </w:pPr>
      <w:r w:rsidRPr="00252D7B">
        <w:rPr>
          <w:rFonts w:asciiTheme="minorHAnsi" w:hAnsiTheme="minorHAnsi" w:cstheme="minorHAnsi"/>
          <w:sz w:val="24"/>
          <w:szCs w:val="24"/>
          <w:lang w:eastAsia="pt-BR"/>
        </w:rPr>
        <w:t>O maior volume de restos a pagar inscrito e reinscritos foram destinados à realização das atividades de construção de ferrovias, com R$</w:t>
      </w:r>
      <w:r w:rsidR="00E803E4">
        <w:rPr>
          <w:rFonts w:asciiTheme="minorHAnsi" w:hAnsiTheme="minorHAnsi" w:cstheme="minorHAnsi"/>
          <w:sz w:val="24"/>
          <w:szCs w:val="24"/>
          <w:lang w:eastAsia="pt-BR"/>
        </w:rPr>
        <w:t xml:space="preserve"> </w:t>
      </w:r>
      <w:r w:rsidRPr="00252D7B">
        <w:rPr>
          <w:rFonts w:asciiTheme="minorHAnsi" w:hAnsiTheme="minorHAnsi" w:cstheme="minorHAnsi"/>
          <w:sz w:val="24"/>
          <w:szCs w:val="24"/>
          <w:lang w:eastAsia="pt-BR"/>
        </w:rPr>
        <w:t>180,9 Milhões, Desapropriação e Meio Ambiente com R$</w:t>
      </w:r>
      <w:r w:rsidR="00E803E4">
        <w:rPr>
          <w:rFonts w:asciiTheme="minorHAnsi" w:hAnsiTheme="minorHAnsi" w:cstheme="minorHAnsi"/>
          <w:sz w:val="24"/>
          <w:szCs w:val="24"/>
          <w:lang w:eastAsia="pt-BR"/>
        </w:rPr>
        <w:t xml:space="preserve"> </w:t>
      </w:r>
      <w:r w:rsidRPr="00252D7B">
        <w:rPr>
          <w:rFonts w:asciiTheme="minorHAnsi" w:hAnsiTheme="minorHAnsi" w:cstheme="minorHAnsi"/>
          <w:sz w:val="24"/>
          <w:szCs w:val="24"/>
          <w:lang w:eastAsia="pt-BR"/>
        </w:rPr>
        <w:t>73,2 Milhões e R$</w:t>
      </w:r>
      <w:r w:rsidR="00E803E4">
        <w:rPr>
          <w:rFonts w:asciiTheme="minorHAnsi" w:hAnsiTheme="minorHAnsi" w:cstheme="minorHAnsi"/>
          <w:sz w:val="24"/>
          <w:szCs w:val="24"/>
          <w:lang w:eastAsia="pt-BR"/>
        </w:rPr>
        <w:t xml:space="preserve"> </w:t>
      </w:r>
      <w:r w:rsidRPr="00252D7B">
        <w:rPr>
          <w:rFonts w:asciiTheme="minorHAnsi" w:hAnsiTheme="minorHAnsi" w:cstheme="minorHAnsi"/>
          <w:sz w:val="24"/>
          <w:szCs w:val="24"/>
          <w:lang w:eastAsia="pt-BR"/>
        </w:rPr>
        <w:t>1,9 Milhões destinados a tecnologia da informação.</w:t>
      </w:r>
    </w:p>
    <w:bookmarkEnd w:id="179"/>
    <w:p w14:paraId="6F540E79" w14:textId="77777777" w:rsidR="00786F39" w:rsidRPr="00252D7B" w:rsidRDefault="00786F39" w:rsidP="00786F39">
      <w:pPr>
        <w:spacing w:before="120" w:after="120"/>
        <w:rPr>
          <w:rFonts w:asciiTheme="minorHAnsi" w:hAnsiTheme="minorHAnsi" w:cstheme="minorHAnsi"/>
        </w:rPr>
      </w:pPr>
    </w:p>
    <w:p w14:paraId="1F2CAACA" w14:textId="77777777" w:rsidR="00C71FE5" w:rsidRPr="00252D7B" w:rsidRDefault="00C71FE5" w:rsidP="00786F39">
      <w:pPr>
        <w:spacing w:before="120" w:after="120"/>
        <w:rPr>
          <w:rFonts w:asciiTheme="minorHAnsi" w:hAnsiTheme="minorHAnsi" w:cstheme="minorHAnsi"/>
        </w:rPr>
      </w:pPr>
    </w:p>
    <w:p w14:paraId="274997C6" w14:textId="531AB6AC" w:rsidR="00806F29" w:rsidRPr="00252D7B" w:rsidRDefault="00806F29">
      <w:pPr>
        <w:widowControl/>
        <w:autoSpaceDE/>
        <w:autoSpaceDN/>
        <w:spacing w:after="160" w:line="259" w:lineRule="auto"/>
        <w:rPr>
          <w:rFonts w:asciiTheme="minorHAnsi" w:hAnsiTheme="minorHAnsi" w:cstheme="minorHAnsi"/>
        </w:rPr>
      </w:pPr>
      <w:r w:rsidRPr="00252D7B">
        <w:rPr>
          <w:rFonts w:asciiTheme="minorHAnsi" w:hAnsiTheme="minorHAnsi" w:cstheme="minorHAnsi"/>
        </w:rPr>
        <w:br w:type="page"/>
      </w:r>
    </w:p>
    <w:p w14:paraId="06BC232F" w14:textId="77777777" w:rsidR="00786F39" w:rsidRPr="00252D7B" w:rsidRDefault="00786F39" w:rsidP="00786F39">
      <w:pPr>
        <w:pStyle w:val="Ttulo3"/>
        <w:rPr>
          <w:rFonts w:asciiTheme="minorHAnsi" w:hAnsiTheme="minorHAnsi" w:cstheme="minorHAnsi"/>
        </w:rPr>
      </w:pPr>
      <w:bookmarkStart w:id="181" w:name="_Toc80785728"/>
      <w:bookmarkStart w:id="182" w:name="_Toc95906791"/>
      <w:bookmarkStart w:id="183" w:name="_Toc103680539"/>
      <w:r w:rsidRPr="00252D7B">
        <w:rPr>
          <w:rFonts w:asciiTheme="minorHAnsi" w:hAnsiTheme="minorHAnsi" w:cstheme="minorHAnsi"/>
        </w:rPr>
        <w:lastRenderedPageBreak/>
        <w:t>Execução do orçamento por categoria da despesa</w:t>
      </w:r>
      <w:bookmarkEnd w:id="181"/>
      <w:bookmarkEnd w:id="182"/>
      <w:bookmarkEnd w:id="183"/>
    </w:p>
    <w:p w14:paraId="48C4ECB5" w14:textId="77777777" w:rsidR="00F876C9" w:rsidRPr="00252D7B" w:rsidRDefault="00F876C9" w:rsidP="009B74DE">
      <w:pPr>
        <w:jc w:val="both"/>
        <w:rPr>
          <w:rFonts w:asciiTheme="minorHAnsi" w:hAnsiTheme="minorHAnsi" w:cstheme="minorHAnsi"/>
          <w:sz w:val="20"/>
          <w:szCs w:val="20"/>
        </w:rPr>
      </w:pPr>
    </w:p>
    <w:p w14:paraId="7A9E72D9" w14:textId="77777777" w:rsidR="00786F39" w:rsidRPr="00252D7B" w:rsidRDefault="00786F39" w:rsidP="00786F39">
      <w:pPr>
        <w:pStyle w:val="Ttulo4"/>
        <w:rPr>
          <w:rFonts w:asciiTheme="minorHAnsi" w:hAnsiTheme="minorHAnsi" w:cstheme="minorHAnsi"/>
        </w:rPr>
      </w:pPr>
      <w:bookmarkStart w:id="184" w:name="_Toc80785729"/>
      <w:bookmarkStart w:id="185" w:name="_Toc103680540"/>
      <w:r w:rsidRPr="00252D7B">
        <w:rPr>
          <w:rFonts w:asciiTheme="minorHAnsi" w:hAnsiTheme="minorHAnsi" w:cstheme="minorHAnsi"/>
        </w:rPr>
        <w:t>Pessoal, encargos e benefícios e indenizações trabalhistas (judicial).</w:t>
      </w:r>
      <w:bookmarkEnd w:id="184"/>
      <w:bookmarkEnd w:id="185"/>
    </w:p>
    <w:p w14:paraId="2BA8F88D" w14:textId="77777777" w:rsidR="00786F39" w:rsidRPr="00252D7B" w:rsidRDefault="00786F39" w:rsidP="009B74DE">
      <w:pPr>
        <w:jc w:val="both"/>
        <w:rPr>
          <w:rFonts w:asciiTheme="minorHAnsi" w:hAnsiTheme="minorHAnsi" w:cstheme="minorHAnsi"/>
          <w:sz w:val="20"/>
          <w:szCs w:val="20"/>
        </w:rPr>
      </w:pPr>
      <w:bookmarkStart w:id="186" w:name="_Toc94012621"/>
    </w:p>
    <w:p w14:paraId="3DE8F63A" w14:textId="19C25D04" w:rsidR="003426B1" w:rsidRPr="00252D7B" w:rsidRDefault="003426B1" w:rsidP="0066449F">
      <w:pPr>
        <w:pStyle w:val="Legenda"/>
        <w:keepNext/>
        <w:spacing w:after="0"/>
        <w:jc w:val="center"/>
        <w:rPr>
          <w:rFonts w:asciiTheme="minorHAnsi" w:hAnsiTheme="minorHAnsi" w:cstheme="minorHAnsi"/>
          <w:sz w:val="20"/>
          <w:szCs w:val="20"/>
        </w:rPr>
      </w:pPr>
      <w:bookmarkStart w:id="187" w:name="_Toc103680668"/>
      <w:r w:rsidRPr="00252D7B">
        <w:rPr>
          <w:rFonts w:asciiTheme="minorHAnsi" w:hAnsiTheme="minorHAnsi" w:cstheme="minorHAnsi"/>
          <w:sz w:val="20"/>
          <w:szCs w:val="20"/>
        </w:rPr>
        <w:t xml:space="preserve">Tabela </w:t>
      </w:r>
      <w:r w:rsidR="00FA416F" w:rsidRPr="00252D7B">
        <w:rPr>
          <w:rFonts w:asciiTheme="minorHAnsi" w:hAnsiTheme="minorHAnsi" w:cstheme="minorHAnsi"/>
          <w:sz w:val="20"/>
          <w:szCs w:val="20"/>
        </w:rPr>
        <w:fldChar w:fldCharType="begin"/>
      </w:r>
      <w:r w:rsidR="00FA416F" w:rsidRPr="00252D7B">
        <w:rPr>
          <w:rFonts w:asciiTheme="minorHAnsi" w:hAnsiTheme="minorHAnsi" w:cstheme="minorHAnsi"/>
          <w:sz w:val="20"/>
          <w:szCs w:val="20"/>
        </w:rPr>
        <w:instrText xml:space="preserve"> SEQ Tabela \* ARABIC </w:instrText>
      </w:r>
      <w:r w:rsidR="00FA416F"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6</w:t>
      </w:r>
      <w:r w:rsidR="00FA416F" w:rsidRPr="00252D7B">
        <w:rPr>
          <w:rFonts w:asciiTheme="minorHAnsi" w:hAnsiTheme="minorHAnsi" w:cstheme="minorHAnsi"/>
          <w:sz w:val="20"/>
          <w:szCs w:val="20"/>
        </w:rPr>
        <w:fldChar w:fldCharType="end"/>
      </w:r>
      <w:r w:rsidRPr="00252D7B">
        <w:rPr>
          <w:rFonts w:asciiTheme="minorHAnsi" w:hAnsiTheme="minorHAnsi" w:cstheme="minorHAnsi"/>
          <w:sz w:val="20"/>
          <w:szCs w:val="20"/>
        </w:rPr>
        <w:t xml:space="preserve"> – Despesas com pessoal em 2021 (R$ 1,00)</w:t>
      </w:r>
      <w:bookmarkEnd w:id="187"/>
    </w:p>
    <w:tbl>
      <w:tblPr>
        <w:tblStyle w:val="Tabelacomgrade"/>
        <w:tblW w:w="6085" w:type="dxa"/>
        <w:jc w:val="center"/>
        <w:tblLook w:val="04A0" w:firstRow="1" w:lastRow="0" w:firstColumn="1" w:lastColumn="0" w:noHBand="0" w:noVBand="1"/>
      </w:tblPr>
      <w:tblGrid>
        <w:gridCol w:w="3692"/>
        <w:gridCol w:w="2393"/>
      </w:tblGrid>
      <w:tr w:rsidR="00903944" w:rsidRPr="00252D7B" w14:paraId="508ECC84" w14:textId="77777777" w:rsidTr="00E03684">
        <w:trPr>
          <w:trHeight w:val="397"/>
          <w:tblHeader/>
          <w:jc w:val="center"/>
        </w:trPr>
        <w:tc>
          <w:tcPr>
            <w:tcW w:w="3692" w:type="dxa"/>
            <w:tcBorders>
              <w:left w:val="nil"/>
            </w:tcBorders>
            <w:shd w:val="clear" w:color="auto" w:fill="D9D9D9" w:themeFill="background1" w:themeFillShade="D9"/>
            <w:vAlign w:val="center"/>
          </w:tcPr>
          <w:p w14:paraId="1493AA7B" w14:textId="3C345DF9" w:rsidR="00903944" w:rsidRPr="00E03684" w:rsidRDefault="00903944" w:rsidP="00E03684">
            <w:pPr>
              <w:widowControl/>
              <w:autoSpaceDE/>
              <w:autoSpaceDN/>
              <w:jc w:val="center"/>
              <w:rPr>
                <w:rFonts w:asciiTheme="minorHAnsi" w:eastAsia="Times New Roman" w:hAnsiTheme="minorHAnsi" w:cstheme="minorHAnsi"/>
                <w:b/>
                <w:bCs/>
                <w:color w:val="000000"/>
                <w:sz w:val="20"/>
                <w:szCs w:val="20"/>
                <w:lang w:eastAsia="pt-BR" w:bidi="ar-SA"/>
              </w:rPr>
            </w:pPr>
            <w:r w:rsidRPr="00E03684">
              <w:rPr>
                <w:rFonts w:asciiTheme="minorHAnsi" w:eastAsia="Times New Roman" w:hAnsiTheme="minorHAnsi" w:cstheme="minorHAnsi"/>
                <w:b/>
                <w:bCs/>
                <w:color w:val="000000"/>
                <w:sz w:val="20"/>
                <w:szCs w:val="20"/>
                <w:lang w:eastAsia="pt-BR" w:bidi="ar-SA"/>
              </w:rPr>
              <w:t>Descrição</w:t>
            </w:r>
          </w:p>
        </w:tc>
        <w:tc>
          <w:tcPr>
            <w:tcW w:w="2393" w:type="dxa"/>
            <w:tcBorders>
              <w:right w:val="nil"/>
            </w:tcBorders>
            <w:shd w:val="clear" w:color="auto" w:fill="D9D9D9" w:themeFill="background1" w:themeFillShade="D9"/>
            <w:vAlign w:val="center"/>
          </w:tcPr>
          <w:p w14:paraId="7FFFE714" w14:textId="5CA6F4DD" w:rsidR="00903944" w:rsidRPr="00E03684" w:rsidRDefault="00903944" w:rsidP="00E03684">
            <w:pPr>
              <w:widowControl/>
              <w:autoSpaceDE/>
              <w:autoSpaceDN/>
              <w:jc w:val="center"/>
              <w:rPr>
                <w:rFonts w:asciiTheme="minorHAnsi" w:eastAsia="Times New Roman" w:hAnsiTheme="minorHAnsi" w:cstheme="minorHAnsi"/>
                <w:b/>
                <w:bCs/>
                <w:color w:val="000000"/>
                <w:sz w:val="20"/>
                <w:szCs w:val="20"/>
                <w:lang w:eastAsia="pt-BR" w:bidi="ar-SA"/>
              </w:rPr>
            </w:pPr>
            <w:r w:rsidRPr="00E03684">
              <w:rPr>
                <w:rFonts w:asciiTheme="minorHAnsi" w:eastAsia="Times New Roman" w:hAnsiTheme="minorHAnsi" w:cstheme="minorHAnsi"/>
                <w:b/>
                <w:bCs/>
                <w:color w:val="000000"/>
                <w:sz w:val="20"/>
                <w:szCs w:val="20"/>
                <w:lang w:eastAsia="pt-BR" w:bidi="ar-SA"/>
              </w:rPr>
              <w:t>Despesas Pagas</w:t>
            </w:r>
          </w:p>
        </w:tc>
      </w:tr>
      <w:tr w:rsidR="004671D0" w:rsidRPr="00252D7B" w14:paraId="27F3EE6E" w14:textId="77777777" w:rsidTr="00E03684">
        <w:trPr>
          <w:trHeight w:val="397"/>
          <w:jc w:val="center"/>
        </w:trPr>
        <w:tc>
          <w:tcPr>
            <w:tcW w:w="3692" w:type="dxa"/>
            <w:tcBorders>
              <w:left w:val="nil"/>
            </w:tcBorders>
            <w:vAlign w:val="center"/>
          </w:tcPr>
          <w:p w14:paraId="1148BDCC" w14:textId="1B32F773" w:rsidR="004671D0" w:rsidRPr="00E03684" w:rsidRDefault="004671D0" w:rsidP="00B5569D">
            <w:pPr>
              <w:widowControl/>
              <w:autoSpaceDE/>
              <w:autoSpaceDN/>
              <w:spacing w:before="100" w:beforeAutospacing="1" w:after="100" w:afterAutospacing="1"/>
              <w:rPr>
                <w:rFonts w:asciiTheme="minorHAnsi" w:eastAsia="Times New Roman" w:hAnsiTheme="minorHAnsi" w:cstheme="minorHAnsi"/>
                <w:b/>
                <w:bCs/>
                <w:color w:val="000000"/>
                <w:sz w:val="20"/>
                <w:szCs w:val="20"/>
                <w:lang w:eastAsia="pt-BR" w:bidi="ar-SA"/>
              </w:rPr>
            </w:pPr>
            <w:r w:rsidRPr="00E03684">
              <w:rPr>
                <w:rFonts w:asciiTheme="minorHAnsi" w:hAnsiTheme="minorHAnsi" w:cstheme="minorHAnsi"/>
                <w:b/>
                <w:bCs/>
                <w:sz w:val="20"/>
                <w:szCs w:val="20"/>
              </w:rPr>
              <w:t>Pessoal e Encargos Sociais</w:t>
            </w:r>
          </w:p>
        </w:tc>
        <w:tc>
          <w:tcPr>
            <w:tcW w:w="2393" w:type="dxa"/>
            <w:tcBorders>
              <w:right w:val="nil"/>
            </w:tcBorders>
            <w:vAlign w:val="center"/>
          </w:tcPr>
          <w:p w14:paraId="2EA5E66B" w14:textId="54ECC56F" w:rsidR="004671D0" w:rsidRPr="00E03684" w:rsidRDefault="004671D0" w:rsidP="00B5569D">
            <w:pPr>
              <w:widowControl/>
              <w:autoSpaceDE/>
              <w:autoSpaceDN/>
              <w:spacing w:before="100" w:beforeAutospacing="1" w:after="100" w:afterAutospacing="1"/>
              <w:jc w:val="right"/>
              <w:rPr>
                <w:rFonts w:asciiTheme="minorHAnsi" w:eastAsia="Times New Roman" w:hAnsiTheme="minorHAnsi" w:cstheme="minorHAnsi"/>
                <w:b/>
                <w:bCs/>
                <w:color w:val="000000"/>
                <w:sz w:val="20"/>
                <w:szCs w:val="20"/>
                <w:lang w:eastAsia="pt-BR" w:bidi="ar-SA"/>
              </w:rPr>
            </w:pPr>
            <w:r w:rsidRPr="00E03684">
              <w:rPr>
                <w:rFonts w:asciiTheme="minorHAnsi" w:hAnsiTheme="minorHAnsi" w:cstheme="minorHAnsi"/>
                <w:b/>
                <w:bCs/>
                <w:sz w:val="20"/>
                <w:szCs w:val="20"/>
              </w:rPr>
              <w:t>105.146.497</w:t>
            </w:r>
          </w:p>
        </w:tc>
      </w:tr>
      <w:tr w:rsidR="004671D0" w:rsidRPr="00252D7B" w14:paraId="08ED602B" w14:textId="77777777" w:rsidTr="00E03684">
        <w:trPr>
          <w:trHeight w:val="397"/>
          <w:jc w:val="center"/>
        </w:trPr>
        <w:tc>
          <w:tcPr>
            <w:tcW w:w="3692" w:type="dxa"/>
            <w:tcBorders>
              <w:left w:val="nil"/>
            </w:tcBorders>
            <w:vAlign w:val="center"/>
          </w:tcPr>
          <w:p w14:paraId="540EBE03" w14:textId="5FBCD1FB" w:rsidR="004671D0" w:rsidRPr="00E03684" w:rsidRDefault="004671D0" w:rsidP="00B5569D">
            <w:pPr>
              <w:widowControl/>
              <w:autoSpaceDE/>
              <w:autoSpaceDN/>
              <w:spacing w:before="100" w:beforeAutospacing="1" w:after="100" w:afterAutospacing="1"/>
              <w:ind w:left="457"/>
              <w:rPr>
                <w:rFonts w:asciiTheme="minorHAnsi" w:eastAsia="Times New Roman" w:hAnsiTheme="minorHAnsi" w:cstheme="minorHAnsi"/>
                <w:color w:val="000000"/>
                <w:sz w:val="20"/>
                <w:szCs w:val="20"/>
                <w:lang w:eastAsia="pt-BR" w:bidi="ar-SA"/>
              </w:rPr>
            </w:pPr>
            <w:r w:rsidRPr="00E03684">
              <w:rPr>
                <w:rFonts w:asciiTheme="minorHAnsi" w:hAnsiTheme="minorHAnsi" w:cstheme="minorHAnsi"/>
                <w:sz w:val="20"/>
                <w:szCs w:val="20"/>
              </w:rPr>
              <w:t>Ativos Civis da União</w:t>
            </w:r>
          </w:p>
        </w:tc>
        <w:tc>
          <w:tcPr>
            <w:tcW w:w="2393" w:type="dxa"/>
            <w:tcBorders>
              <w:right w:val="nil"/>
            </w:tcBorders>
            <w:vAlign w:val="center"/>
          </w:tcPr>
          <w:p w14:paraId="549C60F1" w14:textId="4A890170" w:rsidR="004671D0" w:rsidRPr="00E03684" w:rsidRDefault="004671D0" w:rsidP="00B5569D">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hAnsiTheme="minorHAnsi" w:cstheme="minorHAnsi"/>
                <w:sz w:val="20"/>
                <w:szCs w:val="20"/>
              </w:rPr>
              <w:t>104.101.547</w:t>
            </w:r>
          </w:p>
        </w:tc>
      </w:tr>
      <w:tr w:rsidR="004671D0" w:rsidRPr="00252D7B" w14:paraId="7CED984B" w14:textId="77777777" w:rsidTr="00E03684">
        <w:trPr>
          <w:trHeight w:val="397"/>
          <w:jc w:val="center"/>
        </w:trPr>
        <w:tc>
          <w:tcPr>
            <w:tcW w:w="3692" w:type="dxa"/>
            <w:tcBorders>
              <w:left w:val="nil"/>
            </w:tcBorders>
            <w:vAlign w:val="center"/>
          </w:tcPr>
          <w:p w14:paraId="158F1702" w14:textId="69D07867" w:rsidR="004671D0" w:rsidRPr="00E03684" w:rsidRDefault="004671D0" w:rsidP="00B5569D">
            <w:pPr>
              <w:widowControl/>
              <w:autoSpaceDE/>
              <w:autoSpaceDN/>
              <w:spacing w:before="100" w:beforeAutospacing="1" w:after="100" w:afterAutospacing="1"/>
              <w:ind w:left="457"/>
              <w:rPr>
                <w:rFonts w:asciiTheme="minorHAnsi" w:eastAsia="Times New Roman" w:hAnsiTheme="minorHAnsi" w:cstheme="minorHAnsi"/>
                <w:color w:val="000000"/>
                <w:sz w:val="20"/>
                <w:szCs w:val="20"/>
                <w:lang w:eastAsia="pt-BR" w:bidi="ar-SA"/>
              </w:rPr>
            </w:pPr>
            <w:r w:rsidRPr="00E03684">
              <w:rPr>
                <w:rFonts w:asciiTheme="minorHAnsi" w:hAnsiTheme="minorHAnsi" w:cstheme="minorHAnsi"/>
                <w:sz w:val="20"/>
                <w:szCs w:val="20"/>
              </w:rPr>
              <w:t>Sentenças Judiciais</w:t>
            </w:r>
          </w:p>
        </w:tc>
        <w:tc>
          <w:tcPr>
            <w:tcW w:w="2393" w:type="dxa"/>
            <w:tcBorders>
              <w:right w:val="nil"/>
            </w:tcBorders>
            <w:vAlign w:val="center"/>
          </w:tcPr>
          <w:p w14:paraId="2D7262D9" w14:textId="48676B60" w:rsidR="004671D0" w:rsidRPr="00E03684" w:rsidRDefault="004671D0" w:rsidP="00B5569D">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hAnsiTheme="minorHAnsi" w:cstheme="minorHAnsi"/>
                <w:sz w:val="20"/>
                <w:szCs w:val="20"/>
              </w:rPr>
              <w:t>702.363</w:t>
            </w:r>
          </w:p>
        </w:tc>
      </w:tr>
      <w:tr w:rsidR="004671D0" w:rsidRPr="00252D7B" w14:paraId="13E92235" w14:textId="77777777" w:rsidTr="00E03684">
        <w:trPr>
          <w:trHeight w:val="397"/>
          <w:jc w:val="center"/>
        </w:trPr>
        <w:tc>
          <w:tcPr>
            <w:tcW w:w="3692" w:type="dxa"/>
            <w:tcBorders>
              <w:left w:val="nil"/>
            </w:tcBorders>
            <w:vAlign w:val="center"/>
          </w:tcPr>
          <w:p w14:paraId="50CE8747" w14:textId="7DA7E8AC" w:rsidR="004671D0" w:rsidRPr="00E03684" w:rsidRDefault="004671D0" w:rsidP="00B5569D">
            <w:pPr>
              <w:widowControl/>
              <w:autoSpaceDE/>
              <w:autoSpaceDN/>
              <w:spacing w:before="100" w:beforeAutospacing="1" w:after="100" w:afterAutospacing="1"/>
              <w:ind w:left="457"/>
              <w:rPr>
                <w:rFonts w:asciiTheme="minorHAnsi" w:eastAsia="Times New Roman" w:hAnsiTheme="minorHAnsi" w:cstheme="minorHAnsi"/>
                <w:color w:val="000000"/>
                <w:sz w:val="20"/>
                <w:szCs w:val="20"/>
                <w:lang w:eastAsia="pt-BR" w:bidi="ar-SA"/>
              </w:rPr>
            </w:pPr>
            <w:r w:rsidRPr="00E03684">
              <w:rPr>
                <w:rFonts w:asciiTheme="minorHAnsi" w:hAnsiTheme="minorHAnsi" w:cstheme="minorHAnsi"/>
                <w:sz w:val="20"/>
                <w:szCs w:val="20"/>
              </w:rPr>
              <w:t>Depósitos para Recursos Judiciais</w:t>
            </w:r>
          </w:p>
        </w:tc>
        <w:tc>
          <w:tcPr>
            <w:tcW w:w="2393" w:type="dxa"/>
            <w:tcBorders>
              <w:right w:val="nil"/>
            </w:tcBorders>
            <w:vAlign w:val="center"/>
          </w:tcPr>
          <w:p w14:paraId="1E2887A9" w14:textId="428F1425" w:rsidR="004671D0" w:rsidRPr="00E03684" w:rsidRDefault="004671D0" w:rsidP="00B5569D">
            <w:pPr>
              <w:widowControl/>
              <w:autoSpaceDE/>
              <w:autoSpaceDN/>
              <w:spacing w:before="100" w:beforeAutospacing="1" w:after="100" w:afterAutospacing="1"/>
              <w:jc w:val="right"/>
              <w:rPr>
                <w:rFonts w:asciiTheme="minorHAnsi" w:hAnsiTheme="minorHAnsi" w:cstheme="minorHAnsi"/>
                <w:sz w:val="20"/>
                <w:szCs w:val="20"/>
              </w:rPr>
            </w:pPr>
            <w:r w:rsidRPr="00E03684">
              <w:rPr>
                <w:rFonts w:asciiTheme="minorHAnsi" w:hAnsiTheme="minorHAnsi" w:cstheme="minorHAnsi"/>
                <w:sz w:val="20"/>
                <w:szCs w:val="20"/>
              </w:rPr>
              <w:t>342.587</w:t>
            </w:r>
          </w:p>
        </w:tc>
      </w:tr>
      <w:tr w:rsidR="004671D0" w:rsidRPr="00252D7B" w14:paraId="4F2EA7F3" w14:textId="77777777" w:rsidTr="00E03684">
        <w:trPr>
          <w:trHeight w:val="397"/>
          <w:jc w:val="center"/>
        </w:trPr>
        <w:tc>
          <w:tcPr>
            <w:tcW w:w="3692" w:type="dxa"/>
            <w:tcBorders>
              <w:left w:val="nil"/>
            </w:tcBorders>
            <w:vAlign w:val="center"/>
          </w:tcPr>
          <w:p w14:paraId="4D7A193C" w14:textId="58DD0E6C" w:rsidR="004671D0" w:rsidRPr="00E03684" w:rsidRDefault="004671D0" w:rsidP="00B5569D">
            <w:pPr>
              <w:widowControl/>
              <w:autoSpaceDE/>
              <w:autoSpaceDN/>
              <w:spacing w:before="100" w:beforeAutospacing="1" w:after="100" w:afterAutospacing="1"/>
              <w:rPr>
                <w:rFonts w:asciiTheme="minorHAnsi" w:eastAsia="Times New Roman" w:hAnsiTheme="minorHAnsi" w:cstheme="minorHAnsi"/>
                <w:b/>
                <w:bCs/>
                <w:color w:val="000000"/>
                <w:sz w:val="20"/>
                <w:szCs w:val="20"/>
                <w:lang w:eastAsia="pt-BR" w:bidi="ar-SA"/>
              </w:rPr>
            </w:pPr>
            <w:r w:rsidRPr="00E03684">
              <w:rPr>
                <w:rFonts w:asciiTheme="minorHAnsi" w:hAnsiTheme="minorHAnsi" w:cstheme="minorHAnsi"/>
                <w:b/>
                <w:bCs/>
                <w:sz w:val="20"/>
                <w:szCs w:val="20"/>
              </w:rPr>
              <w:t>Benefícios</w:t>
            </w:r>
          </w:p>
        </w:tc>
        <w:tc>
          <w:tcPr>
            <w:tcW w:w="2393" w:type="dxa"/>
            <w:tcBorders>
              <w:right w:val="nil"/>
            </w:tcBorders>
            <w:vAlign w:val="center"/>
          </w:tcPr>
          <w:p w14:paraId="6026E511" w14:textId="0604BA38" w:rsidR="004671D0" w:rsidRPr="00E03684" w:rsidRDefault="004671D0" w:rsidP="00B5569D">
            <w:pPr>
              <w:widowControl/>
              <w:autoSpaceDE/>
              <w:autoSpaceDN/>
              <w:spacing w:before="100" w:beforeAutospacing="1" w:after="100" w:afterAutospacing="1"/>
              <w:jc w:val="right"/>
              <w:rPr>
                <w:rFonts w:asciiTheme="minorHAnsi" w:hAnsiTheme="minorHAnsi" w:cstheme="minorHAnsi"/>
                <w:b/>
                <w:bCs/>
                <w:sz w:val="20"/>
                <w:szCs w:val="20"/>
              </w:rPr>
            </w:pPr>
            <w:r w:rsidRPr="00E03684">
              <w:rPr>
                <w:rFonts w:asciiTheme="minorHAnsi" w:hAnsiTheme="minorHAnsi" w:cstheme="minorHAnsi"/>
                <w:b/>
                <w:bCs/>
                <w:sz w:val="20"/>
                <w:szCs w:val="20"/>
              </w:rPr>
              <w:t>8.730.472</w:t>
            </w:r>
          </w:p>
        </w:tc>
      </w:tr>
      <w:tr w:rsidR="004671D0" w:rsidRPr="00252D7B" w14:paraId="46954E30" w14:textId="77777777" w:rsidTr="00E03684">
        <w:trPr>
          <w:trHeight w:val="397"/>
          <w:jc w:val="center"/>
        </w:trPr>
        <w:tc>
          <w:tcPr>
            <w:tcW w:w="3692" w:type="dxa"/>
            <w:tcBorders>
              <w:left w:val="nil"/>
            </w:tcBorders>
            <w:vAlign w:val="center"/>
          </w:tcPr>
          <w:p w14:paraId="41F87FF0" w14:textId="77777777" w:rsidR="004671D0" w:rsidRPr="00E03684" w:rsidRDefault="004671D0" w:rsidP="00B5569D">
            <w:pPr>
              <w:widowControl/>
              <w:autoSpaceDE/>
              <w:autoSpaceDN/>
              <w:spacing w:before="100" w:beforeAutospacing="1" w:after="100" w:afterAutospacing="1"/>
              <w:rPr>
                <w:rFonts w:asciiTheme="minorHAnsi" w:eastAsia="Times New Roman" w:hAnsiTheme="minorHAnsi" w:cstheme="minorHAnsi"/>
                <w:b/>
                <w:bCs/>
                <w:color w:val="000000"/>
                <w:sz w:val="20"/>
                <w:szCs w:val="20"/>
                <w:lang w:eastAsia="pt-BR" w:bidi="ar-SA"/>
              </w:rPr>
            </w:pPr>
            <w:r w:rsidRPr="00E03684">
              <w:rPr>
                <w:rFonts w:asciiTheme="minorHAnsi" w:eastAsia="Times New Roman" w:hAnsiTheme="minorHAnsi" w:cstheme="minorHAnsi"/>
                <w:b/>
                <w:bCs/>
                <w:color w:val="000000"/>
                <w:sz w:val="20"/>
                <w:szCs w:val="20"/>
                <w:lang w:eastAsia="pt-BR" w:bidi="ar-SA"/>
              </w:rPr>
              <w:t>Total</w:t>
            </w:r>
          </w:p>
        </w:tc>
        <w:tc>
          <w:tcPr>
            <w:tcW w:w="2393" w:type="dxa"/>
            <w:tcBorders>
              <w:right w:val="nil"/>
            </w:tcBorders>
            <w:vAlign w:val="center"/>
          </w:tcPr>
          <w:p w14:paraId="7550FC6A" w14:textId="0F5919B3" w:rsidR="004671D0" w:rsidRPr="00E03684" w:rsidRDefault="004671D0" w:rsidP="00B5569D">
            <w:pPr>
              <w:widowControl/>
              <w:autoSpaceDE/>
              <w:autoSpaceDN/>
              <w:spacing w:before="100" w:beforeAutospacing="1" w:after="100" w:afterAutospacing="1"/>
              <w:jc w:val="right"/>
              <w:rPr>
                <w:rFonts w:asciiTheme="minorHAnsi" w:eastAsia="Times New Roman" w:hAnsiTheme="minorHAnsi" w:cstheme="minorHAnsi"/>
                <w:b/>
                <w:bCs/>
                <w:color w:val="000000"/>
                <w:sz w:val="20"/>
                <w:szCs w:val="20"/>
                <w:lang w:eastAsia="pt-BR" w:bidi="ar-SA"/>
              </w:rPr>
            </w:pPr>
            <w:r w:rsidRPr="00E03684">
              <w:rPr>
                <w:rFonts w:asciiTheme="minorHAnsi" w:hAnsiTheme="minorHAnsi" w:cstheme="minorHAnsi"/>
                <w:b/>
                <w:bCs/>
                <w:sz w:val="20"/>
                <w:szCs w:val="20"/>
              </w:rPr>
              <w:t>113.534.382</w:t>
            </w:r>
          </w:p>
        </w:tc>
      </w:tr>
    </w:tbl>
    <w:p w14:paraId="3CA4AD28" w14:textId="23446985" w:rsidR="005D7CE0" w:rsidRPr="00252D7B" w:rsidRDefault="00C71FE5" w:rsidP="00174B55">
      <w:pPr>
        <w:pStyle w:val="Legenda"/>
        <w:keepNext/>
        <w:spacing w:before="240" w:after="0"/>
        <w:jc w:val="center"/>
        <w:rPr>
          <w:rFonts w:asciiTheme="minorHAnsi" w:hAnsiTheme="minorHAnsi" w:cstheme="minorHAnsi"/>
          <w:sz w:val="20"/>
          <w:szCs w:val="20"/>
        </w:rPr>
      </w:pPr>
      <w:r w:rsidRPr="00252D7B">
        <w:rPr>
          <w:rFonts w:asciiTheme="minorHAnsi" w:hAnsiTheme="minorHAnsi" w:cstheme="minorHAnsi"/>
          <w:sz w:val="20"/>
          <w:szCs w:val="20"/>
        </w:rPr>
        <w:t>Fonte: Tesouro Gerencial</w:t>
      </w:r>
    </w:p>
    <w:bookmarkEnd w:id="186"/>
    <w:p w14:paraId="79083ED6" w14:textId="77777777" w:rsidR="0066449F" w:rsidRPr="00252D7B" w:rsidRDefault="0066449F" w:rsidP="009520BC">
      <w:pPr>
        <w:jc w:val="both"/>
        <w:rPr>
          <w:rFonts w:asciiTheme="minorHAnsi" w:hAnsiTheme="minorHAnsi" w:cstheme="minorHAnsi"/>
          <w:sz w:val="24"/>
          <w:szCs w:val="24"/>
          <w:lang w:eastAsia="pt-BR"/>
        </w:rPr>
      </w:pPr>
    </w:p>
    <w:p w14:paraId="42C31DED" w14:textId="6B5E76DE" w:rsidR="00786F39" w:rsidRPr="00252D7B" w:rsidRDefault="00786F39" w:rsidP="009520BC">
      <w:pPr>
        <w:spacing w:before="120"/>
        <w:jc w:val="both"/>
        <w:rPr>
          <w:rFonts w:asciiTheme="minorHAnsi" w:hAnsiTheme="minorHAnsi" w:cstheme="minorHAnsi"/>
          <w:sz w:val="24"/>
          <w:szCs w:val="24"/>
          <w:lang w:eastAsia="pt-BR"/>
        </w:rPr>
      </w:pPr>
      <w:r w:rsidRPr="00252D7B">
        <w:rPr>
          <w:rFonts w:asciiTheme="minorHAnsi" w:hAnsiTheme="minorHAnsi" w:cstheme="minorHAnsi"/>
          <w:sz w:val="24"/>
          <w:szCs w:val="24"/>
          <w:lang w:eastAsia="pt-BR"/>
        </w:rPr>
        <w:t xml:space="preserve">As despesas com pessoal e encargos englobam as liquidações com a folha de pagamentos dos empregados (próprio e cedidos), Diretores e Conselheiros, além das incorridas com o pagamento de benefícios (auxílios saúde, alimentação e creche). Consideram-se parte do quadro da </w:t>
      </w:r>
      <w:r w:rsidR="00610C91" w:rsidRPr="00252D7B">
        <w:rPr>
          <w:rFonts w:asciiTheme="minorHAnsi" w:hAnsiTheme="minorHAnsi" w:cstheme="minorHAnsi"/>
          <w:sz w:val="24"/>
          <w:szCs w:val="24"/>
          <w:lang w:eastAsia="pt-BR"/>
        </w:rPr>
        <w:t>Valec</w:t>
      </w:r>
      <w:r w:rsidRPr="00252D7B">
        <w:rPr>
          <w:rFonts w:asciiTheme="minorHAnsi" w:hAnsiTheme="minorHAnsi" w:cstheme="minorHAnsi"/>
          <w:sz w:val="24"/>
          <w:szCs w:val="24"/>
          <w:lang w:eastAsia="pt-BR"/>
        </w:rPr>
        <w:t xml:space="preserve"> os empregados oriundos da Extinta RFFSA e GEIPOT.</w:t>
      </w:r>
    </w:p>
    <w:p w14:paraId="0B5D64C4" w14:textId="77777777" w:rsidR="0066449F" w:rsidRPr="00252D7B" w:rsidRDefault="0066449F" w:rsidP="00DB6614">
      <w:pPr>
        <w:jc w:val="both"/>
        <w:rPr>
          <w:rFonts w:asciiTheme="minorHAnsi" w:hAnsiTheme="minorHAnsi" w:cstheme="minorHAnsi"/>
          <w:sz w:val="24"/>
          <w:szCs w:val="24"/>
          <w:lang w:eastAsia="pt-BR"/>
        </w:rPr>
      </w:pPr>
    </w:p>
    <w:p w14:paraId="525FE510" w14:textId="77777777" w:rsidR="00786F39" w:rsidRPr="00252D7B" w:rsidRDefault="00786F39" w:rsidP="009520BC">
      <w:pPr>
        <w:pStyle w:val="Ttulo4"/>
        <w:spacing w:before="0" w:after="0"/>
        <w:rPr>
          <w:rFonts w:asciiTheme="minorHAnsi" w:hAnsiTheme="minorHAnsi" w:cstheme="minorHAnsi"/>
        </w:rPr>
      </w:pPr>
      <w:bookmarkStart w:id="188" w:name="_Toc64571532"/>
      <w:bookmarkStart w:id="189" w:name="_Toc80785730"/>
      <w:bookmarkStart w:id="190" w:name="_Toc103680541"/>
      <w:r w:rsidRPr="00252D7B">
        <w:rPr>
          <w:rFonts w:asciiTheme="minorHAnsi" w:hAnsiTheme="minorHAnsi" w:cstheme="minorHAnsi"/>
        </w:rPr>
        <w:t>Investimento</w:t>
      </w:r>
      <w:bookmarkEnd w:id="188"/>
      <w:bookmarkEnd w:id="189"/>
      <w:bookmarkEnd w:id="190"/>
    </w:p>
    <w:p w14:paraId="43E37A18" w14:textId="7CDB6F6A" w:rsidR="00786F39" w:rsidRPr="00252D7B" w:rsidRDefault="00786F39" w:rsidP="009C4EE7">
      <w:pPr>
        <w:spacing w:after="120"/>
        <w:jc w:val="both"/>
        <w:rPr>
          <w:rFonts w:asciiTheme="minorHAnsi" w:hAnsiTheme="minorHAnsi" w:cstheme="minorHAnsi"/>
          <w:sz w:val="24"/>
          <w:szCs w:val="24"/>
          <w:lang w:eastAsia="pt-BR"/>
        </w:rPr>
      </w:pPr>
      <w:bookmarkStart w:id="191" w:name="_Toc80785732"/>
      <w:r w:rsidRPr="00252D7B">
        <w:rPr>
          <w:rFonts w:asciiTheme="minorHAnsi" w:hAnsiTheme="minorHAnsi" w:cstheme="minorHAnsi"/>
          <w:sz w:val="24"/>
          <w:szCs w:val="24"/>
          <w:lang w:eastAsia="pt-BR"/>
        </w:rPr>
        <w:t>O principal empreendimento da Valec é a construção da Ferrovia de Integração Oeste-Leste – Trecho de Caetité/Barreiras – BA – FIOL II com recursos consignados na ação orçamentária 124G com dotação de R$ 391 milhões.</w:t>
      </w:r>
    </w:p>
    <w:p w14:paraId="08CFB80C" w14:textId="77777777" w:rsidR="00786F39" w:rsidRPr="00252D7B" w:rsidRDefault="00786F39" w:rsidP="00CD1E91">
      <w:pPr>
        <w:spacing w:before="120" w:after="120"/>
        <w:jc w:val="both"/>
        <w:rPr>
          <w:rFonts w:asciiTheme="minorHAnsi" w:hAnsiTheme="minorHAnsi" w:cstheme="minorHAnsi"/>
          <w:sz w:val="24"/>
          <w:szCs w:val="24"/>
          <w:lang w:eastAsia="pt-BR"/>
        </w:rPr>
      </w:pPr>
      <w:r w:rsidRPr="00252D7B">
        <w:rPr>
          <w:rFonts w:asciiTheme="minorHAnsi" w:hAnsiTheme="minorHAnsi" w:cstheme="minorHAnsi"/>
          <w:sz w:val="24"/>
          <w:szCs w:val="24"/>
          <w:lang w:eastAsia="pt-BR"/>
        </w:rPr>
        <w:t>Há também a realização de atividades remanescentes da Ferrovia Norte Sul – FNS e da Ferrovia de Integração Oestes-Leste – Trecho I, mesmo após subconcessão ocorrida em 2019/2020. Os principais gastos são realizados com compromissos de desapropriação, custas cartoriais, despesas com indenizações, além despesas com compromissos ambientais (compensação ambiental e plantio compensatório).</w:t>
      </w:r>
    </w:p>
    <w:p w14:paraId="23D46938" w14:textId="184D81F8" w:rsidR="00786F39" w:rsidRPr="00252D7B" w:rsidRDefault="00786F39" w:rsidP="00CD1E91">
      <w:pPr>
        <w:spacing w:before="120" w:after="120"/>
        <w:jc w:val="both"/>
        <w:rPr>
          <w:rFonts w:asciiTheme="minorHAnsi" w:hAnsiTheme="minorHAnsi" w:cstheme="minorHAnsi"/>
          <w:sz w:val="24"/>
          <w:szCs w:val="24"/>
          <w:lang w:eastAsia="pt-BR"/>
        </w:rPr>
      </w:pPr>
      <w:r w:rsidRPr="00252D7B">
        <w:rPr>
          <w:rFonts w:asciiTheme="minorHAnsi" w:hAnsiTheme="minorHAnsi" w:cstheme="minorHAnsi"/>
          <w:sz w:val="24"/>
          <w:szCs w:val="24"/>
          <w:lang w:eastAsia="pt-BR"/>
        </w:rPr>
        <w:t>Nessas ações são previstos a execução de obras de engenharia e serviços como desapropriações, compensações ambientais, preservação de sítios arqueológicos, supervisão e gerenciamento. Envolve também a implementação da Gestão Ambiental do empreendimento, englobando, entre outras, ações mitigadoras e compensatórias das áreas de influência direta e indireta, e o atendimento das licenças ambientais.</w:t>
      </w:r>
    </w:p>
    <w:p w14:paraId="78BF3801" w14:textId="77777777" w:rsidR="00B5569D" w:rsidRPr="00252D7B" w:rsidRDefault="00B5569D" w:rsidP="00B5569D">
      <w:pPr>
        <w:rPr>
          <w:rFonts w:asciiTheme="minorHAnsi" w:hAnsiTheme="minorHAnsi" w:cstheme="minorHAnsi"/>
        </w:rPr>
      </w:pPr>
    </w:p>
    <w:p w14:paraId="335FD5C9" w14:textId="77777777" w:rsidR="00DB6614" w:rsidRPr="00252D7B" w:rsidRDefault="00DB6614">
      <w:pPr>
        <w:widowControl/>
        <w:autoSpaceDE/>
        <w:autoSpaceDN/>
        <w:spacing w:after="160" w:line="259" w:lineRule="auto"/>
        <w:rPr>
          <w:rFonts w:asciiTheme="minorHAnsi" w:hAnsiTheme="minorHAnsi" w:cstheme="minorHAnsi"/>
          <w:i/>
          <w:iCs/>
          <w:color w:val="1F497D"/>
          <w:sz w:val="20"/>
          <w:szCs w:val="20"/>
        </w:rPr>
      </w:pPr>
      <w:r w:rsidRPr="00252D7B">
        <w:rPr>
          <w:rFonts w:asciiTheme="minorHAnsi" w:hAnsiTheme="minorHAnsi" w:cstheme="minorHAnsi"/>
          <w:sz w:val="20"/>
          <w:szCs w:val="20"/>
        </w:rPr>
        <w:br w:type="page"/>
      </w:r>
    </w:p>
    <w:p w14:paraId="3225EFF4" w14:textId="7B9DACC9" w:rsidR="009520BC" w:rsidRPr="00252D7B" w:rsidRDefault="009520BC" w:rsidP="009520BC">
      <w:pPr>
        <w:pStyle w:val="Legenda"/>
        <w:jc w:val="center"/>
        <w:rPr>
          <w:rFonts w:asciiTheme="minorHAnsi" w:hAnsiTheme="minorHAnsi" w:cstheme="minorHAnsi"/>
          <w:sz w:val="20"/>
          <w:szCs w:val="20"/>
        </w:rPr>
      </w:pPr>
      <w:bookmarkStart w:id="192" w:name="_Toc103680754"/>
      <w:r w:rsidRPr="00252D7B">
        <w:rPr>
          <w:rFonts w:asciiTheme="minorHAnsi" w:hAnsiTheme="minorHAnsi" w:cstheme="minorHAnsi"/>
          <w:sz w:val="20"/>
          <w:szCs w:val="20"/>
        </w:rPr>
        <w:lastRenderedPageBreak/>
        <w:t xml:space="preserve">Figura </w:t>
      </w:r>
      <w:r w:rsidRPr="00252D7B">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Figura \* ARABIC </w:instrText>
      </w:r>
      <w:r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18</w:t>
      </w:r>
      <w:r w:rsidRPr="00252D7B">
        <w:rPr>
          <w:rFonts w:asciiTheme="minorHAnsi" w:hAnsiTheme="minorHAnsi" w:cstheme="minorHAnsi"/>
          <w:sz w:val="20"/>
          <w:szCs w:val="20"/>
        </w:rPr>
        <w:fldChar w:fldCharType="end"/>
      </w:r>
      <w:r w:rsidRPr="00252D7B">
        <w:rPr>
          <w:rFonts w:asciiTheme="minorHAnsi" w:hAnsiTheme="minorHAnsi" w:cstheme="minorHAnsi"/>
          <w:sz w:val="20"/>
          <w:szCs w:val="20"/>
        </w:rPr>
        <w:t xml:space="preserve"> </w:t>
      </w:r>
      <w:r w:rsidR="00666868" w:rsidRPr="00252D7B">
        <w:rPr>
          <w:rFonts w:asciiTheme="minorHAnsi" w:hAnsiTheme="minorHAnsi" w:cstheme="minorHAnsi"/>
          <w:sz w:val="20"/>
          <w:szCs w:val="20"/>
        </w:rPr>
        <w:t>–</w:t>
      </w:r>
      <w:r w:rsidRPr="00252D7B">
        <w:rPr>
          <w:rFonts w:asciiTheme="minorHAnsi" w:hAnsiTheme="minorHAnsi" w:cstheme="minorHAnsi"/>
          <w:sz w:val="20"/>
          <w:szCs w:val="20"/>
        </w:rPr>
        <w:t xml:space="preserve"> </w:t>
      </w:r>
      <w:r w:rsidR="00CF6DA7" w:rsidRPr="00252D7B">
        <w:rPr>
          <w:rFonts w:asciiTheme="minorHAnsi" w:hAnsiTheme="minorHAnsi" w:cstheme="minorHAnsi"/>
          <w:sz w:val="20"/>
          <w:szCs w:val="20"/>
        </w:rPr>
        <w:t>Trecho da</w:t>
      </w:r>
      <w:r w:rsidRPr="00252D7B">
        <w:rPr>
          <w:rFonts w:asciiTheme="minorHAnsi" w:hAnsiTheme="minorHAnsi" w:cstheme="minorHAnsi"/>
          <w:sz w:val="20"/>
          <w:szCs w:val="20"/>
        </w:rPr>
        <w:t xml:space="preserve"> Ferrovia Norte Sul </w:t>
      </w:r>
      <w:r w:rsidR="00F876C9" w:rsidRPr="00252D7B">
        <w:rPr>
          <w:rFonts w:asciiTheme="minorHAnsi" w:hAnsiTheme="minorHAnsi" w:cstheme="minorHAnsi"/>
          <w:sz w:val="20"/>
          <w:szCs w:val="20"/>
        </w:rPr>
        <w:t>–</w:t>
      </w:r>
      <w:r w:rsidRPr="00252D7B">
        <w:rPr>
          <w:rFonts w:asciiTheme="minorHAnsi" w:hAnsiTheme="minorHAnsi" w:cstheme="minorHAnsi"/>
          <w:sz w:val="20"/>
          <w:szCs w:val="20"/>
        </w:rPr>
        <w:t xml:space="preserve"> FNS</w:t>
      </w:r>
      <w:bookmarkEnd w:id="192"/>
    </w:p>
    <w:p w14:paraId="3DF2A41C" w14:textId="5A185688" w:rsidR="00F876C9" w:rsidRPr="00252D7B" w:rsidRDefault="00F876C9" w:rsidP="00B5569D">
      <w:pPr>
        <w:jc w:val="center"/>
        <w:rPr>
          <w:rFonts w:asciiTheme="minorHAnsi" w:hAnsiTheme="minorHAnsi" w:cstheme="minorHAnsi"/>
        </w:rPr>
      </w:pPr>
      <w:r w:rsidRPr="00252D7B">
        <w:rPr>
          <w:rFonts w:asciiTheme="minorHAnsi" w:hAnsiTheme="minorHAnsi" w:cstheme="minorHAnsi"/>
          <w:noProof/>
          <w:lang w:eastAsia="pt-BR" w:bidi="ar-SA"/>
        </w:rPr>
        <w:drawing>
          <wp:inline distT="0" distB="0" distL="0" distR="0" wp14:anchorId="74733742" wp14:editId="1944338C">
            <wp:extent cx="2318385" cy="1737627"/>
            <wp:effectExtent l="57150" t="0" r="62865" b="110490"/>
            <wp:docPr id="80" name="Imagem 80" descr="Trem em trilho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39" descr="Trem em trilhos&#10;&#10;Descrição gerada automaticamente"/>
                    <pic:cNvPicPr/>
                  </pic:nvPicPr>
                  <pic:blipFill>
                    <a:blip r:embed="rId61">
                      <a:alphaModFix amt="35000"/>
                      <a:extLst>
                        <a:ext uri="{28A0092B-C50C-407E-A947-70E740481C1C}">
                          <a14:useLocalDpi xmlns:a14="http://schemas.microsoft.com/office/drawing/2010/main" val="0"/>
                        </a:ext>
                      </a:extLst>
                    </a:blip>
                    <a:stretch>
                      <a:fillRect/>
                    </a:stretch>
                  </pic:blipFill>
                  <pic:spPr>
                    <a:xfrm>
                      <a:off x="0" y="0"/>
                      <a:ext cx="2339394" cy="1753373"/>
                    </a:xfrm>
                    <a:prstGeom prst="rect">
                      <a:avLst/>
                    </a:prstGeom>
                    <a:effectLst>
                      <a:outerShdw blurRad="50800" dist="50800" dir="5400000" algn="ctr" rotWithShape="0">
                        <a:srgbClr val="000000">
                          <a:alpha val="75000"/>
                        </a:srgbClr>
                      </a:outerShdw>
                    </a:effectLst>
                  </pic:spPr>
                </pic:pic>
              </a:graphicData>
            </a:graphic>
          </wp:inline>
        </w:drawing>
      </w:r>
    </w:p>
    <w:p w14:paraId="72BC84EE" w14:textId="77777777" w:rsidR="00806F29" w:rsidRPr="00252D7B" w:rsidRDefault="00806F29" w:rsidP="00B5569D">
      <w:pPr>
        <w:jc w:val="center"/>
        <w:rPr>
          <w:rFonts w:asciiTheme="minorHAnsi" w:hAnsiTheme="minorHAnsi" w:cstheme="minorHAnsi"/>
        </w:rPr>
      </w:pPr>
    </w:p>
    <w:p w14:paraId="4E4A4174" w14:textId="77777777" w:rsidR="00487EB2" w:rsidRPr="00252D7B" w:rsidRDefault="00487EB2" w:rsidP="00487EB2">
      <w:pPr>
        <w:pStyle w:val="Legenda"/>
        <w:keepNext/>
        <w:spacing w:after="0"/>
        <w:jc w:val="center"/>
        <w:rPr>
          <w:rFonts w:asciiTheme="minorHAnsi" w:hAnsiTheme="minorHAnsi" w:cstheme="minorHAnsi"/>
          <w:sz w:val="8"/>
          <w:szCs w:val="8"/>
        </w:rPr>
      </w:pPr>
    </w:p>
    <w:p w14:paraId="0228254A" w14:textId="03FD0203" w:rsidR="0066449F" w:rsidRPr="00252D7B" w:rsidRDefault="00DA0496" w:rsidP="004F2295">
      <w:pPr>
        <w:pStyle w:val="Legenda"/>
        <w:keepNext/>
        <w:spacing w:after="0"/>
        <w:jc w:val="center"/>
        <w:rPr>
          <w:rFonts w:asciiTheme="minorHAnsi" w:hAnsiTheme="minorHAnsi" w:cstheme="minorHAnsi"/>
        </w:rPr>
      </w:pPr>
      <w:bookmarkStart w:id="193" w:name="_Toc103680669"/>
      <w:r w:rsidRPr="00252D7B">
        <w:rPr>
          <w:rFonts w:asciiTheme="minorHAnsi" w:hAnsiTheme="minorHAnsi" w:cstheme="minorHAnsi"/>
          <w:sz w:val="20"/>
          <w:szCs w:val="20"/>
        </w:rPr>
        <w:t xml:space="preserve">Tabela </w:t>
      </w:r>
      <w:r w:rsidR="00FA416F" w:rsidRPr="00252D7B">
        <w:rPr>
          <w:rFonts w:asciiTheme="minorHAnsi" w:hAnsiTheme="minorHAnsi" w:cstheme="minorHAnsi"/>
          <w:sz w:val="20"/>
          <w:szCs w:val="20"/>
        </w:rPr>
        <w:fldChar w:fldCharType="begin"/>
      </w:r>
      <w:r w:rsidR="00FA416F" w:rsidRPr="00252D7B">
        <w:rPr>
          <w:rFonts w:asciiTheme="minorHAnsi" w:hAnsiTheme="minorHAnsi" w:cstheme="minorHAnsi"/>
          <w:sz w:val="20"/>
          <w:szCs w:val="20"/>
        </w:rPr>
        <w:instrText xml:space="preserve"> SEQ Tabela \* ARABIC </w:instrText>
      </w:r>
      <w:r w:rsidR="00FA416F"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7</w:t>
      </w:r>
      <w:r w:rsidR="00FA416F" w:rsidRPr="00252D7B">
        <w:rPr>
          <w:rFonts w:asciiTheme="minorHAnsi" w:hAnsiTheme="minorHAnsi" w:cstheme="minorHAnsi"/>
          <w:sz w:val="20"/>
          <w:szCs w:val="20"/>
        </w:rPr>
        <w:fldChar w:fldCharType="end"/>
      </w:r>
      <w:r w:rsidRPr="00252D7B">
        <w:rPr>
          <w:rFonts w:asciiTheme="minorHAnsi" w:hAnsiTheme="minorHAnsi" w:cstheme="minorHAnsi"/>
          <w:sz w:val="20"/>
          <w:szCs w:val="20"/>
        </w:rPr>
        <w:t xml:space="preserve"> </w:t>
      </w:r>
      <w:r w:rsidR="006169C9" w:rsidRPr="00252D7B">
        <w:rPr>
          <w:rFonts w:asciiTheme="minorHAnsi" w:hAnsiTheme="minorHAnsi" w:cstheme="minorHAnsi"/>
          <w:sz w:val="20"/>
          <w:szCs w:val="20"/>
        </w:rPr>
        <w:t>–</w:t>
      </w:r>
      <w:r w:rsidRPr="00252D7B">
        <w:rPr>
          <w:rFonts w:asciiTheme="minorHAnsi" w:hAnsiTheme="minorHAnsi" w:cstheme="minorHAnsi"/>
          <w:sz w:val="20"/>
          <w:szCs w:val="20"/>
        </w:rPr>
        <w:t xml:space="preserve"> Orçamento de Investimentos 2021 (R$ 1,00</w:t>
      </w:r>
      <w:r w:rsidRPr="00252D7B">
        <w:rPr>
          <w:rFonts w:asciiTheme="minorHAnsi" w:hAnsiTheme="minorHAnsi" w:cstheme="minorHAnsi"/>
          <w:noProof/>
          <w:sz w:val="20"/>
          <w:szCs w:val="20"/>
        </w:rPr>
        <w:t>)</w:t>
      </w:r>
      <w:bookmarkEnd w:id="193"/>
    </w:p>
    <w:tbl>
      <w:tblPr>
        <w:tblStyle w:val="Tabelacomgrade"/>
        <w:tblW w:w="9918" w:type="dxa"/>
        <w:jc w:val="center"/>
        <w:tblLayout w:type="fixed"/>
        <w:tblLook w:val="04A0" w:firstRow="1" w:lastRow="0" w:firstColumn="1" w:lastColumn="0" w:noHBand="0" w:noVBand="1"/>
      </w:tblPr>
      <w:tblGrid>
        <w:gridCol w:w="4119"/>
        <w:gridCol w:w="1449"/>
        <w:gridCol w:w="1450"/>
        <w:gridCol w:w="1450"/>
        <w:gridCol w:w="1450"/>
      </w:tblGrid>
      <w:tr w:rsidR="009520BC" w:rsidRPr="00252D7B" w14:paraId="272017E3" w14:textId="77777777" w:rsidTr="00E03684">
        <w:trPr>
          <w:trHeight w:val="466"/>
          <w:tblHeader/>
          <w:jc w:val="center"/>
        </w:trPr>
        <w:tc>
          <w:tcPr>
            <w:tcW w:w="4119" w:type="dxa"/>
            <w:tcBorders>
              <w:left w:val="nil"/>
            </w:tcBorders>
            <w:shd w:val="clear" w:color="auto" w:fill="D9D9D9" w:themeFill="background1" w:themeFillShade="D9"/>
            <w:vAlign w:val="center"/>
          </w:tcPr>
          <w:p w14:paraId="2989589F" w14:textId="1FDB6A05" w:rsidR="009520BC" w:rsidRPr="00E03684" w:rsidRDefault="009520BC" w:rsidP="009520BC">
            <w:pPr>
              <w:widowControl/>
              <w:autoSpaceDE/>
              <w:autoSpaceDN/>
              <w:jc w:val="center"/>
              <w:rPr>
                <w:rFonts w:asciiTheme="minorHAnsi" w:eastAsia="Times New Roman" w:hAnsiTheme="minorHAnsi" w:cstheme="minorHAnsi"/>
                <w:b/>
                <w:bCs/>
                <w:color w:val="000000"/>
                <w:sz w:val="20"/>
                <w:szCs w:val="20"/>
                <w:lang w:eastAsia="pt-BR" w:bidi="ar-SA"/>
              </w:rPr>
            </w:pPr>
            <w:r w:rsidRPr="00E03684">
              <w:rPr>
                <w:rFonts w:asciiTheme="minorHAnsi" w:hAnsiTheme="minorHAnsi" w:cstheme="minorHAnsi"/>
                <w:b/>
                <w:bCs/>
                <w:sz w:val="20"/>
                <w:szCs w:val="20"/>
              </w:rPr>
              <w:t>Ação Orçamentária</w:t>
            </w:r>
          </w:p>
        </w:tc>
        <w:tc>
          <w:tcPr>
            <w:tcW w:w="1449" w:type="dxa"/>
            <w:shd w:val="clear" w:color="auto" w:fill="D9D9D9" w:themeFill="background1" w:themeFillShade="D9"/>
            <w:vAlign w:val="center"/>
          </w:tcPr>
          <w:p w14:paraId="1420D48D" w14:textId="08EA9E00" w:rsidR="009520BC" w:rsidRPr="00E03684" w:rsidRDefault="009520BC" w:rsidP="009520BC">
            <w:pPr>
              <w:widowControl/>
              <w:autoSpaceDE/>
              <w:autoSpaceDN/>
              <w:jc w:val="center"/>
              <w:rPr>
                <w:rFonts w:asciiTheme="minorHAnsi" w:eastAsia="Times New Roman" w:hAnsiTheme="minorHAnsi" w:cstheme="minorHAnsi"/>
                <w:b/>
                <w:bCs/>
                <w:color w:val="000000"/>
                <w:sz w:val="20"/>
                <w:szCs w:val="20"/>
                <w:lang w:eastAsia="pt-BR" w:bidi="ar-SA"/>
              </w:rPr>
            </w:pPr>
            <w:r w:rsidRPr="00E03684">
              <w:rPr>
                <w:rFonts w:asciiTheme="minorHAnsi" w:hAnsiTheme="minorHAnsi" w:cstheme="minorHAnsi"/>
                <w:b/>
                <w:bCs/>
                <w:sz w:val="20"/>
                <w:szCs w:val="20"/>
              </w:rPr>
              <w:t>PLOA 2021</w:t>
            </w:r>
          </w:p>
        </w:tc>
        <w:tc>
          <w:tcPr>
            <w:tcW w:w="1450" w:type="dxa"/>
            <w:shd w:val="clear" w:color="auto" w:fill="D9D9D9" w:themeFill="background1" w:themeFillShade="D9"/>
            <w:vAlign w:val="center"/>
          </w:tcPr>
          <w:p w14:paraId="33C0CADA" w14:textId="6D2C8C55" w:rsidR="009520BC" w:rsidRPr="00E03684" w:rsidRDefault="009520BC" w:rsidP="009520BC">
            <w:pPr>
              <w:widowControl/>
              <w:autoSpaceDE/>
              <w:autoSpaceDN/>
              <w:jc w:val="center"/>
              <w:rPr>
                <w:rFonts w:asciiTheme="minorHAnsi" w:eastAsia="Times New Roman" w:hAnsiTheme="minorHAnsi" w:cstheme="minorHAnsi"/>
                <w:b/>
                <w:bCs/>
                <w:color w:val="000000"/>
                <w:sz w:val="20"/>
                <w:szCs w:val="20"/>
                <w:lang w:eastAsia="pt-BR" w:bidi="ar-SA"/>
              </w:rPr>
            </w:pPr>
            <w:r w:rsidRPr="00E03684">
              <w:rPr>
                <w:rFonts w:asciiTheme="minorHAnsi" w:hAnsiTheme="minorHAnsi" w:cstheme="minorHAnsi"/>
                <w:b/>
                <w:bCs/>
                <w:sz w:val="20"/>
                <w:szCs w:val="20"/>
              </w:rPr>
              <w:t>Dotação Atualizada</w:t>
            </w:r>
          </w:p>
        </w:tc>
        <w:tc>
          <w:tcPr>
            <w:tcW w:w="1450" w:type="dxa"/>
            <w:shd w:val="clear" w:color="auto" w:fill="D9D9D9" w:themeFill="background1" w:themeFillShade="D9"/>
            <w:vAlign w:val="center"/>
          </w:tcPr>
          <w:p w14:paraId="6AC78B13" w14:textId="50330166" w:rsidR="009520BC" w:rsidRPr="00E03684" w:rsidRDefault="009520BC" w:rsidP="009520BC">
            <w:pPr>
              <w:widowControl/>
              <w:autoSpaceDE/>
              <w:autoSpaceDN/>
              <w:jc w:val="center"/>
              <w:rPr>
                <w:rFonts w:asciiTheme="minorHAnsi" w:eastAsia="Times New Roman" w:hAnsiTheme="minorHAnsi" w:cstheme="minorHAnsi"/>
                <w:b/>
                <w:bCs/>
                <w:color w:val="000000"/>
                <w:sz w:val="20"/>
                <w:szCs w:val="20"/>
                <w:lang w:eastAsia="pt-BR" w:bidi="ar-SA"/>
              </w:rPr>
            </w:pPr>
            <w:r w:rsidRPr="00E03684">
              <w:rPr>
                <w:rFonts w:asciiTheme="minorHAnsi" w:hAnsiTheme="minorHAnsi" w:cstheme="minorHAnsi"/>
                <w:b/>
                <w:bCs/>
                <w:sz w:val="20"/>
                <w:szCs w:val="20"/>
              </w:rPr>
              <w:t>Despesas Empenhadas</w:t>
            </w:r>
          </w:p>
        </w:tc>
        <w:tc>
          <w:tcPr>
            <w:tcW w:w="1450" w:type="dxa"/>
            <w:tcBorders>
              <w:right w:val="nil"/>
            </w:tcBorders>
            <w:shd w:val="clear" w:color="auto" w:fill="D9D9D9" w:themeFill="background1" w:themeFillShade="D9"/>
            <w:vAlign w:val="center"/>
          </w:tcPr>
          <w:p w14:paraId="042F56C3" w14:textId="017597C5" w:rsidR="009520BC" w:rsidRPr="00E03684" w:rsidRDefault="009520BC" w:rsidP="009520BC">
            <w:pPr>
              <w:widowControl/>
              <w:autoSpaceDE/>
              <w:autoSpaceDN/>
              <w:jc w:val="center"/>
              <w:rPr>
                <w:rFonts w:asciiTheme="minorHAnsi" w:eastAsia="Times New Roman" w:hAnsiTheme="minorHAnsi" w:cstheme="minorHAnsi"/>
                <w:b/>
                <w:bCs/>
                <w:color w:val="000000"/>
                <w:sz w:val="20"/>
                <w:szCs w:val="20"/>
                <w:lang w:eastAsia="pt-BR" w:bidi="ar-SA"/>
              </w:rPr>
            </w:pPr>
            <w:r w:rsidRPr="00E03684">
              <w:rPr>
                <w:rFonts w:asciiTheme="minorHAnsi" w:hAnsiTheme="minorHAnsi" w:cstheme="minorHAnsi"/>
                <w:b/>
                <w:bCs/>
                <w:sz w:val="20"/>
                <w:szCs w:val="20"/>
              </w:rPr>
              <w:t>Despesas Pagas</w:t>
            </w:r>
          </w:p>
        </w:tc>
      </w:tr>
      <w:tr w:rsidR="009520BC" w:rsidRPr="00252D7B" w14:paraId="50359BE1" w14:textId="77777777" w:rsidTr="00E03684">
        <w:trPr>
          <w:jc w:val="center"/>
        </w:trPr>
        <w:tc>
          <w:tcPr>
            <w:tcW w:w="4119" w:type="dxa"/>
            <w:tcBorders>
              <w:left w:val="nil"/>
            </w:tcBorders>
            <w:vAlign w:val="center"/>
          </w:tcPr>
          <w:p w14:paraId="0720D408" w14:textId="4BA8FD62" w:rsidR="009520BC" w:rsidRPr="00E03684" w:rsidRDefault="009520BC" w:rsidP="009520BC">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116E - Construção da Ferrovia Norte-Sul - Anápolis/GO - Uruaçu/GO - EF-151</w:t>
            </w:r>
          </w:p>
        </w:tc>
        <w:tc>
          <w:tcPr>
            <w:tcW w:w="1449" w:type="dxa"/>
            <w:vAlign w:val="center"/>
          </w:tcPr>
          <w:p w14:paraId="1172F327" w14:textId="2D0D7D15"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3.157.622</w:t>
            </w:r>
          </w:p>
        </w:tc>
        <w:tc>
          <w:tcPr>
            <w:tcW w:w="1450" w:type="dxa"/>
            <w:vAlign w:val="center"/>
          </w:tcPr>
          <w:p w14:paraId="01E6D425" w14:textId="7984585B"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4.783.165</w:t>
            </w:r>
          </w:p>
        </w:tc>
        <w:tc>
          <w:tcPr>
            <w:tcW w:w="1450" w:type="dxa"/>
            <w:vAlign w:val="center"/>
          </w:tcPr>
          <w:p w14:paraId="0F655308" w14:textId="653E9112"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4.783.165</w:t>
            </w:r>
          </w:p>
        </w:tc>
        <w:tc>
          <w:tcPr>
            <w:tcW w:w="1450" w:type="dxa"/>
            <w:tcBorders>
              <w:right w:val="nil"/>
            </w:tcBorders>
            <w:vAlign w:val="center"/>
          </w:tcPr>
          <w:p w14:paraId="3D2F073E" w14:textId="2C503CAD"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118.863</w:t>
            </w:r>
          </w:p>
        </w:tc>
      </w:tr>
      <w:tr w:rsidR="009520BC" w:rsidRPr="00252D7B" w14:paraId="63EDAC4D" w14:textId="77777777" w:rsidTr="00E03684">
        <w:trPr>
          <w:jc w:val="center"/>
        </w:trPr>
        <w:tc>
          <w:tcPr>
            <w:tcW w:w="4119" w:type="dxa"/>
            <w:tcBorders>
              <w:left w:val="nil"/>
            </w:tcBorders>
            <w:vAlign w:val="center"/>
          </w:tcPr>
          <w:p w14:paraId="55CA902B" w14:textId="1D348A39" w:rsidR="009520BC" w:rsidRPr="00E03684" w:rsidRDefault="009520BC" w:rsidP="009520BC">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116X - Construção da Ferrovia Norte-Sul - Palmas/TO - Uruaçu/GO - EF-151</w:t>
            </w:r>
          </w:p>
        </w:tc>
        <w:tc>
          <w:tcPr>
            <w:tcW w:w="1449" w:type="dxa"/>
            <w:vAlign w:val="center"/>
          </w:tcPr>
          <w:p w14:paraId="5709A307" w14:textId="03A76A3A"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3.157.622</w:t>
            </w:r>
          </w:p>
        </w:tc>
        <w:tc>
          <w:tcPr>
            <w:tcW w:w="1450" w:type="dxa"/>
            <w:vAlign w:val="center"/>
          </w:tcPr>
          <w:p w14:paraId="27C0227B" w14:textId="48A2EB6B"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1.300.915</w:t>
            </w:r>
          </w:p>
        </w:tc>
        <w:tc>
          <w:tcPr>
            <w:tcW w:w="1450" w:type="dxa"/>
            <w:vAlign w:val="center"/>
          </w:tcPr>
          <w:p w14:paraId="10F7817C" w14:textId="2D2E3220"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1.300.915</w:t>
            </w:r>
          </w:p>
        </w:tc>
        <w:tc>
          <w:tcPr>
            <w:tcW w:w="1450" w:type="dxa"/>
            <w:tcBorders>
              <w:right w:val="nil"/>
            </w:tcBorders>
            <w:vAlign w:val="center"/>
          </w:tcPr>
          <w:p w14:paraId="022F1963" w14:textId="6045CFB0"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0</w:t>
            </w:r>
          </w:p>
        </w:tc>
      </w:tr>
      <w:tr w:rsidR="009520BC" w:rsidRPr="00252D7B" w14:paraId="17C0CC25" w14:textId="77777777" w:rsidTr="00E03684">
        <w:trPr>
          <w:jc w:val="center"/>
        </w:trPr>
        <w:tc>
          <w:tcPr>
            <w:tcW w:w="4119" w:type="dxa"/>
            <w:tcBorders>
              <w:left w:val="nil"/>
            </w:tcBorders>
            <w:vAlign w:val="center"/>
          </w:tcPr>
          <w:p w14:paraId="4059744A" w14:textId="713D7983" w:rsidR="009520BC" w:rsidRPr="00E03684" w:rsidRDefault="009520BC" w:rsidP="009520BC">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11ZD - Construção da Ferrovia Norte-Sul - Ouroeste/SP - Estrela D´Oeste/SP - EF-151</w:t>
            </w:r>
          </w:p>
        </w:tc>
        <w:tc>
          <w:tcPr>
            <w:tcW w:w="1449" w:type="dxa"/>
            <w:vAlign w:val="center"/>
          </w:tcPr>
          <w:p w14:paraId="42CEFE78" w14:textId="5E6B89FA"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115.371.594</w:t>
            </w:r>
          </w:p>
        </w:tc>
        <w:tc>
          <w:tcPr>
            <w:tcW w:w="1450" w:type="dxa"/>
            <w:vAlign w:val="center"/>
          </w:tcPr>
          <w:p w14:paraId="1A05154B" w14:textId="5E993188"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120.738.937</w:t>
            </w:r>
          </w:p>
        </w:tc>
        <w:tc>
          <w:tcPr>
            <w:tcW w:w="1450" w:type="dxa"/>
            <w:vAlign w:val="center"/>
          </w:tcPr>
          <w:p w14:paraId="500E8D9A" w14:textId="360E15F5"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 xml:space="preserve">114.613.588 </w:t>
            </w:r>
          </w:p>
        </w:tc>
        <w:tc>
          <w:tcPr>
            <w:tcW w:w="1450" w:type="dxa"/>
            <w:tcBorders>
              <w:right w:val="nil"/>
            </w:tcBorders>
            <w:vAlign w:val="center"/>
          </w:tcPr>
          <w:p w14:paraId="595B1EFE" w14:textId="556D32E4"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105.146.497</w:t>
            </w:r>
          </w:p>
        </w:tc>
      </w:tr>
      <w:tr w:rsidR="009520BC" w:rsidRPr="00252D7B" w14:paraId="1A3CD8E7" w14:textId="77777777" w:rsidTr="00E03684">
        <w:trPr>
          <w:jc w:val="center"/>
        </w:trPr>
        <w:tc>
          <w:tcPr>
            <w:tcW w:w="4119" w:type="dxa"/>
            <w:tcBorders>
              <w:left w:val="nil"/>
            </w:tcBorders>
            <w:vAlign w:val="center"/>
          </w:tcPr>
          <w:p w14:paraId="668422E4" w14:textId="59463B54" w:rsidR="009520BC" w:rsidRPr="00E03684" w:rsidRDefault="009520BC" w:rsidP="009520BC">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11ZE - Construção da Ferrovia de Integração Oeste-Leste - Ilhéus/BA - Caetité/BA - EF-334</w:t>
            </w:r>
          </w:p>
        </w:tc>
        <w:tc>
          <w:tcPr>
            <w:tcW w:w="1449" w:type="dxa"/>
            <w:vAlign w:val="center"/>
          </w:tcPr>
          <w:p w14:paraId="763B7CDC" w14:textId="765EF1EF"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725.620.674</w:t>
            </w:r>
          </w:p>
        </w:tc>
        <w:tc>
          <w:tcPr>
            <w:tcW w:w="1450" w:type="dxa"/>
            <w:vAlign w:val="center"/>
          </w:tcPr>
          <w:p w14:paraId="633203AC" w14:textId="337457A9"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613.402.338</w:t>
            </w:r>
          </w:p>
        </w:tc>
        <w:tc>
          <w:tcPr>
            <w:tcW w:w="1450" w:type="dxa"/>
            <w:vAlign w:val="center"/>
          </w:tcPr>
          <w:p w14:paraId="10C3D227" w14:textId="1153AF5C"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 xml:space="preserve">591.947.750 </w:t>
            </w:r>
          </w:p>
        </w:tc>
        <w:tc>
          <w:tcPr>
            <w:tcW w:w="1450" w:type="dxa"/>
            <w:tcBorders>
              <w:right w:val="nil"/>
            </w:tcBorders>
            <w:vAlign w:val="center"/>
          </w:tcPr>
          <w:p w14:paraId="4361CE87" w14:textId="527B2267"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308.833.816</w:t>
            </w:r>
          </w:p>
        </w:tc>
      </w:tr>
      <w:tr w:rsidR="009520BC" w:rsidRPr="00252D7B" w14:paraId="4E752FDF" w14:textId="77777777" w:rsidTr="00E03684">
        <w:trPr>
          <w:jc w:val="center"/>
        </w:trPr>
        <w:tc>
          <w:tcPr>
            <w:tcW w:w="4119" w:type="dxa"/>
            <w:tcBorders>
              <w:left w:val="nil"/>
            </w:tcBorders>
            <w:vAlign w:val="center"/>
          </w:tcPr>
          <w:p w14:paraId="7693733E" w14:textId="58E3BC48" w:rsidR="009520BC" w:rsidRPr="00E03684" w:rsidRDefault="009520BC" w:rsidP="009520BC">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11ZH - Construção da Ferrovia Norte-Sul - Ouro verde de Goiás/GO - São Simão/GO - EF-151</w:t>
            </w:r>
          </w:p>
        </w:tc>
        <w:tc>
          <w:tcPr>
            <w:tcW w:w="1449" w:type="dxa"/>
            <w:vAlign w:val="center"/>
          </w:tcPr>
          <w:p w14:paraId="11B91267" w14:textId="33BB0174"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4.672.837</w:t>
            </w:r>
          </w:p>
        </w:tc>
        <w:tc>
          <w:tcPr>
            <w:tcW w:w="1450" w:type="dxa"/>
            <w:vAlign w:val="center"/>
          </w:tcPr>
          <w:p w14:paraId="0403BD15" w14:textId="28339D2D"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6.474.240</w:t>
            </w:r>
          </w:p>
        </w:tc>
        <w:tc>
          <w:tcPr>
            <w:tcW w:w="1450" w:type="dxa"/>
            <w:vAlign w:val="center"/>
          </w:tcPr>
          <w:p w14:paraId="1E7982EE" w14:textId="5F219F9D"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6.474.240</w:t>
            </w:r>
          </w:p>
        </w:tc>
        <w:tc>
          <w:tcPr>
            <w:tcW w:w="1450" w:type="dxa"/>
            <w:tcBorders>
              <w:right w:val="nil"/>
            </w:tcBorders>
            <w:vAlign w:val="center"/>
          </w:tcPr>
          <w:p w14:paraId="36A0B60F" w14:textId="27F522D4"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1.861.811</w:t>
            </w:r>
          </w:p>
        </w:tc>
      </w:tr>
      <w:tr w:rsidR="009520BC" w:rsidRPr="00252D7B" w14:paraId="796C9DAF" w14:textId="77777777" w:rsidTr="00E03684">
        <w:trPr>
          <w:jc w:val="center"/>
        </w:trPr>
        <w:tc>
          <w:tcPr>
            <w:tcW w:w="4119" w:type="dxa"/>
            <w:tcBorders>
              <w:left w:val="nil"/>
            </w:tcBorders>
            <w:vAlign w:val="center"/>
          </w:tcPr>
          <w:p w14:paraId="42F0CCD7" w14:textId="0245DBDD" w:rsidR="009520BC" w:rsidRPr="00E03684" w:rsidRDefault="009520BC" w:rsidP="009520BC">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11ZI - Construção da Ferrovia Norte-Sul - Santa Vitória/MG - Iturama/MG - EF-151</w:t>
            </w:r>
          </w:p>
        </w:tc>
        <w:tc>
          <w:tcPr>
            <w:tcW w:w="1449" w:type="dxa"/>
            <w:vAlign w:val="center"/>
          </w:tcPr>
          <w:p w14:paraId="2AEF3B6F" w14:textId="4D104D47"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1.469.366</w:t>
            </w:r>
          </w:p>
        </w:tc>
        <w:tc>
          <w:tcPr>
            <w:tcW w:w="1450" w:type="dxa"/>
            <w:vAlign w:val="center"/>
          </w:tcPr>
          <w:p w14:paraId="36C7D74F" w14:textId="05718C25"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821.144</w:t>
            </w:r>
          </w:p>
        </w:tc>
        <w:tc>
          <w:tcPr>
            <w:tcW w:w="1450" w:type="dxa"/>
            <w:vAlign w:val="center"/>
          </w:tcPr>
          <w:p w14:paraId="2B9BBE34" w14:textId="701A0868"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821.144</w:t>
            </w:r>
          </w:p>
        </w:tc>
        <w:tc>
          <w:tcPr>
            <w:tcW w:w="1450" w:type="dxa"/>
            <w:tcBorders>
              <w:right w:val="nil"/>
            </w:tcBorders>
            <w:vAlign w:val="center"/>
          </w:tcPr>
          <w:p w14:paraId="10DC95D4" w14:textId="31C17AFD"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568.006</w:t>
            </w:r>
          </w:p>
        </w:tc>
      </w:tr>
      <w:tr w:rsidR="009520BC" w:rsidRPr="00252D7B" w14:paraId="60C67F68" w14:textId="77777777" w:rsidTr="00E03684">
        <w:trPr>
          <w:jc w:val="center"/>
        </w:trPr>
        <w:tc>
          <w:tcPr>
            <w:tcW w:w="4119" w:type="dxa"/>
            <w:tcBorders>
              <w:left w:val="nil"/>
            </w:tcBorders>
            <w:vAlign w:val="center"/>
          </w:tcPr>
          <w:p w14:paraId="40F2F0B9" w14:textId="66980377" w:rsidR="009520BC" w:rsidRPr="00E03684" w:rsidRDefault="009520BC" w:rsidP="009520BC">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124G - Construção da Ferrovia de Integração Oeste-Leste - Caetité/BA - Barreiras/BA - EF-334</w:t>
            </w:r>
          </w:p>
        </w:tc>
        <w:tc>
          <w:tcPr>
            <w:tcW w:w="1449" w:type="dxa"/>
            <w:vAlign w:val="center"/>
          </w:tcPr>
          <w:p w14:paraId="4309B7A8" w14:textId="70C9D7FA"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482.224.973</w:t>
            </w:r>
          </w:p>
        </w:tc>
        <w:tc>
          <w:tcPr>
            <w:tcW w:w="1450" w:type="dxa"/>
            <w:vAlign w:val="center"/>
          </w:tcPr>
          <w:p w14:paraId="66D788B0" w14:textId="0A6F734E"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391.883.153</w:t>
            </w:r>
          </w:p>
        </w:tc>
        <w:tc>
          <w:tcPr>
            <w:tcW w:w="1450" w:type="dxa"/>
            <w:vAlign w:val="center"/>
          </w:tcPr>
          <w:p w14:paraId="75A3ADE9" w14:textId="70A736F3"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379.883.151</w:t>
            </w:r>
          </w:p>
        </w:tc>
        <w:tc>
          <w:tcPr>
            <w:tcW w:w="1450" w:type="dxa"/>
            <w:tcBorders>
              <w:right w:val="nil"/>
            </w:tcBorders>
            <w:vAlign w:val="center"/>
          </w:tcPr>
          <w:p w14:paraId="2353CC04" w14:textId="59F3EA48"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173.075.854</w:t>
            </w:r>
          </w:p>
        </w:tc>
      </w:tr>
      <w:tr w:rsidR="009520BC" w:rsidRPr="00252D7B" w14:paraId="6C851301" w14:textId="77777777" w:rsidTr="00E03684">
        <w:trPr>
          <w:jc w:val="center"/>
        </w:trPr>
        <w:tc>
          <w:tcPr>
            <w:tcW w:w="4119" w:type="dxa"/>
            <w:tcBorders>
              <w:left w:val="nil"/>
            </w:tcBorders>
            <w:vAlign w:val="center"/>
          </w:tcPr>
          <w:p w14:paraId="3C6BD5D3" w14:textId="30053A28" w:rsidR="009520BC" w:rsidRPr="00E03684" w:rsidRDefault="009520BC" w:rsidP="009520BC">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14X6 - Recuperação de Áreas Degradadas - Ferrovias Federais</w:t>
            </w:r>
          </w:p>
        </w:tc>
        <w:tc>
          <w:tcPr>
            <w:tcW w:w="1449" w:type="dxa"/>
            <w:vAlign w:val="center"/>
          </w:tcPr>
          <w:p w14:paraId="0FF6DFDD" w14:textId="429E5283"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2.226.310</w:t>
            </w:r>
          </w:p>
        </w:tc>
        <w:tc>
          <w:tcPr>
            <w:tcW w:w="1450" w:type="dxa"/>
            <w:vAlign w:val="center"/>
          </w:tcPr>
          <w:p w14:paraId="0CF6DD75" w14:textId="4ED03C70"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0</w:t>
            </w:r>
          </w:p>
        </w:tc>
        <w:tc>
          <w:tcPr>
            <w:tcW w:w="1450" w:type="dxa"/>
            <w:vAlign w:val="center"/>
          </w:tcPr>
          <w:p w14:paraId="759A7F82" w14:textId="25AB6E27"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0</w:t>
            </w:r>
          </w:p>
        </w:tc>
        <w:tc>
          <w:tcPr>
            <w:tcW w:w="1450" w:type="dxa"/>
            <w:tcBorders>
              <w:right w:val="nil"/>
            </w:tcBorders>
            <w:vAlign w:val="center"/>
          </w:tcPr>
          <w:p w14:paraId="431A8C4C" w14:textId="3CADA35D"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0</w:t>
            </w:r>
          </w:p>
        </w:tc>
      </w:tr>
      <w:tr w:rsidR="009520BC" w:rsidRPr="00252D7B" w14:paraId="25AA6289" w14:textId="77777777" w:rsidTr="00E03684">
        <w:trPr>
          <w:jc w:val="center"/>
        </w:trPr>
        <w:tc>
          <w:tcPr>
            <w:tcW w:w="4119" w:type="dxa"/>
            <w:tcBorders>
              <w:left w:val="nil"/>
            </w:tcBorders>
            <w:vAlign w:val="center"/>
          </w:tcPr>
          <w:p w14:paraId="49D33AF9" w14:textId="0E7AE387" w:rsidR="009520BC" w:rsidRPr="00E03684" w:rsidRDefault="009520BC" w:rsidP="009520BC">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 xml:space="preserve">15P7 - Modernização e Ampliação da Infraestrutura de Tecnologia da Informação </w:t>
            </w:r>
          </w:p>
        </w:tc>
        <w:tc>
          <w:tcPr>
            <w:tcW w:w="1449" w:type="dxa"/>
            <w:vAlign w:val="center"/>
          </w:tcPr>
          <w:p w14:paraId="478A49DC" w14:textId="5DA74B39"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300.000</w:t>
            </w:r>
          </w:p>
        </w:tc>
        <w:tc>
          <w:tcPr>
            <w:tcW w:w="1450" w:type="dxa"/>
            <w:vAlign w:val="center"/>
          </w:tcPr>
          <w:p w14:paraId="1F4049E0" w14:textId="75FDA724"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0</w:t>
            </w:r>
          </w:p>
        </w:tc>
        <w:tc>
          <w:tcPr>
            <w:tcW w:w="1450" w:type="dxa"/>
            <w:vAlign w:val="center"/>
          </w:tcPr>
          <w:p w14:paraId="005EDEC3" w14:textId="1F01FD53"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0</w:t>
            </w:r>
          </w:p>
        </w:tc>
        <w:tc>
          <w:tcPr>
            <w:tcW w:w="1450" w:type="dxa"/>
            <w:tcBorders>
              <w:right w:val="nil"/>
            </w:tcBorders>
            <w:vAlign w:val="center"/>
          </w:tcPr>
          <w:p w14:paraId="52947DC9" w14:textId="2A602CB3"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0</w:t>
            </w:r>
          </w:p>
        </w:tc>
      </w:tr>
      <w:tr w:rsidR="009520BC" w:rsidRPr="00252D7B" w14:paraId="15EBAC17" w14:textId="77777777" w:rsidTr="00E03684">
        <w:trPr>
          <w:jc w:val="center"/>
        </w:trPr>
        <w:tc>
          <w:tcPr>
            <w:tcW w:w="4119" w:type="dxa"/>
            <w:tcBorders>
              <w:left w:val="nil"/>
            </w:tcBorders>
            <w:vAlign w:val="center"/>
          </w:tcPr>
          <w:p w14:paraId="10B2463C" w14:textId="03F48D44" w:rsidR="009520BC" w:rsidRPr="00E03684" w:rsidRDefault="009520BC" w:rsidP="009520BC">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15v3 - Construção da Ferrovia de Integração Centro Oeste - Trecho Mara Rosa (GO) a Porto Velho (RO) - EF-354</w:t>
            </w:r>
          </w:p>
        </w:tc>
        <w:tc>
          <w:tcPr>
            <w:tcW w:w="1449" w:type="dxa"/>
            <w:vAlign w:val="center"/>
          </w:tcPr>
          <w:p w14:paraId="223D2A4A" w14:textId="73695D7C"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6.520.000</w:t>
            </w:r>
          </w:p>
        </w:tc>
        <w:tc>
          <w:tcPr>
            <w:tcW w:w="1450" w:type="dxa"/>
            <w:vAlign w:val="center"/>
          </w:tcPr>
          <w:p w14:paraId="1F8C1F18" w14:textId="2C345988"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5.993.428</w:t>
            </w:r>
          </w:p>
        </w:tc>
        <w:tc>
          <w:tcPr>
            <w:tcW w:w="1450" w:type="dxa"/>
            <w:vAlign w:val="center"/>
          </w:tcPr>
          <w:p w14:paraId="5D9196C3" w14:textId="6F5B7711"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5.993.427</w:t>
            </w:r>
          </w:p>
        </w:tc>
        <w:tc>
          <w:tcPr>
            <w:tcW w:w="1450" w:type="dxa"/>
            <w:tcBorders>
              <w:right w:val="nil"/>
            </w:tcBorders>
            <w:vAlign w:val="center"/>
          </w:tcPr>
          <w:p w14:paraId="355195C6" w14:textId="22F3BE04"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375.982</w:t>
            </w:r>
          </w:p>
        </w:tc>
      </w:tr>
      <w:tr w:rsidR="009520BC" w:rsidRPr="00252D7B" w14:paraId="18150AA9" w14:textId="77777777" w:rsidTr="00E03684">
        <w:trPr>
          <w:jc w:val="center"/>
        </w:trPr>
        <w:tc>
          <w:tcPr>
            <w:tcW w:w="4119" w:type="dxa"/>
            <w:tcBorders>
              <w:left w:val="nil"/>
            </w:tcBorders>
            <w:vAlign w:val="center"/>
          </w:tcPr>
          <w:p w14:paraId="0A766C32" w14:textId="7BCD5639" w:rsidR="009520BC" w:rsidRPr="00E03684" w:rsidRDefault="009520BC" w:rsidP="009520BC">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2000 – Administração da Unidade</w:t>
            </w:r>
          </w:p>
        </w:tc>
        <w:tc>
          <w:tcPr>
            <w:tcW w:w="1449" w:type="dxa"/>
            <w:vAlign w:val="center"/>
          </w:tcPr>
          <w:p w14:paraId="7C216FE2" w14:textId="0F71C072"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259.996</w:t>
            </w:r>
          </w:p>
        </w:tc>
        <w:tc>
          <w:tcPr>
            <w:tcW w:w="1450" w:type="dxa"/>
            <w:vAlign w:val="center"/>
          </w:tcPr>
          <w:p w14:paraId="29CE3A5F" w14:textId="19F09315"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300.000</w:t>
            </w:r>
          </w:p>
        </w:tc>
        <w:tc>
          <w:tcPr>
            <w:tcW w:w="1450" w:type="dxa"/>
            <w:vAlign w:val="center"/>
          </w:tcPr>
          <w:p w14:paraId="67A21F5B" w14:textId="3D4752EA"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73.824</w:t>
            </w:r>
          </w:p>
        </w:tc>
        <w:tc>
          <w:tcPr>
            <w:tcW w:w="1450" w:type="dxa"/>
            <w:tcBorders>
              <w:right w:val="nil"/>
            </w:tcBorders>
            <w:vAlign w:val="center"/>
          </w:tcPr>
          <w:p w14:paraId="5199E5E3" w14:textId="74449D04"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0</w:t>
            </w:r>
          </w:p>
        </w:tc>
      </w:tr>
      <w:tr w:rsidR="009520BC" w:rsidRPr="00252D7B" w14:paraId="0FF5B7B3" w14:textId="77777777" w:rsidTr="00E03684">
        <w:trPr>
          <w:jc w:val="center"/>
        </w:trPr>
        <w:tc>
          <w:tcPr>
            <w:tcW w:w="4119" w:type="dxa"/>
            <w:tcBorders>
              <w:left w:val="nil"/>
            </w:tcBorders>
            <w:vAlign w:val="center"/>
          </w:tcPr>
          <w:p w14:paraId="721CAD7D" w14:textId="5224A6F5" w:rsidR="009520BC" w:rsidRPr="00E03684" w:rsidRDefault="009520BC" w:rsidP="009520BC">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20LJ - Manutenção e Operação da Malha Ferroviária Federal</w:t>
            </w:r>
          </w:p>
        </w:tc>
        <w:tc>
          <w:tcPr>
            <w:tcW w:w="1449" w:type="dxa"/>
            <w:vAlign w:val="center"/>
          </w:tcPr>
          <w:p w14:paraId="513876F1" w14:textId="08BA3707"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0</w:t>
            </w:r>
          </w:p>
        </w:tc>
        <w:tc>
          <w:tcPr>
            <w:tcW w:w="1450" w:type="dxa"/>
            <w:vAlign w:val="center"/>
          </w:tcPr>
          <w:p w14:paraId="7E37CFFE" w14:textId="6ADDAB5B"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0</w:t>
            </w:r>
          </w:p>
        </w:tc>
        <w:tc>
          <w:tcPr>
            <w:tcW w:w="1450" w:type="dxa"/>
            <w:vAlign w:val="center"/>
          </w:tcPr>
          <w:p w14:paraId="3E333850" w14:textId="5503BB84"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0</w:t>
            </w:r>
          </w:p>
        </w:tc>
        <w:tc>
          <w:tcPr>
            <w:tcW w:w="1450" w:type="dxa"/>
            <w:tcBorders>
              <w:right w:val="nil"/>
            </w:tcBorders>
            <w:vAlign w:val="center"/>
          </w:tcPr>
          <w:p w14:paraId="4E042469" w14:textId="0B3DA1BB"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0</w:t>
            </w:r>
          </w:p>
        </w:tc>
      </w:tr>
      <w:tr w:rsidR="009520BC" w:rsidRPr="00252D7B" w14:paraId="1C27F3EE" w14:textId="77777777" w:rsidTr="00E03684">
        <w:trPr>
          <w:jc w:val="center"/>
        </w:trPr>
        <w:tc>
          <w:tcPr>
            <w:tcW w:w="4119" w:type="dxa"/>
            <w:tcBorders>
              <w:left w:val="nil"/>
            </w:tcBorders>
            <w:vAlign w:val="center"/>
          </w:tcPr>
          <w:p w14:paraId="70AEBE1E" w14:textId="56723030" w:rsidR="009520BC" w:rsidRPr="00E03684" w:rsidRDefault="009520BC" w:rsidP="009520BC">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20UA - Estudos, Projetos e Planejamento de Infraestrutura de Transportes</w:t>
            </w:r>
          </w:p>
        </w:tc>
        <w:tc>
          <w:tcPr>
            <w:tcW w:w="1449" w:type="dxa"/>
            <w:vAlign w:val="center"/>
          </w:tcPr>
          <w:p w14:paraId="7AC08001" w14:textId="75AF968C"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0</w:t>
            </w:r>
          </w:p>
        </w:tc>
        <w:tc>
          <w:tcPr>
            <w:tcW w:w="1450" w:type="dxa"/>
            <w:vAlign w:val="center"/>
          </w:tcPr>
          <w:p w14:paraId="45FB90FC" w14:textId="6C2F7563"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0</w:t>
            </w:r>
          </w:p>
        </w:tc>
        <w:tc>
          <w:tcPr>
            <w:tcW w:w="1450" w:type="dxa"/>
            <w:vAlign w:val="center"/>
          </w:tcPr>
          <w:p w14:paraId="5EF5FFAB" w14:textId="73B752F8"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0</w:t>
            </w:r>
          </w:p>
        </w:tc>
        <w:tc>
          <w:tcPr>
            <w:tcW w:w="1450" w:type="dxa"/>
            <w:tcBorders>
              <w:right w:val="nil"/>
            </w:tcBorders>
            <w:vAlign w:val="center"/>
          </w:tcPr>
          <w:p w14:paraId="1E5E2115" w14:textId="5AF6E59C"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0</w:t>
            </w:r>
          </w:p>
        </w:tc>
      </w:tr>
      <w:tr w:rsidR="009520BC" w:rsidRPr="00252D7B" w14:paraId="09FD0288" w14:textId="77777777" w:rsidTr="00E03684">
        <w:trPr>
          <w:jc w:val="center"/>
        </w:trPr>
        <w:tc>
          <w:tcPr>
            <w:tcW w:w="4119" w:type="dxa"/>
            <w:tcBorders>
              <w:left w:val="nil"/>
            </w:tcBorders>
            <w:vAlign w:val="center"/>
          </w:tcPr>
          <w:p w14:paraId="63F69E5B" w14:textId="4CD372B4" w:rsidR="009520BC" w:rsidRPr="00E03684" w:rsidRDefault="009520BC" w:rsidP="009520BC">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20UC - Estudos, Projetos e Planejamento de Infraestrutura de Transportes</w:t>
            </w:r>
          </w:p>
        </w:tc>
        <w:tc>
          <w:tcPr>
            <w:tcW w:w="1449" w:type="dxa"/>
            <w:vAlign w:val="center"/>
          </w:tcPr>
          <w:p w14:paraId="0725EA05" w14:textId="66E445D8"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14.400.000</w:t>
            </w:r>
          </w:p>
        </w:tc>
        <w:tc>
          <w:tcPr>
            <w:tcW w:w="1450" w:type="dxa"/>
            <w:vAlign w:val="center"/>
          </w:tcPr>
          <w:p w14:paraId="548F76F1" w14:textId="5E58633B"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0</w:t>
            </w:r>
          </w:p>
        </w:tc>
        <w:tc>
          <w:tcPr>
            <w:tcW w:w="1450" w:type="dxa"/>
            <w:vAlign w:val="center"/>
          </w:tcPr>
          <w:p w14:paraId="1ED2CD13" w14:textId="7FE3C09F"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0</w:t>
            </w:r>
          </w:p>
        </w:tc>
        <w:tc>
          <w:tcPr>
            <w:tcW w:w="1450" w:type="dxa"/>
            <w:tcBorders>
              <w:right w:val="nil"/>
            </w:tcBorders>
            <w:vAlign w:val="center"/>
          </w:tcPr>
          <w:p w14:paraId="18121D5C" w14:textId="5F618D12"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0</w:t>
            </w:r>
          </w:p>
        </w:tc>
      </w:tr>
      <w:tr w:rsidR="009520BC" w:rsidRPr="00252D7B" w14:paraId="1E27813E" w14:textId="77777777" w:rsidTr="00E03684">
        <w:trPr>
          <w:jc w:val="center"/>
        </w:trPr>
        <w:tc>
          <w:tcPr>
            <w:tcW w:w="4119" w:type="dxa"/>
            <w:tcBorders>
              <w:left w:val="nil"/>
            </w:tcBorders>
            <w:vAlign w:val="center"/>
          </w:tcPr>
          <w:p w14:paraId="5E721EA5" w14:textId="03FCE64D" w:rsidR="009520BC" w:rsidRPr="00E03684" w:rsidRDefault="009520BC" w:rsidP="009520BC">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219Z - Conservação e Recuperação de Ativos de Infraestrutura da União</w:t>
            </w:r>
          </w:p>
        </w:tc>
        <w:tc>
          <w:tcPr>
            <w:tcW w:w="1449" w:type="dxa"/>
            <w:vAlign w:val="center"/>
          </w:tcPr>
          <w:p w14:paraId="5B0E8DEF" w14:textId="5AACE6BC"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0</w:t>
            </w:r>
          </w:p>
        </w:tc>
        <w:tc>
          <w:tcPr>
            <w:tcW w:w="1450" w:type="dxa"/>
            <w:vAlign w:val="center"/>
          </w:tcPr>
          <w:p w14:paraId="5867FC8A" w14:textId="361CAEA9"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0</w:t>
            </w:r>
          </w:p>
        </w:tc>
        <w:tc>
          <w:tcPr>
            <w:tcW w:w="1450" w:type="dxa"/>
            <w:vAlign w:val="center"/>
          </w:tcPr>
          <w:p w14:paraId="2850177F" w14:textId="0565669C"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0</w:t>
            </w:r>
          </w:p>
        </w:tc>
        <w:tc>
          <w:tcPr>
            <w:tcW w:w="1450" w:type="dxa"/>
            <w:tcBorders>
              <w:right w:val="nil"/>
            </w:tcBorders>
            <w:vAlign w:val="center"/>
          </w:tcPr>
          <w:p w14:paraId="23A2230D" w14:textId="1E1E20A7"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0</w:t>
            </w:r>
          </w:p>
        </w:tc>
      </w:tr>
      <w:tr w:rsidR="009520BC" w:rsidRPr="00252D7B" w14:paraId="210D0A21" w14:textId="77777777" w:rsidTr="00E03684">
        <w:trPr>
          <w:jc w:val="center"/>
        </w:trPr>
        <w:tc>
          <w:tcPr>
            <w:tcW w:w="4119" w:type="dxa"/>
            <w:tcBorders>
              <w:left w:val="nil"/>
            </w:tcBorders>
            <w:vAlign w:val="center"/>
          </w:tcPr>
          <w:p w14:paraId="71793CEC" w14:textId="3B77304C" w:rsidR="009520BC" w:rsidRPr="00E03684" w:rsidRDefault="009520BC" w:rsidP="009520BC">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5E83 - Construção da Ferrovia Norte-Sul - Aguiarnópolis/TO - Palmas</w:t>
            </w:r>
          </w:p>
        </w:tc>
        <w:tc>
          <w:tcPr>
            <w:tcW w:w="1449" w:type="dxa"/>
            <w:vAlign w:val="center"/>
          </w:tcPr>
          <w:p w14:paraId="53232657" w14:textId="558D24E5"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5.825.455</w:t>
            </w:r>
          </w:p>
        </w:tc>
        <w:tc>
          <w:tcPr>
            <w:tcW w:w="1450" w:type="dxa"/>
            <w:vAlign w:val="center"/>
          </w:tcPr>
          <w:p w14:paraId="0682B425" w14:textId="22CD524A"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3.482.657</w:t>
            </w:r>
          </w:p>
        </w:tc>
        <w:tc>
          <w:tcPr>
            <w:tcW w:w="1450" w:type="dxa"/>
            <w:vAlign w:val="center"/>
          </w:tcPr>
          <w:p w14:paraId="5F45AF6E" w14:textId="39DAA658"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3.482.657</w:t>
            </w:r>
          </w:p>
        </w:tc>
        <w:tc>
          <w:tcPr>
            <w:tcW w:w="1450" w:type="dxa"/>
            <w:tcBorders>
              <w:right w:val="nil"/>
            </w:tcBorders>
            <w:vAlign w:val="center"/>
          </w:tcPr>
          <w:p w14:paraId="0F67ED73" w14:textId="142C400F"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0</w:t>
            </w:r>
          </w:p>
        </w:tc>
      </w:tr>
      <w:tr w:rsidR="009520BC" w:rsidRPr="00252D7B" w14:paraId="224AF8AE" w14:textId="77777777" w:rsidTr="00E03684">
        <w:trPr>
          <w:jc w:val="center"/>
        </w:trPr>
        <w:tc>
          <w:tcPr>
            <w:tcW w:w="4119" w:type="dxa"/>
            <w:tcBorders>
              <w:left w:val="nil"/>
            </w:tcBorders>
            <w:vAlign w:val="center"/>
          </w:tcPr>
          <w:p w14:paraId="17996A75" w14:textId="0B24EE44" w:rsidR="009520BC" w:rsidRPr="00E03684" w:rsidRDefault="009520BC" w:rsidP="009520BC">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8785 - Gestão e Coordenação do Programa de Aceleração do Crescimento</w:t>
            </w:r>
          </w:p>
        </w:tc>
        <w:tc>
          <w:tcPr>
            <w:tcW w:w="1449" w:type="dxa"/>
            <w:vAlign w:val="center"/>
          </w:tcPr>
          <w:p w14:paraId="7395CCD0" w14:textId="6AB9320F"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0</w:t>
            </w:r>
          </w:p>
        </w:tc>
        <w:tc>
          <w:tcPr>
            <w:tcW w:w="1450" w:type="dxa"/>
            <w:vAlign w:val="center"/>
          </w:tcPr>
          <w:p w14:paraId="54DF3E3F" w14:textId="5DC25A5E"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0</w:t>
            </w:r>
          </w:p>
        </w:tc>
        <w:tc>
          <w:tcPr>
            <w:tcW w:w="1450" w:type="dxa"/>
            <w:vAlign w:val="center"/>
          </w:tcPr>
          <w:p w14:paraId="1363EC4D" w14:textId="0411A331"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0</w:t>
            </w:r>
          </w:p>
        </w:tc>
        <w:tc>
          <w:tcPr>
            <w:tcW w:w="1450" w:type="dxa"/>
            <w:tcBorders>
              <w:right w:val="nil"/>
            </w:tcBorders>
            <w:vAlign w:val="center"/>
          </w:tcPr>
          <w:p w14:paraId="7B6D11A6" w14:textId="33AE3684" w:rsidR="009520BC" w:rsidRPr="00E03684" w:rsidRDefault="009520BC" w:rsidP="009520BC">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E03684">
              <w:rPr>
                <w:rFonts w:asciiTheme="minorHAnsi" w:eastAsia="Times New Roman" w:hAnsiTheme="minorHAnsi" w:cstheme="minorHAnsi"/>
                <w:color w:val="000000"/>
                <w:sz w:val="20"/>
                <w:szCs w:val="20"/>
                <w:lang w:eastAsia="pt-BR" w:bidi="ar-SA"/>
              </w:rPr>
              <w:t>0</w:t>
            </w:r>
          </w:p>
        </w:tc>
      </w:tr>
    </w:tbl>
    <w:p w14:paraId="2FA4F58B" w14:textId="77777777" w:rsidR="00174B55" w:rsidRPr="00252D7B" w:rsidRDefault="00174B55" w:rsidP="0066449F">
      <w:pPr>
        <w:pStyle w:val="Legenda"/>
        <w:keepNext/>
        <w:spacing w:after="0"/>
        <w:jc w:val="center"/>
        <w:rPr>
          <w:rFonts w:asciiTheme="minorHAnsi" w:hAnsiTheme="minorHAnsi" w:cstheme="minorHAnsi"/>
          <w:sz w:val="8"/>
          <w:szCs w:val="8"/>
        </w:rPr>
      </w:pPr>
    </w:p>
    <w:p w14:paraId="7093C577" w14:textId="563170CA" w:rsidR="0066449F" w:rsidRPr="00252D7B" w:rsidRDefault="0066449F" w:rsidP="00806F29">
      <w:pPr>
        <w:pStyle w:val="Legenda"/>
        <w:keepNext/>
        <w:spacing w:after="0"/>
        <w:jc w:val="center"/>
        <w:rPr>
          <w:rFonts w:asciiTheme="minorHAnsi" w:hAnsiTheme="minorHAnsi" w:cstheme="minorHAnsi"/>
          <w:sz w:val="20"/>
          <w:szCs w:val="20"/>
        </w:rPr>
      </w:pPr>
      <w:r w:rsidRPr="00252D7B">
        <w:rPr>
          <w:rFonts w:asciiTheme="minorHAnsi" w:hAnsiTheme="minorHAnsi" w:cstheme="minorHAnsi"/>
          <w:sz w:val="20"/>
          <w:szCs w:val="20"/>
        </w:rPr>
        <w:t>Fonte: Tesouro Gerencial</w:t>
      </w:r>
      <w:bookmarkStart w:id="194" w:name="_Toc97216031"/>
      <w:bookmarkEnd w:id="191"/>
    </w:p>
    <w:p w14:paraId="41C0D990" w14:textId="77777777" w:rsidR="00806F29" w:rsidRPr="00252D7B" w:rsidRDefault="00806F29" w:rsidP="00806F29">
      <w:pPr>
        <w:rPr>
          <w:rFonts w:asciiTheme="minorHAnsi" w:hAnsiTheme="minorHAnsi" w:cstheme="minorHAnsi"/>
        </w:rPr>
      </w:pPr>
    </w:p>
    <w:p w14:paraId="4864288E" w14:textId="5F5AF62A" w:rsidR="00A41DBB" w:rsidRPr="00252D7B" w:rsidRDefault="00A41DBB" w:rsidP="00A41DBB">
      <w:pPr>
        <w:spacing w:before="120" w:after="120"/>
        <w:jc w:val="both"/>
        <w:rPr>
          <w:rFonts w:asciiTheme="minorHAnsi" w:hAnsiTheme="minorHAnsi" w:cstheme="minorHAnsi"/>
          <w:sz w:val="24"/>
          <w:szCs w:val="24"/>
          <w:lang w:eastAsia="pt-BR"/>
        </w:rPr>
      </w:pPr>
      <w:bookmarkStart w:id="195" w:name="_Hlk97193208"/>
      <w:bookmarkEnd w:id="194"/>
      <w:r w:rsidRPr="00252D7B">
        <w:rPr>
          <w:rFonts w:asciiTheme="minorHAnsi" w:hAnsiTheme="minorHAnsi" w:cstheme="minorHAnsi"/>
          <w:sz w:val="24"/>
          <w:szCs w:val="24"/>
          <w:lang w:eastAsia="pt-BR"/>
        </w:rPr>
        <w:lastRenderedPageBreak/>
        <w:t>Em 2021 foram realizados R$</w:t>
      </w:r>
      <w:r w:rsidR="004F3A54">
        <w:rPr>
          <w:rFonts w:asciiTheme="minorHAnsi" w:hAnsiTheme="minorHAnsi" w:cstheme="minorHAnsi"/>
          <w:sz w:val="24"/>
          <w:szCs w:val="24"/>
          <w:lang w:eastAsia="pt-BR"/>
        </w:rPr>
        <w:t xml:space="preserve"> </w:t>
      </w:r>
      <w:r w:rsidRPr="00252D7B">
        <w:rPr>
          <w:rFonts w:asciiTheme="minorHAnsi" w:hAnsiTheme="minorHAnsi" w:cstheme="minorHAnsi"/>
          <w:sz w:val="24"/>
          <w:szCs w:val="24"/>
          <w:lang w:eastAsia="pt-BR"/>
        </w:rPr>
        <w:t>381,6 Milhões em pagamentos de investimentos, o que representa 55% do montante de recursos orçamentários disponibilizados em 2021. Para o período foram disponibilizados R$</w:t>
      </w:r>
      <w:r w:rsidR="004F3A54">
        <w:rPr>
          <w:rFonts w:asciiTheme="minorHAnsi" w:hAnsiTheme="minorHAnsi" w:cstheme="minorHAnsi"/>
          <w:sz w:val="24"/>
          <w:szCs w:val="24"/>
          <w:lang w:eastAsia="pt-BR"/>
        </w:rPr>
        <w:t xml:space="preserve"> </w:t>
      </w:r>
      <w:r w:rsidRPr="00252D7B">
        <w:rPr>
          <w:rFonts w:asciiTheme="minorHAnsi" w:hAnsiTheme="minorHAnsi" w:cstheme="minorHAnsi"/>
          <w:sz w:val="24"/>
          <w:szCs w:val="24"/>
          <w:lang w:eastAsia="pt-BR"/>
        </w:rPr>
        <w:t>572,8 Milhões considerando recursos provenientes de LOA e RAP para aplicação direta na Ferrovia de Integração Oeste-Leste – FIOL II.</w:t>
      </w:r>
    </w:p>
    <w:bookmarkEnd w:id="195"/>
    <w:p w14:paraId="4574BBEF" w14:textId="410343BB" w:rsidR="00A41DBB" w:rsidRPr="00252D7B" w:rsidRDefault="00A41DBB" w:rsidP="00A41DBB">
      <w:pPr>
        <w:spacing w:before="120" w:after="120"/>
        <w:jc w:val="both"/>
        <w:rPr>
          <w:rFonts w:asciiTheme="minorHAnsi" w:hAnsiTheme="minorHAnsi" w:cstheme="minorHAnsi"/>
          <w:sz w:val="24"/>
          <w:szCs w:val="24"/>
          <w:lang w:eastAsia="pt-BR"/>
        </w:rPr>
      </w:pPr>
      <w:r w:rsidRPr="00252D7B">
        <w:rPr>
          <w:rFonts w:asciiTheme="minorHAnsi" w:hAnsiTheme="minorHAnsi" w:cstheme="minorHAnsi"/>
          <w:sz w:val="24"/>
          <w:szCs w:val="24"/>
          <w:lang w:eastAsia="pt-BR"/>
        </w:rPr>
        <w:t>Considerando os investimentos realizados na ação 124G ao longo de 2021, foi possível avançar cerca de 43</w:t>
      </w:r>
      <w:r w:rsidR="00E3341F">
        <w:rPr>
          <w:rFonts w:asciiTheme="minorHAnsi" w:hAnsiTheme="minorHAnsi" w:cstheme="minorHAnsi"/>
          <w:sz w:val="24"/>
          <w:szCs w:val="24"/>
          <w:lang w:eastAsia="pt-BR"/>
        </w:rPr>
        <w:t xml:space="preserve"> </w:t>
      </w:r>
      <w:r w:rsidRPr="00252D7B">
        <w:rPr>
          <w:rFonts w:asciiTheme="minorHAnsi" w:hAnsiTheme="minorHAnsi" w:cstheme="minorHAnsi"/>
          <w:sz w:val="24"/>
          <w:szCs w:val="24"/>
          <w:lang w:eastAsia="pt-BR"/>
        </w:rPr>
        <w:t>km na construção da Ferrovia de Integração Oeste-Leste – Trecho de Caetité/Barreiras – BA – FIOL II.</w:t>
      </w:r>
    </w:p>
    <w:p w14:paraId="2A5A8C54" w14:textId="77777777" w:rsidR="00A41DBB" w:rsidRPr="00252D7B" w:rsidRDefault="00A41DBB" w:rsidP="00944231">
      <w:pPr>
        <w:jc w:val="both"/>
        <w:rPr>
          <w:rFonts w:asciiTheme="minorHAnsi" w:hAnsiTheme="minorHAnsi" w:cstheme="minorHAnsi"/>
          <w:sz w:val="20"/>
          <w:szCs w:val="20"/>
          <w:lang w:eastAsia="pt-BR"/>
        </w:rPr>
      </w:pPr>
    </w:p>
    <w:p w14:paraId="6EC63772" w14:textId="77777777" w:rsidR="00A41DBB" w:rsidRPr="00252D7B" w:rsidRDefault="00A41DBB" w:rsidP="004F2295">
      <w:pPr>
        <w:pStyle w:val="Ttulo4"/>
        <w:spacing w:before="0" w:after="0"/>
        <w:rPr>
          <w:rFonts w:asciiTheme="minorHAnsi" w:hAnsiTheme="minorHAnsi" w:cstheme="minorHAnsi"/>
        </w:rPr>
      </w:pPr>
      <w:bookmarkStart w:id="196" w:name="_Toc97215817"/>
      <w:bookmarkStart w:id="197" w:name="_Toc103680542"/>
      <w:r w:rsidRPr="00252D7B">
        <w:rPr>
          <w:rFonts w:asciiTheme="minorHAnsi" w:hAnsiTheme="minorHAnsi" w:cstheme="minorHAnsi"/>
        </w:rPr>
        <w:t>Custeio</w:t>
      </w:r>
      <w:bookmarkEnd w:id="196"/>
      <w:bookmarkEnd w:id="197"/>
    </w:p>
    <w:p w14:paraId="454A14D0" w14:textId="45150774" w:rsidR="00A41DBB" w:rsidRPr="00252D7B" w:rsidRDefault="00A41DBB" w:rsidP="00A41DBB">
      <w:pPr>
        <w:spacing w:before="120" w:after="120"/>
        <w:jc w:val="both"/>
        <w:rPr>
          <w:rFonts w:asciiTheme="minorHAnsi" w:hAnsiTheme="minorHAnsi" w:cstheme="minorHAnsi"/>
          <w:sz w:val="24"/>
          <w:szCs w:val="24"/>
          <w:lang w:eastAsia="pt-BR"/>
        </w:rPr>
      </w:pPr>
      <w:r w:rsidRPr="00252D7B">
        <w:rPr>
          <w:rFonts w:asciiTheme="minorHAnsi" w:hAnsiTheme="minorHAnsi" w:cstheme="minorHAnsi"/>
          <w:sz w:val="24"/>
          <w:szCs w:val="24"/>
          <w:lang w:eastAsia="pt-BR"/>
        </w:rPr>
        <w:t xml:space="preserve">As despesas de custeio englobam os pagamentos realizados com administração de polos e sede, despesas de manutenção e em Tecnologia da Informação. Considerando as despesas de 2021, foram empenhados 95% e pagos 42% da Dotação atualizada. </w:t>
      </w:r>
    </w:p>
    <w:p w14:paraId="7D1CB84C" w14:textId="620209C1" w:rsidR="00A470CD" w:rsidRPr="00252D7B" w:rsidRDefault="00A41DBB" w:rsidP="00A41DBB">
      <w:pPr>
        <w:spacing w:before="120" w:after="120"/>
        <w:jc w:val="both"/>
        <w:rPr>
          <w:rFonts w:asciiTheme="minorHAnsi" w:hAnsiTheme="minorHAnsi" w:cstheme="minorHAnsi"/>
          <w:sz w:val="24"/>
          <w:szCs w:val="24"/>
          <w:lang w:eastAsia="pt-BR"/>
        </w:rPr>
      </w:pPr>
      <w:r w:rsidRPr="00252D7B">
        <w:rPr>
          <w:rFonts w:asciiTheme="minorHAnsi" w:hAnsiTheme="minorHAnsi" w:cstheme="minorHAnsi"/>
          <w:sz w:val="24"/>
          <w:szCs w:val="24"/>
          <w:lang w:eastAsia="pt-BR"/>
        </w:rPr>
        <w:t>A realização a menor das despesas de custeio teve como principal justificativa a atuação da atual gestão com forte apelo no sentido de otimizar as despesas e proporcionar economia com apoio e suporte administrativo.</w:t>
      </w:r>
    </w:p>
    <w:p w14:paraId="033D0A0F" w14:textId="77777777" w:rsidR="00DB6614" w:rsidRPr="00252D7B" w:rsidRDefault="00DB6614" w:rsidP="00A41DBB">
      <w:pPr>
        <w:spacing w:before="120" w:after="120"/>
        <w:jc w:val="both"/>
        <w:rPr>
          <w:rFonts w:asciiTheme="minorHAnsi" w:hAnsiTheme="minorHAnsi" w:cstheme="minorHAnsi"/>
          <w:sz w:val="24"/>
          <w:szCs w:val="24"/>
          <w:lang w:eastAsia="pt-BR"/>
        </w:rPr>
      </w:pPr>
    </w:p>
    <w:p w14:paraId="5B952FC7" w14:textId="58184AEE" w:rsidR="00A470CD" w:rsidRPr="00252D7B" w:rsidRDefault="00A470CD" w:rsidP="00A470CD">
      <w:pPr>
        <w:pStyle w:val="Legenda"/>
        <w:keepNext/>
        <w:jc w:val="center"/>
        <w:rPr>
          <w:rFonts w:asciiTheme="minorHAnsi" w:hAnsiTheme="minorHAnsi" w:cstheme="minorHAnsi"/>
          <w:sz w:val="20"/>
          <w:szCs w:val="20"/>
        </w:rPr>
      </w:pPr>
      <w:bookmarkStart w:id="198" w:name="_Toc103680670"/>
      <w:r w:rsidRPr="00252D7B">
        <w:rPr>
          <w:rFonts w:asciiTheme="minorHAnsi" w:hAnsiTheme="minorHAnsi" w:cstheme="minorHAnsi"/>
          <w:sz w:val="20"/>
          <w:szCs w:val="20"/>
        </w:rPr>
        <w:t xml:space="preserve">Tabela </w:t>
      </w:r>
      <w:r w:rsidRPr="00252D7B">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Tabela \* ARABIC </w:instrText>
      </w:r>
      <w:r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8</w:t>
      </w:r>
      <w:r w:rsidRPr="00252D7B">
        <w:rPr>
          <w:rFonts w:asciiTheme="minorHAnsi" w:hAnsiTheme="minorHAnsi" w:cstheme="minorHAnsi"/>
          <w:sz w:val="20"/>
          <w:szCs w:val="20"/>
        </w:rPr>
        <w:fldChar w:fldCharType="end"/>
      </w:r>
      <w:r w:rsidRPr="00252D7B">
        <w:rPr>
          <w:rFonts w:asciiTheme="minorHAnsi" w:hAnsiTheme="minorHAnsi" w:cstheme="minorHAnsi"/>
          <w:sz w:val="20"/>
          <w:szCs w:val="20"/>
        </w:rPr>
        <w:t xml:space="preserve"> </w:t>
      </w:r>
      <w:r w:rsidR="00913285" w:rsidRPr="00252D7B">
        <w:rPr>
          <w:rFonts w:asciiTheme="minorHAnsi" w:hAnsiTheme="minorHAnsi" w:cstheme="minorHAnsi"/>
          <w:sz w:val="20"/>
          <w:szCs w:val="20"/>
        </w:rPr>
        <w:t>–</w:t>
      </w:r>
      <w:r w:rsidRPr="00252D7B">
        <w:rPr>
          <w:rFonts w:asciiTheme="minorHAnsi" w:hAnsiTheme="minorHAnsi" w:cstheme="minorHAnsi"/>
          <w:sz w:val="20"/>
          <w:szCs w:val="20"/>
        </w:rPr>
        <w:t xml:space="preserve"> Outras Despesas Correntes 2021</w:t>
      </w:r>
      <w:bookmarkEnd w:id="198"/>
    </w:p>
    <w:tbl>
      <w:tblPr>
        <w:tblStyle w:val="Tabelacomgrade"/>
        <w:tblW w:w="9918" w:type="dxa"/>
        <w:jc w:val="center"/>
        <w:tblLayout w:type="fixed"/>
        <w:tblLook w:val="04A0" w:firstRow="1" w:lastRow="0" w:firstColumn="1" w:lastColumn="0" w:noHBand="0" w:noVBand="1"/>
      </w:tblPr>
      <w:tblGrid>
        <w:gridCol w:w="4119"/>
        <w:gridCol w:w="1449"/>
        <w:gridCol w:w="1450"/>
        <w:gridCol w:w="1450"/>
        <w:gridCol w:w="1450"/>
      </w:tblGrid>
      <w:tr w:rsidR="00944231" w:rsidRPr="00252D7B" w14:paraId="2F5E4100" w14:textId="77777777" w:rsidTr="00E03684">
        <w:trPr>
          <w:trHeight w:val="466"/>
          <w:tblHeader/>
          <w:jc w:val="center"/>
        </w:trPr>
        <w:tc>
          <w:tcPr>
            <w:tcW w:w="4119" w:type="dxa"/>
            <w:tcBorders>
              <w:left w:val="nil"/>
            </w:tcBorders>
            <w:shd w:val="clear" w:color="auto" w:fill="D9D9D9" w:themeFill="background1" w:themeFillShade="D9"/>
            <w:vAlign w:val="center"/>
          </w:tcPr>
          <w:p w14:paraId="5A2F4C3E" w14:textId="77777777" w:rsidR="00944231" w:rsidRPr="00252D7B" w:rsidRDefault="00944231" w:rsidP="00E03684">
            <w:pPr>
              <w:widowControl/>
              <w:autoSpaceDE/>
              <w:autoSpaceDN/>
              <w:jc w:val="center"/>
              <w:rPr>
                <w:rFonts w:asciiTheme="minorHAnsi" w:eastAsia="Times New Roman" w:hAnsiTheme="minorHAnsi" w:cstheme="minorHAnsi"/>
                <w:b/>
                <w:bCs/>
                <w:color w:val="000000"/>
                <w:sz w:val="20"/>
                <w:szCs w:val="20"/>
                <w:lang w:eastAsia="pt-BR" w:bidi="ar-SA"/>
              </w:rPr>
            </w:pPr>
            <w:r w:rsidRPr="00252D7B">
              <w:rPr>
                <w:rFonts w:asciiTheme="minorHAnsi" w:hAnsiTheme="minorHAnsi" w:cstheme="minorHAnsi"/>
                <w:b/>
                <w:bCs/>
                <w:sz w:val="20"/>
                <w:szCs w:val="20"/>
              </w:rPr>
              <w:t>Ação Orçamentária</w:t>
            </w:r>
          </w:p>
        </w:tc>
        <w:tc>
          <w:tcPr>
            <w:tcW w:w="1449" w:type="dxa"/>
            <w:shd w:val="clear" w:color="auto" w:fill="D9D9D9" w:themeFill="background1" w:themeFillShade="D9"/>
            <w:vAlign w:val="center"/>
          </w:tcPr>
          <w:p w14:paraId="638CDC75" w14:textId="77777777" w:rsidR="00944231" w:rsidRPr="00252D7B" w:rsidRDefault="00944231" w:rsidP="00E03684">
            <w:pPr>
              <w:widowControl/>
              <w:autoSpaceDE/>
              <w:autoSpaceDN/>
              <w:jc w:val="center"/>
              <w:rPr>
                <w:rFonts w:asciiTheme="minorHAnsi" w:eastAsia="Times New Roman" w:hAnsiTheme="minorHAnsi" w:cstheme="minorHAnsi"/>
                <w:b/>
                <w:bCs/>
                <w:color w:val="000000"/>
                <w:sz w:val="20"/>
                <w:szCs w:val="20"/>
                <w:lang w:eastAsia="pt-BR" w:bidi="ar-SA"/>
              </w:rPr>
            </w:pPr>
            <w:r w:rsidRPr="00252D7B">
              <w:rPr>
                <w:rFonts w:asciiTheme="minorHAnsi" w:hAnsiTheme="minorHAnsi" w:cstheme="minorHAnsi"/>
                <w:b/>
                <w:bCs/>
                <w:sz w:val="20"/>
                <w:szCs w:val="20"/>
              </w:rPr>
              <w:t>PLOA 2021</w:t>
            </w:r>
          </w:p>
        </w:tc>
        <w:tc>
          <w:tcPr>
            <w:tcW w:w="1450" w:type="dxa"/>
            <w:shd w:val="clear" w:color="auto" w:fill="D9D9D9" w:themeFill="background1" w:themeFillShade="D9"/>
            <w:vAlign w:val="center"/>
          </w:tcPr>
          <w:p w14:paraId="2DF270F6" w14:textId="77777777" w:rsidR="00944231" w:rsidRPr="00252D7B" w:rsidRDefault="00944231" w:rsidP="00E03684">
            <w:pPr>
              <w:widowControl/>
              <w:autoSpaceDE/>
              <w:autoSpaceDN/>
              <w:jc w:val="center"/>
              <w:rPr>
                <w:rFonts w:asciiTheme="minorHAnsi" w:eastAsia="Times New Roman" w:hAnsiTheme="minorHAnsi" w:cstheme="minorHAnsi"/>
                <w:b/>
                <w:bCs/>
                <w:color w:val="000000"/>
                <w:sz w:val="20"/>
                <w:szCs w:val="20"/>
                <w:lang w:eastAsia="pt-BR" w:bidi="ar-SA"/>
              </w:rPr>
            </w:pPr>
            <w:r w:rsidRPr="00252D7B">
              <w:rPr>
                <w:rFonts w:asciiTheme="minorHAnsi" w:hAnsiTheme="minorHAnsi" w:cstheme="minorHAnsi"/>
                <w:b/>
                <w:bCs/>
                <w:sz w:val="20"/>
                <w:szCs w:val="20"/>
              </w:rPr>
              <w:t>Dotação Atualizada</w:t>
            </w:r>
          </w:p>
        </w:tc>
        <w:tc>
          <w:tcPr>
            <w:tcW w:w="1450" w:type="dxa"/>
            <w:shd w:val="clear" w:color="auto" w:fill="D9D9D9" w:themeFill="background1" w:themeFillShade="D9"/>
            <w:vAlign w:val="center"/>
          </w:tcPr>
          <w:p w14:paraId="48E45BE4" w14:textId="4C16F754" w:rsidR="00944231" w:rsidRPr="00252D7B" w:rsidRDefault="00944231" w:rsidP="00E03684">
            <w:pPr>
              <w:widowControl/>
              <w:autoSpaceDE/>
              <w:autoSpaceDN/>
              <w:jc w:val="center"/>
              <w:rPr>
                <w:rFonts w:asciiTheme="minorHAnsi" w:eastAsia="Times New Roman" w:hAnsiTheme="minorHAnsi" w:cstheme="minorHAnsi"/>
                <w:b/>
                <w:bCs/>
                <w:color w:val="000000"/>
                <w:sz w:val="20"/>
                <w:szCs w:val="20"/>
                <w:lang w:eastAsia="pt-BR" w:bidi="ar-SA"/>
              </w:rPr>
            </w:pPr>
            <w:r w:rsidRPr="00252D7B">
              <w:rPr>
                <w:rFonts w:asciiTheme="minorHAnsi" w:hAnsiTheme="minorHAnsi" w:cstheme="minorHAnsi"/>
                <w:b/>
                <w:bCs/>
                <w:sz w:val="20"/>
                <w:szCs w:val="20"/>
              </w:rPr>
              <w:t>Despesas</w:t>
            </w:r>
            <w:r w:rsidR="008C108F" w:rsidRPr="00252D7B">
              <w:rPr>
                <w:rFonts w:asciiTheme="minorHAnsi" w:hAnsiTheme="minorHAnsi" w:cstheme="minorHAnsi"/>
                <w:b/>
                <w:bCs/>
                <w:sz w:val="20"/>
                <w:szCs w:val="20"/>
              </w:rPr>
              <w:t xml:space="preserve"> Empenhadas</w:t>
            </w:r>
          </w:p>
        </w:tc>
        <w:tc>
          <w:tcPr>
            <w:tcW w:w="1450" w:type="dxa"/>
            <w:tcBorders>
              <w:right w:val="nil"/>
            </w:tcBorders>
            <w:shd w:val="clear" w:color="auto" w:fill="D9D9D9" w:themeFill="background1" w:themeFillShade="D9"/>
            <w:vAlign w:val="center"/>
          </w:tcPr>
          <w:p w14:paraId="7BA62173" w14:textId="53A3092F" w:rsidR="00944231" w:rsidRPr="00252D7B" w:rsidRDefault="009520BC" w:rsidP="00E03684">
            <w:pPr>
              <w:widowControl/>
              <w:autoSpaceDE/>
              <w:autoSpaceDN/>
              <w:jc w:val="center"/>
              <w:rPr>
                <w:rFonts w:asciiTheme="minorHAnsi" w:eastAsia="Times New Roman" w:hAnsiTheme="minorHAnsi" w:cstheme="minorHAnsi"/>
                <w:b/>
                <w:bCs/>
                <w:color w:val="000000"/>
                <w:sz w:val="20"/>
                <w:szCs w:val="20"/>
                <w:lang w:eastAsia="pt-BR" w:bidi="ar-SA"/>
              </w:rPr>
            </w:pPr>
            <w:r w:rsidRPr="00252D7B">
              <w:rPr>
                <w:rFonts w:asciiTheme="minorHAnsi" w:hAnsiTheme="minorHAnsi" w:cstheme="minorHAnsi"/>
                <w:b/>
                <w:bCs/>
                <w:sz w:val="20"/>
                <w:szCs w:val="20"/>
              </w:rPr>
              <w:t>Despesas Pagas</w:t>
            </w:r>
          </w:p>
        </w:tc>
      </w:tr>
      <w:tr w:rsidR="000371EA" w:rsidRPr="00252D7B" w14:paraId="7B325F18" w14:textId="77777777" w:rsidTr="00E03684">
        <w:trPr>
          <w:trHeight w:val="397"/>
          <w:jc w:val="center"/>
        </w:trPr>
        <w:tc>
          <w:tcPr>
            <w:tcW w:w="4119" w:type="dxa"/>
            <w:tcBorders>
              <w:left w:val="nil"/>
            </w:tcBorders>
            <w:vAlign w:val="center"/>
          </w:tcPr>
          <w:p w14:paraId="4DF0592B" w14:textId="422769B7" w:rsidR="000371EA" w:rsidRPr="00252D7B" w:rsidRDefault="000371EA" w:rsidP="003326F1">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252D7B">
              <w:rPr>
                <w:rFonts w:asciiTheme="minorHAnsi" w:hAnsiTheme="minorHAnsi" w:cstheme="minorHAnsi"/>
                <w:sz w:val="20"/>
                <w:szCs w:val="20"/>
              </w:rPr>
              <w:t>022 – Sentenças Judiciais</w:t>
            </w:r>
          </w:p>
        </w:tc>
        <w:tc>
          <w:tcPr>
            <w:tcW w:w="1449" w:type="dxa"/>
            <w:vAlign w:val="center"/>
          </w:tcPr>
          <w:p w14:paraId="18999AFE" w14:textId="27804F6D" w:rsidR="000371EA" w:rsidRPr="00252D7B" w:rsidRDefault="000371EA" w:rsidP="003326F1">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252D7B">
              <w:rPr>
                <w:rFonts w:asciiTheme="minorHAnsi" w:hAnsiTheme="minorHAnsi" w:cstheme="minorHAnsi"/>
                <w:sz w:val="20"/>
                <w:szCs w:val="20"/>
              </w:rPr>
              <w:t>1.550.000,00</w:t>
            </w:r>
          </w:p>
        </w:tc>
        <w:tc>
          <w:tcPr>
            <w:tcW w:w="1450" w:type="dxa"/>
            <w:vAlign w:val="center"/>
          </w:tcPr>
          <w:p w14:paraId="57DBC9FB" w14:textId="3D147E5F" w:rsidR="000371EA" w:rsidRPr="00252D7B" w:rsidRDefault="000371EA" w:rsidP="003326F1">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252D7B">
              <w:rPr>
                <w:rFonts w:asciiTheme="minorHAnsi" w:hAnsiTheme="minorHAnsi" w:cstheme="minorHAnsi"/>
                <w:sz w:val="20"/>
                <w:szCs w:val="20"/>
              </w:rPr>
              <w:t>2.050.000,00</w:t>
            </w:r>
          </w:p>
        </w:tc>
        <w:tc>
          <w:tcPr>
            <w:tcW w:w="1450" w:type="dxa"/>
            <w:vAlign w:val="center"/>
          </w:tcPr>
          <w:p w14:paraId="25E07581" w14:textId="5D3FBDCA" w:rsidR="000371EA" w:rsidRPr="00252D7B" w:rsidRDefault="000371EA" w:rsidP="003326F1">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252D7B">
              <w:rPr>
                <w:rFonts w:asciiTheme="minorHAnsi" w:hAnsiTheme="minorHAnsi" w:cstheme="minorHAnsi"/>
                <w:sz w:val="20"/>
                <w:szCs w:val="20"/>
              </w:rPr>
              <w:t xml:space="preserve">1.333.054,82 </w:t>
            </w:r>
          </w:p>
        </w:tc>
        <w:tc>
          <w:tcPr>
            <w:tcW w:w="1450" w:type="dxa"/>
            <w:tcBorders>
              <w:right w:val="nil"/>
            </w:tcBorders>
            <w:vAlign w:val="center"/>
          </w:tcPr>
          <w:p w14:paraId="2F08AF1B" w14:textId="28360CA8" w:rsidR="000371EA" w:rsidRPr="00252D7B" w:rsidRDefault="000371EA" w:rsidP="003326F1">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252D7B">
              <w:rPr>
                <w:rFonts w:asciiTheme="minorHAnsi" w:hAnsiTheme="minorHAnsi" w:cstheme="minorHAnsi"/>
                <w:sz w:val="20"/>
                <w:szCs w:val="20"/>
              </w:rPr>
              <w:t xml:space="preserve">1.333.054,82 </w:t>
            </w:r>
          </w:p>
        </w:tc>
      </w:tr>
      <w:tr w:rsidR="000371EA" w:rsidRPr="00252D7B" w14:paraId="40029EA8" w14:textId="77777777" w:rsidTr="00E03684">
        <w:trPr>
          <w:trHeight w:val="397"/>
          <w:jc w:val="center"/>
        </w:trPr>
        <w:tc>
          <w:tcPr>
            <w:tcW w:w="4119" w:type="dxa"/>
            <w:tcBorders>
              <w:left w:val="nil"/>
            </w:tcBorders>
            <w:vAlign w:val="center"/>
          </w:tcPr>
          <w:p w14:paraId="56771613" w14:textId="096A5F7B" w:rsidR="000371EA" w:rsidRPr="00252D7B" w:rsidRDefault="000371EA" w:rsidP="003326F1">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252D7B">
              <w:rPr>
                <w:rFonts w:asciiTheme="minorHAnsi" w:hAnsiTheme="minorHAnsi" w:cstheme="minorHAnsi"/>
                <w:sz w:val="20"/>
                <w:szCs w:val="20"/>
              </w:rPr>
              <w:t>0625 – Sentenças Judiciais de pequeno valor</w:t>
            </w:r>
          </w:p>
        </w:tc>
        <w:tc>
          <w:tcPr>
            <w:tcW w:w="1449" w:type="dxa"/>
            <w:vAlign w:val="center"/>
          </w:tcPr>
          <w:p w14:paraId="3196C892" w14:textId="61201988" w:rsidR="000371EA" w:rsidRPr="00252D7B" w:rsidRDefault="000371EA" w:rsidP="003326F1">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252D7B">
              <w:rPr>
                <w:rFonts w:asciiTheme="minorHAnsi" w:hAnsiTheme="minorHAnsi" w:cstheme="minorHAnsi"/>
                <w:sz w:val="20"/>
                <w:szCs w:val="20"/>
              </w:rPr>
              <w:t>0,00</w:t>
            </w:r>
          </w:p>
        </w:tc>
        <w:tc>
          <w:tcPr>
            <w:tcW w:w="1450" w:type="dxa"/>
            <w:vAlign w:val="center"/>
          </w:tcPr>
          <w:p w14:paraId="00995193" w14:textId="1EE03E18" w:rsidR="000371EA" w:rsidRPr="00252D7B" w:rsidRDefault="000371EA" w:rsidP="003326F1">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252D7B">
              <w:rPr>
                <w:rFonts w:asciiTheme="minorHAnsi" w:hAnsiTheme="minorHAnsi" w:cstheme="minorHAnsi"/>
                <w:sz w:val="20"/>
                <w:szCs w:val="20"/>
              </w:rPr>
              <w:t>64.800,00</w:t>
            </w:r>
          </w:p>
        </w:tc>
        <w:tc>
          <w:tcPr>
            <w:tcW w:w="1450" w:type="dxa"/>
            <w:vAlign w:val="center"/>
          </w:tcPr>
          <w:p w14:paraId="14DB214A" w14:textId="16A12BEE" w:rsidR="000371EA" w:rsidRPr="00252D7B" w:rsidRDefault="000371EA" w:rsidP="003326F1">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252D7B">
              <w:rPr>
                <w:rFonts w:asciiTheme="minorHAnsi" w:hAnsiTheme="minorHAnsi" w:cstheme="minorHAnsi"/>
                <w:sz w:val="20"/>
                <w:szCs w:val="20"/>
              </w:rPr>
              <w:t xml:space="preserve">0,00 </w:t>
            </w:r>
          </w:p>
        </w:tc>
        <w:tc>
          <w:tcPr>
            <w:tcW w:w="1450" w:type="dxa"/>
            <w:tcBorders>
              <w:right w:val="nil"/>
            </w:tcBorders>
            <w:vAlign w:val="center"/>
          </w:tcPr>
          <w:p w14:paraId="3598BFCB" w14:textId="02C5B33D" w:rsidR="000371EA" w:rsidRPr="00252D7B" w:rsidRDefault="000371EA" w:rsidP="003326F1">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252D7B">
              <w:rPr>
                <w:rFonts w:asciiTheme="minorHAnsi" w:hAnsiTheme="minorHAnsi" w:cstheme="minorHAnsi"/>
                <w:sz w:val="20"/>
                <w:szCs w:val="20"/>
              </w:rPr>
              <w:t xml:space="preserve">0,00 </w:t>
            </w:r>
          </w:p>
        </w:tc>
      </w:tr>
      <w:tr w:rsidR="000371EA" w:rsidRPr="00252D7B" w14:paraId="22F30BE2" w14:textId="77777777" w:rsidTr="00E03684">
        <w:trPr>
          <w:trHeight w:val="397"/>
          <w:jc w:val="center"/>
        </w:trPr>
        <w:tc>
          <w:tcPr>
            <w:tcW w:w="4119" w:type="dxa"/>
            <w:tcBorders>
              <w:left w:val="nil"/>
            </w:tcBorders>
            <w:vAlign w:val="center"/>
          </w:tcPr>
          <w:p w14:paraId="3F8D7556" w14:textId="5FB52102" w:rsidR="000371EA" w:rsidRPr="00252D7B" w:rsidRDefault="000371EA" w:rsidP="003326F1">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252D7B">
              <w:rPr>
                <w:rFonts w:asciiTheme="minorHAnsi" w:hAnsiTheme="minorHAnsi" w:cstheme="minorHAnsi"/>
                <w:sz w:val="20"/>
                <w:szCs w:val="20"/>
              </w:rPr>
              <w:t>2000 – Administração da Unidade</w:t>
            </w:r>
          </w:p>
        </w:tc>
        <w:tc>
          <w:tcPr>
            <w:tcW w:w="1449" w:type="dxa"/>
            <w:vAlign w:val="center"/>
          </w:tcPr>
          <w:p w14:paraId="30DB4A12" w14:textId="0206FCE2" w:rsidR="000371EA" w:rsidRPr="00252D7B" w:rsidRDefault="000371EA" w:rsidP="003326F1">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252D7B">
              <w:rPr>
                <w:rFonts w:asciiTheme="minorHAnsi" w:hAnsiTheme="minorHAnsi" w:cstheme="minorHAnsi"/>
                <w:sz w:val="20"/>
                <w:szCs w:val="20"/>
              </w:rPr>
              <w:t>23.177.863,00</w:t>
            </w:r>
          </w:p>
        </w:tc>
        <w:tc>
          <w:tcPr>
            <w:tcW w:w="1450" w:type="dxa"/>
            <w:vAlign w:val="center"/>
          </w:tcPr>
          <w:p w14:paraId="67B5689B" w14:textId="0F35D2AF" w:rsidR="000371EA" w:rsidRPr="00252D7B" w:rsidRDefault="000371EA" w:rsidP="003326F1">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252D7B">
              <w:rPr>
                <w:rFonts w:asciiTheme="minorHAnsi" w:hAnsiTheme="minorHAnsi" w:cstheme="minorHAnsi"/>
                <w:sz w:val="20"/>
                <w:szCs w:val="20"/>
              </w:rPr>
              <w:t>22.121.666,00</w:t>
            </w:r>
          </w:p>
        </w:tc>
        <w:tc>
          <w:tcPr>
            <w:tcW w:w="1450" w:type="dxa"/>
            <w:vAlign w:val="center"/>
          </w:tcPr>
          <w:p w14:paraId="357AFADF" w14:textId="6C0280A7" w:rsidR="000371EA" w:rsidRPr="00252D7B" w:rsidRDefault="000371EA" w:rsidP="003326F1">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252D7B">
              <w:rPr>
                <w:rFonts w:asciiTheme="minorHAnsi" w:hAnsiTheme="minorHAnsi" w:cstheme="minorHAnsi"/>
                <w:sz w:val="20"/>
                <w:szCs w:val="20"/>
              </w:rPr>
              <w:t xml:space="preserve">21.483.109,19 </w:t>
            </w:r>
          </w:p>
        </w:tc>
        <w:tc>
          <w:tcPr>
            <w:tcW w:w="1450" w:type="dxa"/>
            <w:tcBorders>
              <w:right w:val="nil"/>
            </w:tcBorders>
            <w:vAlign w:val="center"/>
          </w:tcPr>
          <w:p w14:paraId="49F6FA74" w14:textId="5640CE43" w:rsidR="000371EA" w:rsidRPr="00252D7B" w:rsidRDefault="000371EA" w:rsidP="003326F1">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252D7B">
              <w:rPr>
                <w:rFonts w:asciiTheme="minorHAnsi" w:hAnsiTheme="minorHAnsi" w:cstheme="minorHAnsi"/>
                <w:sz w:val="20"/>
                <w:szCs w:val="20"/>
              </w:rPr>
              <w:t>9.033.343,38</w:t>
            </w:r>
          </w:p>
        </w:tc>
      </w:tr>
      <w:tr w:rsidR="000371EA" w:rsidRPr="00252D7B" w14:paraId="620D5195" w14:textId="77777777" w:rsidTr="00E03684">
        <w:trPr>
          <w:trHeight w:val="397"/>
          <w:jc w:val="center"/>
        </w:trPr>
        <w:tc>
          <w:tcPr>
            <w:tcW w:w="4119" w:type="dxa"/>
            <w:tcBorders>
              <w:left w:val="nil"/>
            </w:tcBorders>
            <w:vAlign w:val="center"/>
          </w:tcPr>
          <w:p w14:paraId="611BAB7A" w14:textId="1BB95DBF" w:rsidR="000371EA" w:rsidRPr="00252D7B" w:rsidRDefault="000371EA" w:rsidP="003326F1">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252D7B">
              <w:rPr>
                <w:rFonts w:asciiTheme="minorHAnsi" w:hAnsiTheme="minorHAnsi" w:cstheme="minorHAnsi"/>
                <w:sz w:val="20"/>
                <w:szCs w:val="20"/>
              </w:rPr>
              <w:t xml:space="preserve">2004 – Assistência Médica e Odontológica </w:t>
            </w:r>
          </w:p>
        </w:tc>
        <w:tc>
          <w:tcPr>
            <w:tcW w:w="1449" w:type="dxa"/>
            <w:vAlign w:val="center"/>
          </w:tcPr>
          <w:p w14:paraId="7D8E4102" w14:textId="7245FCFA" w:rsidR="000371EA" w:rsidRPr="00252D7B" w:rsidRDefault="000371EA" w:rsidP="003326F1">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252D7B">
              <w:rPr>
                <w:rFonts w:asciiTheme="minorHAnsi" w:hAnsiTheme="minorHAnsi" w:cstheme="minorHAnsi"/>
                <w:sz w:val="20"/>
                <w:szCs w:val="20"/>
              </w:rPr>
              <w:t>6.703.574,00</w:t>
            </w:r>
          </w:p>
        </w:tc>
        <w:tc>
          <w:tcPr>
            <w:tcW w:w="1450" w:type="dxa"/>
            <w:vAlign w:val="center"/>
          </w:tcPr>
          <w:p w14:paraId="5560D3D3" w14:textId="1BBAF33E" w:rsidR="000371EA" w:rsidRPr="00252D7B" w:rsidRDefault="000371EA" w:rsidP="003326F1">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252D7B">
              <w:rPr>
                <w:rFonts w:asciiTheme="minorHAnsi" w:hAnsiTheme="minorHAnsi" w:cstheme="minorHAnsi"/>
                <w:sz w:val="20"/>
                <w:szCs w:val="20"/>
              </w:rPr>
              <w:t>6.703.574,00</w:t>
            </w:r>
          </w:p>
        </w:tc>
        <w:tc>
          <w:tcPr>
            <w:tcW w:w="1450" w:type="dxa"/>
            <w:vAlign w:val="center"/>
          </w:tcPr>
          <w:p w14:paraId="7EAB2748" w14:textId="605F5AD0" w:rsidR="000371EA" w:rsidRPr="00252D7B" w:rsidRDefault="000371EA" w:rsidP="003326F1">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252D7B">
              <w:rPr>
                <w:rFonts w:asciiTheme="minorHAnsi" w:hAnsiTheme="minorHAnsi" w:cstheme="minorHAnsi"/>
                <w:sz w:val="20"/>
                <w:szCs w:val="20"/>
              </w:rPr>
              <w:t>6.703.574,00</w:t>
            </w:r>
          </w:p>
        </w:tc>
        <w:tc>
          <w:tcPr>
            <w:tcW w:w="1450" w:type="dxa"/>
            <w:tcBorders>
              <w:right w:val="nil"/>
            </w:tcBorders>
            <w:vAlign w:val="center"/>
          </w:tcPr>
          <w:p w14:paraId="070EE900" w14:textId="452BD3A6" w:rsidR="000371EA" w:rsidRPr="00252D7B" w:rsidRDefault="000371EA" w:rsidP="003326F1">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252D7B">
              <w:rPr>
                <w:rFonts w:asciiTheme="minorHAnsi" w:hAnsiTheme="minorHAnsi" w:cstheme="minorHAnsi"/>
                <w:sz w:val="20"/>
                <w:szCs w:val="20"/>
              </w:rPr>
              <w:t>2.412.333,82</w:t>
            </w:r>
          </w:p>
        </w:tc>
      </w:tr>
      <w:tr w:rsidR="000371EA" w:rsidRPr="00252D7B" w14:paraId="0AF0BDF4" w14:textId="77777777" w:rsidTr="00E03684">
        <w:trPr>
          <w:trHeight w:val="397"/>
          <w:jc w:val="center"/>
        </w:trPr>
        <w:tc>
          <w:tcPr>
            <w:tcW w:w="4119" w:type="dxa"/>
            <w:tcBorders>
              <w:left w:val="nil"/>
            </w:tcBorders>
            <w:vAlign w:val="center"/>
          </w:tcPr>
          <w:p w14:paraId="33FF9DE4" w14:textId="3531E622" w:rsidR="000371EA" w:rsidRPr="00252D7B" w:rsidRDefault="000371EA" w:rsidP="003326F1">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252D7B">
              <w:rPr>
                <w:rFonts w:asciiTheme="minorHAnsi" w:hAnsiTheme="minorHAnsi" w:cstheme="minorHAnsi"/>
                <w:sz w:val="20"/>
                <w:szCs w:val="20"/>
              </w:rPr>
              <w:t>212B – Benefícios aos empregados</w:t>
            </w:r>
          </w:p>
        </w:tc>
        <w:tc>
          <w:tcPr>
            <w:tcW w:w="1449" w:type="dxa"/>
            <w:vAlign w:val="center"/>
          </w:tcPr>
          <w:p w14:paraId="705908B8" w14:textId="6DEB2DB9" w:rsidR="000371EA" w:rsidRPr="00252D7B" w:rsidRDefault="000371EA" w:rsidP="003326F1">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252D7B">
              <w:rPr>
                <w:rFonts w:asciiTheme="minorHAnsi" w:hAnsiTheme="minorHAnsi" w:cstheme="minorHAnsi"/>
                <w:sz w:val="20"/>
                <w:szCs w:val="20"/>
              </w:rPr>
              <w:t>7.745.506,00</w:t>
            </w:r>
          </w:p>
        </w:tc>
        <w:tc>
          <w:tcPr>
            <w:tcW w:w="1450" w:type="dxa"/>
            <w:vAlign w:val="center"/>
          </w:tcPr>
          <w:p w14:paraId="22B07355" w14:textId="6E1240CD" w:rsidR="000371EA" w:rsidRPr="00252D7B" w:rsidRDefault="000371EA" w:rsidP="003326F1">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252D7B">
              <w:rPr>
                <w:rFonts w:asciiTheme="minorHAnsi" w:hAnsiTheme="minorHAnsi" w:cstheme="minorHAnsi"/>
                <w:sz w:val="20"/>
                <w:szCs w:val="20"/>
              </w:rPr>
              <w:t>8.081.093,00</w:t>
            </w:r>
          </w:p>
        </w:tc>
        <w:tc>
          <w:tcPr>
            <w:tcW w:w="1450" w:type="dxa"/>
            <w:vAlign w:val="center"/>
          </w:tcPr>
          <w:p w14:paraId="66453A5A" w14:textId="68C4C8FC" w:rsidR="000371EA" w:rsidRPr="00252D7B" w:rsidRDefault="000371EA" w:rsidP="003326F1">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252D7B">
              <w:rPr>
                <w:rFonts w:asciiTheme="minorHAnsi" w:hAnsiTheme="minorHAnsi" w:cstheme="minorHAnsi"/>
                <w:sz w:val="20"/>
                <w:szCs w:val="20"/>
              </w:rPr>
              <w:t>7.309.903,99</w:t>
            </w:r>
          </w:p>
        </w:tc>
        <w:tc>
          <w:tcPr>
            <w:tcW w:w="1450" w:type="dxa"/>
            <w:tcBorders>
              <w:right w:val="nil"/>
            </w:tcBorders>
            <w:vAlign w:val="center"/>
          </w:tcPr>
          <w:p w14:paraId="08DC6A90" w14:textId="3D636B56" w:rsidR="000371EA" w:rsidRPr="00252D7B" w:rsidRDefault="000371EA" w:rsidP="003326F1">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252D7B">
              <w:rPr>
                <w:rFonts w:asciiTheme="minorHAnsi" w:hAnsiTheme="minorHAnsi" w:cstheme="minorHAnsi"/>
                <w:sz w:val="20"/>
                <w:szCs w:val="20"/>
              </w:rPr>
              <w:t>6.704.994,39</w:t>
            </w:r>
          </w:p>
        </w:tc>
      </w:tr>
      <w:tr w:rsidR="000371EA" w:rsidRPr="00252D7B" w14:paraId="38712470" w14:textId="77777777" w:rsidTr="00E03684">
        <w:trPr>
          <w:trHeight w:val="397"/>
          <w:jc w:val="center"/>
        </w:trPr>
        <w:tc>
          <w:tcPr>
            <w:tcW w:w="4119" w:type="dxa"/>
            <w:tcBorders>
              <w:left w:val="nil"/>
            </w:tcBorders>
            <w:vAlign w:val="center"/>
          </w:tcPr>
          <w:p w14:paraId="50B3F07D" w14:textId="33D1C279" w:rsidR="000371EA" w:rsidRPr="00252D7B" w:rsidRDefault="000371EA" w:rsidP="003326F1">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252D7B">
              <w:rPr>
                <w:rFonts w:asciiTheme="minorHAnsi" w:hAnsiTheme="minorHAnsi" w:cstheme="minorHAnsi"/>
                <w:sz w:val="20"/>
                <w:szCs w:val="20"/>
              </w:rPr>
              <w:t>218S – Apoio Ao Planejamento, Gerenciamento e Acompanhamento de Emp.</w:t>
            </w:r>
          </w:p>
        </w:tc>
        <w:tc>
          <w:tcPr>
            <w:tcW w:w="1449" w:type="dxa"/>
            <w:vAlign w:val="center"/>
          </w:tcPr>
          <w:p w14:paraId="221DC3C1" w14:textId="40B4AA04" w:rsidR="000371EA" w:rsidRPr="00252D7B" w:rsidRDefault="000371EA" w:rsidP="003326F1">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252D7B">
              <w:rPr>
                <w:rFonts w:asciiTheme="minorHAnsi" w:hAnsiTheme="minorHAnsi" w:cstheme="minorHAnsi"/>
                <w:sz w:val="20"/>
                <w:szCs w:val="20"/>
              </w:rPr>
              <w:t>7.637.200,00</w:t>
            </w:r>
          </w:p>
        </w:tc>
        <w:tc>
          <w:tcPr>
            <w:tcW w:w="1450" w:type="dxa"/>
            <w:vAlign w:val="center"/>
          </w:tcPr>
          <w:p w14:paraId="6AEB7C82" w14:textId="4D4CE9EA" w:rsidR="000371EA" w:rsidRPr="00252D7B" w:rsidRDefault="000371EA" w:rsidP="003326F1">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252D7B">
              <w:rPr>
                <w:rFonts w:asciiTheme="minorHAnsi" w:hAnsiTheme="minorHAnsi" w:cstheme="minorHAnsi"/>
                <w:sz w:val="20"/>
                <w:szCs w:val="20"/>
              </w:rPr>
              <w:t>7.388.030,00</w:t>
            </w:r>
          </w:p>
        </w:tc>
        <w:tc>
          <w:tcPr>
            <w:tcW w:w="1450" w:type="dxa"/>
            <w:vAlign w:val="center"/>
          </w:tcPr>
          <w:p w14:paraId="6714664F" w14:textId="1AB69026" w:rsidR="000371EA" w:rsidRPr="00252D7B" w:rsidRDefault="000371EA" w:rsidP="003326F1">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252D7B">
              <w:rPr>
                <w:rFonts w:asciiTheme="minorHAnsi" w:hAnsiTheme="minorHAnsi" w:cstheme="minorHAnsi"/>
                <w:sz w:val="20"/>
                <w:szCs w:val="20"/>
              </w:rPr>
              <w:t>6.988.029,35</w:t>
            </w:r>
          </w:p>
        </w:tc>
        <w:tc>
          <w:tcPr>
            <w:tcW w:w="1450" w:type="dxa"/>
            <w:tcBorders>
              <w:right w:val="nil"/>
            </w:tcBorders>
            <w:vAlign w:val="center"/>
          </w:tcPr>
          <w:p w14:paraId="14A5D1DF" w14:textId="2A198887" w:rsidR="000371EA" w:rsidRPr="00252D7B" w:rsidRDefault="000371EA" w:rsidP="003326F1">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252D7B">
              <w:rPr>
                <w:rFonts w:asciiTheme="minorHAnsi" w:hAnsiTheme="minorHAnsi" w:cstheme="minorHAnsi"/>
                <w:sz w:val="20"/>
                <w:szCs w:val="20"/>
              </w:rPr>
              <w:t>2.921.514,38</w:t>
            </w:r>
          </w:p>
        </w:tc>
      </w:tr>
      <w:tr w:rsidR="000371EA" w:rsidRPr="00252D7B" w14:paraId="3621AAE3" w14:textId="77777777" w:rsidTr="00E03684">
        <w:trPr>
          <w:trHeight w:val="397"/>
          <w:jc w:val="center"/>
        </w:trPr>
        <w:tc>
          <w:tcPr>
            <w:tcW w:w="4119" w:type="dxa"/>
            <w:tcBorders>
              <w:left w:val="nil"/>
            </w:tcBorders>
            <w:vAlign w:val="center"/>
          </w:tcPr>
          <w:p w14:paraId="678FC104" w14:textId="0BB35A43" w:rsidR="000371EA" w:rsidRPr="00252D7B" w:rsidRDefault="000371EA" w:rsidP="003326F1">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252D7B">
              <w:rPr>
                <w:rFonts w:asciiTheme="minorHAnsi" w:hAnsiTheme="minorHAnsi" w:cstheme="minorHAnsi"/>
                <w:sz w:val="20"/>
                <w:szCs w:val="20"/>
              </w:rPr>
              <w:t>218T – Manutenção e Operação de Infraestrutura de TI</w:t>
            </w:r>
          </w:p>
        </w:tc>
        <w:tc>
          <w:tcPr>
            <w:tcW w:w="1449" w:type="dxa"/>
            <w:vAlign w:val="center"/>
          </w:tcPr>
          <w:p w14:paraId="10EC989D" w14:textId="102D9B8A" w:rsidR="000371EA" w:rsidRPr="00252D7B" w:rsidRDefault="000371EA" w:rsidP="003326F1">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252D7B">
              <w:rPr>
                <w:rFonts w:asciiTheme="minorHAnsi" w:hAnsiTheme="minorHAnsi" w:cstheme="minorHAnsi"/>
                <w:sz w:val="20"/>
                <w:szCs w:val="20"/>
              </w:rPr>
              <w:t>16.702.901,00</w:t>
            </w:r>
          </w:p>
        </w:tc>
        <w:tc>
          <w:tcPr>
            <w:tcW w:w="1450" w:type="dxa"/>
            <w:vAlign w:val="center"/>
          </w:tcPr>
          <w:p w14:paraId="5FA77090" w14:textId="6F1EEB16" w:rsidR="000371EA" w:rsidRPr="00252D7B" w:rsidRDefault="000371EA" w:rsidP="003326F1">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252D7B">
              <w:rPr>
                <w:rFonts w:asciiTheme="minorHAnsi" w:hAnsiTheme="minorHAnsi" w:cstheme="minorHAnsi"/>
                <w:sz w:val="20"/>
                <w:szCs w:val="20"/>
              </w:rPr>
              <w:t>16.197.855,00</w:t>
            </w:r>
          </w:p>
        </w:tc>
        <w:tc>
          <w:tcPr>
            <w:tcW w:w="1450" w:type="dxa"/>
            <w:vAlign w:val="center"/>
          </w:tcPr>
          <w:p w14:paraId="359620A0" w14:textId="3B0CA4E6" w:rsidR="000371EA" w:rsidRPr="00252D7B" w:rsidRDefault="000371EA" w:rsidP="003326F1">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252D7B">
              <w:rPr>
                <w:rFonts w:asciiTheme="minorHAnsi" w:hAnsiTheme="minorHAnsi" w:cstheme="minorHAnsi"/>
                <w:sz w:val="20"/>
                <w:szCs w:val="20"/>
              </w:rPr>
              <w:t>15.686.286,51</w:t>
            </w:r>
          </w:p>
        </w:tc>
        <w:tc>
          <w:tcPr>
            <w:tcW w:w="1450" w:type="dxa"/>
            <w:tcBorders>
              <w:right w:val="nil"/>
            </w:tcBorders>
            <w:vAlign w:val="center"/>
          </w:tcPr>
          <w:p w14:paraId="5B6E6B92" w14:textId="3097650E" w:rsidR="000371EA" w:rsidRPr="00252D7B" w:rsidRDefault="000371EA" w:rsidP="003326F1">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252D7B">
              <w:rPr>
                <w:rFonts w:asciiTheme="minorHAnsi" w:hAnsiTheme="minorHAnsi" w:cstheme="minorHAnsi"/>
                <w:sz w:val="20"/>
                <w:szCs w:val="20"/>
              </w:rPr>
              <w:t>3.633.775,95</w:t>
            </w:r>
          </w:p>
        </w:tc>
      </w:tr>
      <w:tr w:rsidR="000371EA" w:rsidRPr="00252D7B" w14:paraId="23730219" w14:textId="77777777" w:rsidTr="00E03684">
        <w:trPr>
          <w:trHeight w:val="397"/>
          <w:jc w:val="center"/>
        </w:trPr>
        <w:tc>
          <w:tcPr>
            <w:tcW w:w="4119" w:type="dxa"/>
            <w:tcBorders>
              <w:left w:val="nil"/>
            </w:tcBorders>
            <w:vAlign w:val="center"/>
          </w:tcPr>
          <w:p w14:paraId="44A5A10E" w14:textId="3C3EBAC4" w:rsidR="000371EA" w:rsidRPr="00252D7B" w:rsidRDefault="000371EA" w:rsidP="003326F1">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252D7B">
              <w:rPr>
                <w:rFonts w:asciiTheme="minorHAnsi" w:hAnsiTheme="minorHAnsi" w:cstheme="minorHAnsi"/>
                <w:sz w:val="20"/>
                <w:szCs w:val="20"/>
              </w:rPr>
              <w:t>20LJ – Manutenção e Operação da Malha Ferroviária Federal</w:t>
            </w:r>
          </w:p>
        </w:tc>
        <w:tc>
          <w:tcPr>
            <w:tcW w:w="1449" w:type="dxa"/>
            <w:vAlign w:val="center"/>
          </w:tcPr>
          <w:p w14:paraId="212060B7" w14:textId="0C1E95BA" w:rsidR="000371EA" w:rsidRPr="00252D7B" w:rsidRDefault="00F43F37" w:rsidP="003326F1">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252D7B">
              <w:rPr>
                <w:rFonts w:asciiTheme="minorHAnsi" w:hAnsiTheme="minorHAnsi" w:cstheme="minorHAnsi"/>
                <w:sz w:val="20"/>
                <w:szCs w:val="20"/>
              </w:rPr>
              <w:t>0,00</w:t>
            </w:r>
          </w:p>
        </w:tc>
        <w:tc>
          <w:tcPr>
            <w:tcW w:w="1450" w:type="dxa"/>
            <w:vAlign w:val="center"/>
          </w:tcPr>
          <w:p w14:paraId="722B2305" w14:textId="04E9727E" w:rsidR="000371EA" w:rsidRPr="00252D7B" w:rsidRDefault="00F43F37" w:rsidP="003326F1">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252D7B">
              <w:rPr>
                <w:rFonts w:asciiTheme="minorHAnsi" w:hAnsiTheme="minorHAnsi" w:cstheme="minorHAnsi"/>
                <w:sz w:val="20"/>
                <w:szCs w:val="20"/>
              </w:rPr>
              <w:t>0,0</w:t>
            </w:r>
            <w:r w:rsidR="000371EA" w:rsidRPr="00252D7B">
              <w:rPr>
                <w:rFonts w:asciiTheme="minorHAnsi" w:hAnsiTheme="minorHAnsi" w:cstheme="minorHAnsi"/>
                <w:sz w:val="20"/>
                <w:szCs w:val="20"/>
              </w:rPr>
              <w:t>0</w:t>
            </w:r>
          </w:p>
        </w:tc>
        <w:tc>
          <w:tcPr>
            <w:tcW w:w="1450" w:type="dxa"/>
            <w:vAlign w:val="center"/>
          </w:tcPr>
          <w:p w14:paraId="7BEB6F26" w14:textId="2FD142AD" w:rsidR="000371EA" w:rsidRPr="00252D7B" w:rsidRDefault="00A470CD" w:rsidP="003326F1">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252D7B">
              <w:rPr>
                <w:rFonts w:asciiTheme="minorHAnsi" w:hAnsiTheme="minorHAnsi" w:cstheme="minorHAnsi"/>
                <w:sz w:val="20"/>
                <w:szCs w:val="20"/>
              </w:rPr>
              <w:t>0,0</w:t>
            </w:r>
            <w:r w:rsidR="000371EA" w:rsidRPr="00252D7B">
              <w:rPr>
                <w:rFonts w:asciiTheme="minorHAnsi" w:hAnsiTheme="minorHAnsi" w:cstheme="minorHAnsi"/>
                <w:sz w:val="20"/>
                <w:szCs w:val="20"/>
              </w:rPr>
              <w:t>0</w:t>
            </w:r>
          </w:p>
        </w:tc>
        <w:tc>
          <w:tcPr>
            <w:tcW w:w="1450" w:type="dxa"/>
            <w:tcBorders>
              <w:right w:val="nil"/>
            </w:tcBorders>
            <w:vAlign w:val="center"/>
          </w:tcPr>
          <w:p w14:paraId="1213FA38" w14:textId="67FADDC5" w:rsidR="000371EA" w:rsidRPr="00252D7B" w:rsidRDefault="00A470CD" w:rsidP="003326F1">
            <w:pPr>
              <w:widowControl/>
              <w:autoSpaceDE/>
              <w:autoSpaceDN/>
              <w:spacing w:before="100" w:beforeAutospacing="1" w:after="100" w:afterAutospacing="1"/>
              <w:jc w:val="right"/>
              <w:rPr>
                <w:rFonts w:asciiTheme="minorHAnsi" w:eastAsia="Times New Roman" w:hAnsiTheme="minorHAnsi" w:cstheme="minorHAnsi"/>
                <w:color w:val="000000"/>
                <w:sz w:val="20"/>
                <w:szCs w:val="20"/>
                <w:lang w:eastAsia="pt-BR" w:bidi="ar-SA"/>
              </w:rPr>
            </w:pPr>
            <w:r w:rsidRPr="00252D7B">
              <w:rPr>
                <w:rFonts w:asciiTheme="minorHAnsi" w:hAnsiTheme="minorHAnsi" w:cstheme="minorHAnsi"/>
                <w:sz w:val="20"/>
                <w:szCs w:val="20"/>
              </w:rPr>
              <w:t>0,0</w:t>
            </w:r>
            <w:r w:rsidR="000371EA" w:rsidRPr="00252D7B">
              <w:rPr>
                <w:rFonts w:asciiTheme="minorHAnsi" w:hAnsiTheme="minorHAnsi" w:cstheme="minorHAnsi"/>
                <w:sz w:val="20"/>
                <w:szCs w:val="20"/>
              </w:rPr>
              <w:t>0</w:t>
            </w:r>
          </w:p>
        </w:tc>
      </w:tr>
    </w:tbl>
    <w:p w14:paraId="0FA0B323" w14:textId="77777777" w:rsidR="00A470CD" w:rsidRPr="00252D7B" w:rsidRDefault="00A470CD" w:rsidP="00A470CD">
      <w:pPr>
        <w:pStyle w:val="Legenda"/>
        <w:keepNext/>
        <w:jc w:val="center"/>
        <w:rPr>
          <w:rFonts w:asciiTheme="minorHAnsi" w:hAnsiTheme="minorHAnsi" w:cstheme="minorHAnsi"/>
          <w:sz w:val="20"/>
          <w:szCs w:val="20"/>
        </w:rPr>
      </w:pPr>
      <w:r w:rsidRPr="00252D7B">
        <w:rPr>
          <w:rFonts w:asciiTheme="minorHAnsi" w:hAnsiTheme="minorHAnsi" w:cstheme="minorHAnsi"/>
          <w:sz w:val="20"/>
          <w:szCs w:val="20"/>
        </w:rPr>
        <w:t>Fonte: Tesouro Gerencial</w:t>
      </w:r>
    </w:p>
    <w:p w14:paraId="1630E8A6" w14:textId="77777777" w:rsidR="00A41DBB" w:rsidRPr="00252D7B" w:rsidRDefault="00A41DBB" w:rsidP="00913285">
      <w:pPr>
        <w:spacing w:before="120"/>
        <w:jc w:val="both"/>
        <w:rPr>
          <w:rFonts w:asciiTheme="minorHAnsi" w:hAnsiTheme="minorHAnsi" w:cstheme="minorHAnsi"/>
          <w:sz w:val="24"/>
          <w:szCs w:val="24"/>
          <w:lang w:eastAsia="pt-BR"/>
        </w:rPr>
      </w:pPr>
    </w:p>
    <w:p w14:paraId="6D59D509" w14:textId="77777777" w:rsidR="00A41DBB" w:rsidRPr="00252D7B" w:rsidRDefault="00A41DBB" w:rsidP="00A41DBB">
      <w:pPr>
        <w:pStyle w:val="Ttulo4"/>
        <w:spacing w:before="120"/>
        <w:rPr>
          <w:rFonts w:asciiTheme="minorHAnsi" w:hAnsiTheme="minorHAnsi" w:cstheme="minorHAnsi"/>
        </w:rPr>
      </w:pPr>
      <w:bookmarkStart w:id="199" w:name="_Toc80785733"/>
      <w:bookmarkStart w:id="200" w:name="_Toc97215818"/>
      <w:bookmarkStart w:id="201" w:name="_Toc103680543"/>
      <w:r w:rsidRPr="00252D7B">
        <w:rPr>
          <w:rFonts w:asciiTheme="minorHAnsi" w:hAnsiTheme="minorHAnsi" w:cstheme="minorHAnsi"/>
        </w:rPr>
        <w:t>Indicadores de gestão orçamentária</w:t>
      </w:r>
      <w:bookmarkEnd w:id="199"/>
      <w:bookmarkEnd w:id="200"/>
      <w:bookmarkEnd w:id="201"/>
    </w:p>
    <w:p w14:paraId="2A4EA4F8" w14:textId="0149314F" w:rsidR="00A41DBB" w:rsidRPr="00252D7B" w:rsidRDefault="00A41DBB" w:rsidP="00A41DBB">
      <w:pPr>
        <w:spacing w:before="120" w:after="120"/>
        <w:jc w:val="both"/>
        <w:rPr>
          <w:rFonts w:asciiTheme="minorHAnsi" w:hAnsiTheme="minorHAnsi" w:cstheme="minorHAnsi"/>
          <w:sz w:val="24"/>
          <w:szCs w:val="24"/>
          <w:lang w:eastAsia="pt-BR"/>
        </w:rPr>
      </w:pPr>
      <w:bookmarkStart w:id="202" w:name="_Toc95906792"/>
      <w:r w:rsidRPr="00252D7B">
        <w:rPr>
          <w:rFonts w:asciiTheme="minorHAnsi" w:hAnsiTheme="minorHAnsi" w:cstheme="minorHAnsi"/>
          <w:sz w:val="24"/>
          <w:szCs w:val="24"/>
          <w:lang w:eastAsia="pt-BR"/>
        </w:rPr>
        <w:t>Em atendimento à Lei 13.303 de 2016, LRF (Lei Complementar 101 de 2000) e Portaria nº 65, de 17 de junho de 2020 do MINFRA, foram fixados para efeito de avaliação objetiva das despesas administrativas, indicadores e metas para monitoramento orçamentário durante o exercício orçamentário do ano de 2021, a seguir apresentamos os indicadores e sua evolução a cada trimestre: valor empenhado/limite de empenho; liquidado no exercício/empenhado no exercício.</w:t>
      </w:r>
    </w:p>
    <w:p w14:paraId="006C5D45" w14:textId="1B980E51" w:rsidR="00806F29" w:rsidRPr="00252D7B" w:rsidRDefault="00806F29">
      <w:pPr>
        <w:widowControl/>
        <w:autoSpaceDE/>
        <w:autoSpaceDN/>
        <w:spacing w:after="160" w:line="259" w:lineRule="auto"/>
        <w:rPr>
          <w:rFonts w:asciiTheme="minorHAnsi" w:hAnsiTheme="minorHAnsi" w:cstheme="minorHAnsi"/>
          <w:sz w:val="24"/>
          <w:szCs w:val="24"/>
          <w:lang w:eastAsia="pt-BR"/>
        </w:rPr>
      </w:pPr>
      <w:r w:rsidRPr="00252D7B">
        <w:rPr>
          <w:rFonts w:asciiTheme="minorHAnsi" w:hAnsiTheme="minorHAnsi" w:cstheme="minorHAnsi"/>
          <w:sz w:val="24"/>
          <w:szCs w:val="24"/>
          <w:lang w:eastAsia="pt-BR"/>
        </w:rPr>
        <w:br w:type="page"/>
      </w:r>
    </w:p>
    <w:p w14:paraId="09A69443" w14:textId="77777777" w:rsidR="00A41DBB" w:rsidRPr="00252D7B" w:rsidRDefault="00A41DBB" w:rsidP="00A41DBB">
      <w:pPr>
        <w:pStyle w:val="Ttulo5"/>
        <w:spacing w:before="120" w:after="120"/>
        <w:rPr>
          <w:rFonts w:asciiTheme="minorHAnsi" w:hAnsiTheme="minorHAnsi" w:cstheme="minorHAnsi"/>
          <w:color w:val="00B0F0"/>
        </w:rPr>
      </w:pPr>
      <w:bookmarkStart w:id="203" w:name="_Toc43446693"/>
      <w:bookmarkStart w:id="204" w:name="_Toc43446797"/>
      <w:bookmarkStart w:id="205" w:name="_Toc43448090"/>
      <w:bookmarkStart w:id="206" w:name="_Toc62628369"/>
      <w:bookmarkStart w:id="207" w:name="_Toc80785734"/>
      <w:bookmarkStart w:id="208" w:name="_Toc97215819"/>
      <w:bookmarkStart w:id="209" w:name="_Toc103680544"/>
      <w:r w:rsidRPr="00252D7B">
        <w:rPr>
          <w:rFonts w:asciiTheme="minorHAnsi" w:hAnsiTheme="minorHAnsi" w:cstheme="minorHAnsi"/>
          <w:color w:val="00B0F0"/>
        </w:rPr>
        <w:lastRenderedPageBreak/>
        <w:t>Valor empenhado / Limite de empenho</w:t>
      </w:r>
      <w:bookmarkEnd w:id="203"/>
      <w:bookmarkEnd w:id="204"/>
      <w:bookmarkEnd w:id="205"/>
      <w:bookmarkEnd w:id="206"/>
      <w:bookmarkEnd w:id="207"/>
      <w:bookmarkEnd w:id="208"/>
      <w:bookmarkEnd w:id="209"/>
    </w:p>
    <w:p w14:paraId="56927DC5" w14:textId="640DD462" w:rsidR="00A41DBB" w:rsidRPr="00252D7B" w:rsidRDefault="00A41DBB" w:rsidP="00A41DBB">
      <w:pPr>
        <w:spacing w:before="120" w:after="120"/>
        <w:jc w:val="both"/>
        <w:rPr>
          <w:rFonts w:asciiTheme="minorHAnsi" w:hAnsiTheme="minorHAnsi" w:cstheme="minorHAnsi"/>
          <w:sz w:val="24"/>
          <w:szCs w:val="24"/>
          <w:lang w:eastAsia="pt-BR"/>
        </w:rPr>
      </w:pPr>
      <w:r w:rsidRPr="00252D7B">
        <w:rPr>
          <w:rFonts w:asciiTheme="minorHAnsi" w:hAnsiTheme="minorHAnsi" w:cstheme="minorHAnsi"/>
          <w:sz w:val="24"/>
          <w:szCs w:val="24"/>
          <w:lang w:eastAsia="pt-BR"/>
        </w:rPr>
        <w:t>O indicador tem como finalidade retratar o esforço da administração de realizar os gastos previstos na lei orçamentária de 2021, sem considerar os restos a pagar inscritos e reinscritos.</w:t>
      </w:r>
    </w:p>
    <w:p w14:paraId="4095EAC1" w14:textId="688E8E4B" w:rsidR="00913285" w:rsidRPr="00252D7B" w:rsidRDefault="00A41DBB" w:rsidP="00666868">
      <w:pPr>
        <w:spacing w:before="120" w:after="120"/>
        <w:jc w:val="both"/>
        <w:rPr>
          <w:rFonts w:asciiTheme="minorHAnsi" w:hAnsiTheme="minorHAnsi" w:cstheme="minorHAnsi"/>
          <w:sz w:val="24"/>
          <w:szCs w:val="24"/>
          <w:lang w:eastAsia="pt-BR"/>
        </w:rPr>
      </w:pPr>
      <w:r w:rsidRPr="00252D7B">
        <w:rPr>
          <w:rFonts w:asciiTheme="minorHAnsi" w:hAnsiTheme="minorHAnsi" w:cstheme="minorHAnsi"/>
          <w:sz w:val="24"/>
          <w:szCs w:val="24"/>
          <w:lang w:eastAsia="pt-BR"/>
        </w:rPr>
        <w:t xml:space="preserve">Neste ano a </w:t>
      </w:r>
      <w:r w:rsidR="00610C91" w:rsidRPr="00252D7B">
        <w:rPr>
          <w:rFonts w:asciiTheme="minorHAnsi" w:hAnsiTheme="minorHAnsi" w:cstheme="minorHAnsi"/>
          <w:sz w:val="24"/>
          <w:szCs w:val="24"/>
          <w:lang w:eastAsia="pt-BR"/>
        </w:rPr>
        <w:t>Valec</w:t>
      </w:r>
      <w:r w:rsidRPr="00252D7B">
        <w:rPr>
          <w:rFonts w:asciiTheme="minorHAnsi" w:hAnsiTheme="minorHAnsi" w:cstheme="minorHAnsi"/>
          <w:sz w:val="24"/>
          <w:szCs w:val="24"/>
          <w:lang w:eastAsia="pt-BR"/>
        </w:rPr>
        <w:t xml:space="preserve"> conseguiu empenhar 100% dos recursos orçamentários destinados a investimentos. Para as despesas de custeio, foram empenhados 99%,4 da dotação atualizada e disponibilizada a cada trimestre.</w:t>
      </w:r>
    </w:p>
    <w:p w14:paraId="65FE8678" w14:textId="77777777" w:rsidR="00DB6614" w:rsidRPr="00252D7B" w:rsidRDefault="00DB6614" w:rsidP="00666868">
      <w:pPr>
        <w:spacing w:before="120" w:after="120"/>
        <w:jc w:val="both"/>
        <w:rPr>
          <w:rFonts w:asciiTheme="minorHAnsi" w:hAnsiTheme="minorHAnsi" w:cstheme="minorHAnsi"/>
          <w:sz w:val="24"/>
          <w:szCs w:val="24"/>
          <w:lang w:eastAsia="pt-BR"/>
        </w:rPr>
      </w:pPr>
    </w:p>
    <w:p w14:paraId="14DDF367" w14:textId="173EEE89" w:rsidR="00A41DBB" w:rsidRPr="00252D7B" w:rsidRDefault="00A41DBB" w:rsidP="00A41DBB">
      <w:pPr>
        <w:pStyle w:val="Legenda"/>
        <w:spacing w:before="120" w:after="120"/>
        <w:jc w:val="center"/>
        <w:rPr>
          <w:rFonts w:asciiTheme="minorHAnsi" w:hAnsiTheme="minorHAnsi" w:cstheme="minorHAnsi"/>
          <w:sz w:val="20"/>
          <w:szCs w:val="20"/>
        </w:rPr>
      </w:pPr>
      <w:bookmarkStart w:id="210" w:name="_Toc94012728"/>
      <w:bookmarkStart w:id="211" w:name="_Toc97216008"/>
      <w:bookmarkStart w:id="212" w:name="_Toc103680671"/>
      <w:r w:rsidRPr="00252D7B">
        <w:rPr>
          <w:rFonts w:asciiTheme="minorHAnsi" w:hAnsiTheme="minorHAnsi" w:cstheme="minorHAnsi"/>
          <w:sz w:val="20"/>
          <w:szCs w:val="20"/>
        </w:rPr>
        <w:t xml:space="preserve">Tabela </w:t>
      </w:r>
      <w:r w:rsidRPr="00252D7B">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Tabela \* ARABIC </w:instrText>
      </w:r>
      <w:r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9</w:t>
      </w:r>
      <w:r w:rsidRPr="00252D7B">
        <w:rPr>
          <w:rFonts w:asciiTheme="minorHAnsi" w:hAnsiTheme="minorHAnsi" w:cstheme="minorHAnsi"/>
          <w:sz w:val="20"/>
          <w:szCs w:val="20"/>
        </w:rPr>
        <w:fldChar w:fldCharType="end"/>
      </w:r>
      <w:r w:rsidRPr="00252D7B">
        <w:rPr>
          <w:rFonts w:asciiTheme="minorHAnsi" w:hAnsiTheme="minorHAnsi" w:cstheme="minorHAnsi"/>
          <w:sz w:val="20"/>
          <w:szCs w:val="20"/>
        </w:rPr>
        <w:t xml:space="preserve"> </w:t>
      </w:r>
      <w:r w:rsidR="00F04DF6" w:rsidRPr="00252D7B">
        <w:rPr>
          <w:rFonts w:asciiTheme="minorHAnsi" w:hAnsiTheme="minorHAnsi" w:cstheme="minorHAnsi"/>
          <w:sz w:val="20"/>
          <w:szCs w:val="20"/>
        </w:rPr>
        <w:t>–</w:t>
      </w:r>
      <w:r w:rsidRPr="00252D7B">
        <w:rPr>
          <w:rFonts w:asciiTheme="minorHAnsi" w:hAnsiTheme="minorHAnsi" w:cstheme="minorHAnsi"/>
          <w:sz w:val="20"/>
          <w:szCs w:val="20"/>
        </w:rPr>
        <w:t xml:space="preserve"> Valor empenhado / Limite de empenho</w:t>
      </w:r>
      <w:bookmarkEnd w:id="210"/>
      <w:bookmarkEnd w:id="211"/>
      <w:bookmarkEnd w:id="212"/>
    </w:p>
    <w:p w14:paraId="21CF828C" w14:textId="77777777" w:rsidR="00A41DBB" w:rsidRPr="00252D7B" w:rsidRDefault="00A41DBB" w:rsidP="00A41DBB">
      <w:pPr>
        <w:keepNext/>
        <w:widowControl/>
        <w:autoSpaceDE/>
        <w:autoSpaceDN/>
        <w:spacing w:before="120" w:after="120"/>
        <w:contextualSpacing/>
        <w:jc w:val="center"/>
        <w:rPr>
          <w:rFonts w:asciiTheme="minorHAnsi" w:hAnsiTheme="minorHAnsi" w:cstheme="minorHAnsi"/>
          <w:sz w:val="20"/>
          <w:szCs w:val="20"/>
        </w:rPr>
      </w:pPr>
      <w:r w:rsidRPr="00252D7B">
        <w:rPr>
          <w:rFonts w:asciiTheme="minorHAnsi" w:hAnsiTheme="minorHAnsi" w:cstheme="minorHAnsi"/>
          <w:noProof/>
          <w:sz w:val="20"/>
          <w:szCs w:val="20"/>
          <w:lang w:eastAsia="pt-BR" w:bidi="ar-SA"/>
        </w:rPr>
        <w:drawing>
          <wp:inline distT="0" distB="0" distL="0" distR="0" wp14:anchorId="4F6DB887" wp14:editId="0F57EC53">
            <wp:extent cx="5427826" cy="532765"/>
            <wp:effectExtent l="0" t="0" r="1905" b="635"/>
            <wp:docPr id="1130521987" name="Imagem 113052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68627" cy="546585"/>
                    </a:xfrm>
                    <a:prstGeom prst="rect">
                      <a:avLst/>
                    </a:prstGeom>
                    <a:noFill/>
                    <a:ln>
                      <a:noFill/>
                    </a:ln>
                  </pic:spPr>
                </pic:pic>
              </a:graphicData>
            </a:graphic>
          </wp:inline>
        </w:drawing>
      </w:r>
    </w:p>
    <w:p w14:paraId="30CFFD51" w14:textId="77777777" w:rsidR="00A41DBB" w:rsidRPr="00252D7B" w:rsidRDefault="00A41DBB" w:rsidP="00A41DBB">
      <w:pPr>
        <w:keepNext/>
        <w:widowControl/>
        <w:autoSpaceDE/>
        <w:autoSpaceDN/>
        <w:spacing w:before="120" w:after="120"/>
        <w:contextualSpacing/>
        <w:jc w:val="center"/>
        <w:rPr>
          <w:rFonts w:asciiTheme="minorHAnsi" w:hAnsiTheme="minorHAnsi" w:cstheme="minorHAnsi"/>
          <w:sz w:val="20"/>
          <w:szCs w:val="20"/>
        </w:rPr>
      </w:pPr>
      <w:r w:rsidRPr="00252D7B">
        <w:rPr>
          <w:rFonts w:asciiTheme="minorHAnsi" w:hAnsiTheme="minorHAnsi" w:cstheme="minorHAnsi"/>
          <w:noProof/>
          <w:sz w:val="20"/>
          <w:szCs w:val="20"/>
          <w:lang w:eastAsia="pt-BR" w:bidi="ar-SA"/>
        </w:rPr>
        <w:drawing>
          <wp:inline distT="0" distB="0" distL="0" distR="0" wp14:anchorId="04CC6FEA" wp14:editId="31EE27D2">
            <wp:extent cx="5406944" cy="533400"/>
            <wp:effectExtent l="0" t="0" r="3810" b="0"/>
            <wp:docPr id="1130521988" name="Imagem 113052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94721" cy="551924"/>
                    </a:xfrm>
                    <a:prstGeom prst="rect">
                      <a:avLst/>
                    </a:prstGeom>
                    <a:noFill/>
                    <a:ln>
                      <a:noFill/>
                    </a:ln>
                  </pic:spPr>
                </pic:pic>
              </a:graphicData>
            </a:graphic>
          </wp:inline>
        </w:drawing>
      </w:r>
    </w:p>
    <w:p w14:paraId="3635D8B4" w14:textId="4528B611" w:rsidR="00A41DBB" w:rsidRPr="00252D7B" w:rsidRDefault="00A41DBB" w:rsidP="00A41DBB">
      <w:pPr>
        <w:keepNext/>
        <w:widowControl/>
        <w:autoSpaceDE/>
        <w:autoSpaceDN/>
        <w:spacing w:before="120" w:after="120"/>
        <w:contextualSpacing/>
        <w:jc w:val="center"/>
        <w:rPr>
          <w:rFonts w:asciiTheme="minorHAnsi" w:hAnsiTheme="minorHAnsi" w:cstheme="minorHAnsi"/>
          <w:sz w:val="20"/>
          <w:szCs w:val="20"/>
        </w:rPr>
      </w:pPr>
    </w:p>
    <w:p w14:paraId="4AC747C8" w14:textId="77777777" w:rsidR="00A41DBB" w:rsidRPr="00252D7B" w:rsidRDefault="00A41DBB" w:rsidP="00A41DBB">
      <w:pPr>
        <w:pStyle w:val="Ttulo5"/>
        <w:spacing w:before="120" w:after="120"/>
        <w:rPr>
          <w:rFonts w:asciiTheme="minorHAnsi" w:hAnsiTheme="minorHAnsi" w:cstheme="minorHAnsi"/>
          <w:color w:val="00B0F0"/>
        </w:rPr>
      </w:pPr>
      <w:bookmarkStart w:id="213" w:name="_Toc43446695"/>
      <w:bookmarkStart w:id="214" w:name="_Toc43446799"/>
      <w:bookmarkStart w:id="215" w:name="_Toc43448092"/>
      <w:bookmarkStart w:id="216" w:name="_Toc62628371"/>
      <w:bookmarkStart w:id="217" w:name="_Toc80785735"/>
      <w:bookmarkStart w:id="218" w:name="_Toc97215820"/>
      <w:bookmarkStart w:id="219" w:name="_Toc103680545"/>
      <w:r w:rsidRPr="00252D7B">
        <w:rPr>
          <w:rFonts w:asciiTheme="minorHAnsi" w:hAnsiTheme="minorHAnsi" w:cstheme="minorHAnsi"/>
          <w:color w:val="00B0F0"/>
        </w:rPr>
        <w:t>Liquidado no exercício / Empenhado no exercício</w:t>
      </w:r>
      <w:bookmarkEnd w:id="213"/>
      <w:bookmarkEnd w:id="214"/>
      <w:bookmarkEnd w:id="215"/>
      <w:bookmarkEnd w:id="216"/>
      <w:bookmarkEnd w:id="217"/>
      <w:bookmarkEnd w:id="218"/>
      <w:bookmarkEnd w:id="219"/>
    </w:p>
    <w:p w14:paraId="5A19AE0E" w14:textId="525BBF2F" w:rsidR="00A41DBB" w:rsidRPr="00252D7B" w:rsidRDefault="00A41DBB" w:rsidP="00A41DBB">
      <w:pPr>
        <w:spacing w:before="120" w:after="120"/>
        <w:jc w:val="both"/>
        <w:rPr>
          <w:rFonts w:asciiTheme="minorHAnsi" w:hAnsiTheme="minorHAnsi" w:cstheme="minorHAnsi"/>
          <w:sz w:val="24"/>
          <w:szCs w:val="24"/>
          <w:lang w:eastAsia="pt-BR"/>
        </w:rPr>
      </w:pPr>
      <w:r w:rsidRPr="00252D7B">
        <w:rPr>
          <w:rFonts w:asciiTheme="minorHAnsi" w:hAnsiTheme="minorHAnsi" w:cstheme="minorHAnsi"/>
          <w:sz w:val="24"/>
          <w:szCs w:val="24"/>
          <w:lang w:eastAsia="pt-BR"/>
        </w:rPr>
        <w:t xml:space="preserve">Esse indicador reflete as liquidações orçamentárias do exercício (LOA 2021) em comparação ao total empenhado, ocorridas nos períodos de análise. Reflete o a realização do que foi planejado para o orçamento de 2021 </w:t>
      </w:r>
      <w:r w:rsidR="00913285" w:rsidRPr="00252D7B">
        <w:rPr>
          <w:rFonts w:asciiTheme="minorHAnsi" w:hAnsiTheme="minorHAnsi" w:cstheme="minorHAnsi"/>
          <w:sz w:val="24"/>
          <w:szCs w:val="24"/>
          <w:lang w:eastAsia="pt-BR"/>
        </w:rPr>
        <w:t>à</w:t>
      </w:r>
      <w:r w:rsidRPr="00252D7B">
        <w:rPr>
          <w:rFonts w:asciiTheme="minorHAnsi" w:hAnsiTheme="minorHAnsi" w:cstheme="minorHAnsi"/>
          <w:sz w:val="24"/>
          <w:szCs w:val="24"/>
          <w:lang w:eastAsia="pt-BR"/>
        </w:rPr>
        <w:t xml:space="preserve"> medida que foram liberados os recursos para uso durante o ano.</w:t>
      </w:r>
    </w:p>
    <w:p w14:paraId="2637263B" w14:textId="77777777" w:rsidR="00A41DBB" w:rsidRPr="00252D7B" w:rsidRDefault="00A41DBB" w:rsidP="008D11AF">
      <w:pPr>
        <w:spacing w:before="120"/>
        <w:jc w:val="both"/>
        <w:rPr>
          <w:rFonts w:asciiTheme="minorHAnsi" w:hAnsiTheme="minorHAnsi" w:cstheme="minorHAnsi"/>
          <w:sz w:val="16"/>
          <w:szCs w:val="16"/>
          <w:lang w:eastAsia="pt-BR"/>
        </w:rPr>
      </w:pPr>
    </w:p>
    <w:p w14:paraId="2CC2626D" w14:textId="1B03FFCA" w:rsidR="00A41DBB" w:rsidRPr="00252D7B" w:rsidRDefault="00A41DBB" w:rsidP="00A41DBB">
      <w:pPr>
        <w:pStyle w:val="Legenda"/>
        <w:spacing w:before="120" w:after="120"/>
        <w:jc w:val="center"/>
        <w:rPr>
          <w:rFonts w:asciiTheme="minorHAnsi" w:hAnsiTheme="minorHAnsi" w:cstheme="minorHAnsi"/>
          <w:sz w:val="20"/>
          <w:szCs w:val="20"/>
        </w:rPr>
      </w:pPr>
      <w:bookmarkStart w:id="220" w:name="_Toc94012729"/>
      <w:bookmarkStart w:id="221" w:name="_Toc97216009"/>
      <w:bookmarkStart w:id="222" w:name="_Toc103680672"/>
      <w:r w:rsidRPr="00252D7B">
        <w:rPr>
          <w:rFonts w:asciiTheme="minorHAnsi" w:hAnsiTheme="minorHAnsi" w:cstheme="minorHAnsi"/>
          <w:sz w:val="20"/>
          <w:szCs w:val="20"/>
        </w:rPr>
        <w:t xml:space="preserve">Tabela </w:t>
      </w:r>
      <w:r w:rsidRPr="00252D7B">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Tabela \* ARABIC </w:instrText>
      </w:r>
      <w:r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10</w:t>
      </w:r>
      <w:r w:rsidRPr="00252D7B">
        <w:rPr>
          <w:rFonts w:asciiTheme="minorHAnsi" w:hAnsiTheme="minorHAnsi" w:cstheme="minorHAnsi"/>
          <w:sz w:val="20"/>
          <w:szCs w:val="20"/>
        </w:rPr>
        <w:fldChar w:fldCharType="end"/>
      </w:r>
      <w:r w:rsidRPr="00252D7B">
        <w:rPr>
          <w:rFonts w:asciiTheme="minorHAnsi" w:hAnsiTheme="minorHAnsi" w:cstheme="minorHAnsi"/>
          <w:sz w:val="20"/>
          <w:szCs w:val="20"/>
        </w:rPr>
        <w:t xml:space="preserve"> </w:t>
      </w:r>
      <w:r w:rsidR="00F04DF6" w:rsidRPr="00252D7B">
        <w:rPr>
          <w:rFonts w:asciiTheme="minorHAnsi" w:hAnsiTheme="minorHAnsi" w:cstheme="minorHAnsi"/>
          <w:sz w:val="20"/>
          <w:szCs w:val="20"/>
        </w:rPr>
        <w:t>–</w:t>
      </w:r>
      <w:r w:rsidRPr="00252D7B">
        <w:rPr>
          <w:rFonts w:asciiTheme="minorHAnsi" w:hAnsiTheme="minorHAnsi" w:cstheme="minorHAnsi"/>
          <w:sz w:val="20"/>
          <w:szCs w:val="20"/>
        </w:rPr>
        <w:t xml:space="preserve"> Liquidado no exercício / Empenhado no exercício</w:t>
      </w:r>
      <w:bookmarkEnd w:id="220"/>
      <w:bookmarkEnd w:id="221"/>
      <w:bookmarkEnd w:id="222"/>
    </w:p>
    <w:p w14:paraId="3846C3E5" w14:textId="77777777" w:rsidR="00A41DBB" w:rsidRPr="00252D7B" w:rsidRDefault="00A41DBB" w:rsidP="00A41DBB">
      <w:pPr>
        <w:keepNext/>
        <w:widowControl/>
        <w:autoSpaceDE/>
        <w:autoSpaceDN/>
        <w:spacing w:before="120" w:after="120"/>
        <w:contextualSpacing/>
        <w:jc w:val="center"/>
        <w:rPr>
          <w:rFonts w:asciiTheme="minorHAnsi" w:hAnsiTheme="minorHAnsi" w:cstheme="minorHAnsi"/>
          <w:sz w:val="20"/>
          <w:szCs w:val="20"/>
        </w:rPr>
      </w:pPr>
      <w:r w:rsidRPr="00252D7B">
        <w:rPr>
          <w:rFonts w:asciiTheme="minorHAnsi" w:hAnsiTheme="minorHAnsi" w:cstheme="minorHAnsi"/>
          <w:noProof/>
          <w:sz w:val="20"/>
          <w:szCs w:val="20"/>
          <w:lang w:eastAsia="pt-BR" w:bidi="ar-SA"/>
        </w:rPr>
        <w:drawing>
          <wp:inline distT="0" distB="0" distL="0" distR="0" wp14:anchorId="187A6587" wp14:editId="2A95B566">
            <wp:extent cx="5290056" cy="535940"/>
            <wp:effectExtent l="0" t="0" r="635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49857" cy="552130"/>
                    </a:xfrm>
                    <a:prstGeom prst="rect">
                      <a:avLst/>
                    </a:prstGeom>
                    <a:noFill/>
                    <a:ln>
                      <a:noFill/>
                    </a:ln>
                  </pic:spPr>
                </pic:pic>
              </a:graphicData>
            </a:graphic>
          </wp:inline>
        </w:drawing>
      </w:r>
    </w:p>
    <w:p w14:paraId="0DD5E8EF" w14:textId="77777777" w:rsidR="00A41DBB" w:rsidRPr="00252D7B" w:rsidRDefault="00A41DBB" w:rsidP="00A41DBB">
      <w:pPr>
        <w:keepNext/>
        <w:widowControl/>
        <w:autoSpaceDE/>
        <w:autoSpaceDN/>
        <w:spacing w:before="120" w:after="120"/>
        <w:contextualSpacing/>
        <w:jc w:val="center"/>
        <w:rPr>
          <w:rFonts w:asciiTheme="minorHAnsi" w:hAnsiTheme="minorHAnsi" w:cstheme="minorHAnsi"/>
          <w:sz w:val="20"/>
          <w:szCs w:val="20"/>
        </w:rPr>
      </w:pPr>
      <w:r w:rsidRPr="00252D7B">
        <w:rPr>
          <w:rFonts w:asciiTheme="minorHAnsi" w:hAnsiTheme="minorHAnsi" w:cstheme="minorHAnsi"/>
          <w:noProof/>
          <w:sz w:val="20"/>
          <w:szCs w:val="20"/>
          <w:lang w:eastAsia="pt-BR" w:bidi="ar-SA"/>
        </w:rPr>
        <w:drawing>
          <wp:inline distT="0" distB="0" distL="0" distR="0" wp14:anchorId="4C5CDD3A" wp14:editId="219FC560">
            <wp:extent cx="5310391" cy="523875"/>
            <wp:effectExtent l="0" t="0" r="5080" b="0"/>
            <wp:docPr id="1130521989" name="Imagem 113052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82875" cy="540891"/>
                    </a:xfrm>
                    <a:prstGeom prst="rect">
                      <a:avLst/>
                    </a:prstGeom>
                    <a:noFill/>
                    <a:ln>
                      <a:noFill/>
                    </a:ln>
                  </pic:spPr>
                </pic:pic>
              </a:graphicData>
            </a:graphic>
          </wp:inline>
        </w:drawing>
      </w:r>
    </w:p>
    <w:p w14:paraId="6255C9E7" w14:textId="77777777" w:rsidR="00A41DBB" w:rsidRPr="00252D7B" w:rsidRDefault="00A41DBB" w:rsidP="00A41DBB">
      <w:pPr>
        <w:spacing w:before="120" w:after="120"/>
        <w:rPr>
          <w:rFonts w:asciiTheme="minorHAnsi" w:hAnsiTheme="minorHAnsi" w:cstheme="minorHAnsi"/>
          <w:sz w:val="20"/>
          <w:szCs w:val="20"/>
        </w:rPr>
      </w:pPr>
    </w:p>
    <w:p w14:paraId="08AC91D5" w14:textId="150D5AAF" w:rsidR="00A41DBB" w:rsidRPr="00252D7B" w:rsidRDefault="00A41DBB" w:rsidP="00806F29">
      <w:pPr>
        <w:pStyle w:val="Ttulo5"/>
        <w:spacing w:before="120" w:after="120"/>
        <w:rPr>
          <w:rFonts w:asciiTheme="minorHAnsi" w:hAnsiTheme="minorHAnsi" w:cstheme="minorHAnsi"/>
          <w:color w:val="00B0F0"/>
        </w:rPr>
      </w:pPr>
      <w:bookmarkStart w:id="223" w:name="_Toc80785736"/>
      <w:bookmarkStart w:id="224" w:name="_Toc97215821"/>
      <w:bookmarkStart w:id="225" w:name="_Toc103680546"/>
      <w:r w:rsidRPr="00252D7B">
        <w:rPr>
          <w:rFonts w:asciiTheme="minorHAnsi" w:hAnsiTheme="minorHAnsi" w:cstheme="minorHAnsi"/>
          <w:color w:val="00B0F0"/>
        </w:rPr>
        <w:t>Indicador de necessidade de recursos do Tesouro Nacional</w:t>
      </w:r>
      <w:bookmarkEnd w:id="223"/>
      <w:bookmarkEnd w:id="224"/>
      <w:bookmarkEnd w:id="225"/>
    </w:p>
    <w:p w14:paraId="5F635A9D" w14:textId="77777777" w:rsidR="00A41DBB" w:rsidRPr="00252D7B" w:rsidRDefault="00A41DBB" w:rsidP="00A41DBB">
      <w:pPr>
        <w:spacing w:before="120" w:after="120"/>
        <w:jc w:val="both"/>
        <w:rPr>
          <w:rFonts w:asciiTheme="minorHAnsi" w:hAnsiTheme="minorHAnsi" w:cstheme="minorHAnsi"/>
          <w:sz w:val="24"/>
          <w:szCs w:val="24"/>
          <w:lang w:eastAsia="pt-BR"/>
        </w:rPr>
      </w:pPr>
      <w:r w:rsidRPr="00252D7B">
        <w:rPr>
          <w:rFonts w:asciiTheme="minorHAnsi" w:hAnsiTheme="minorHAnsi" w:cstheme="minorHAnsi"/>
          <w:sz w:val="24"/>
          <w:szCs w:val="24"/>
          <w:lang w:eastAsia="pt-BR"/>
        </w:rPr>
        <w:t>O Indicador de Necessidade de Recursos mede o grau de dependência de uma empresa estatal junto ao Tesouro Nacional. Demonstra o percentual de despesas de funcionamento não cobertas com as receitas geradas pela empresa, necessitando de subvenção do Tesouro Nacional para custeio de suas atividades.</w:t>
      </w:r>
    </w:p>
    <w:p w14:paraId="019828C2" w14:textId="77777777" w:rsidR="00A41DBB" w:rsidRPr="00252D7B" w:rsidRDefault="00A41DBB" w:rsidP="008D11AF">
      <w:pPr>
        <w:jc w:val="both"/>
        <w:rPr>
          <w:rFonts w:asciiTheme="minorHAnsi" w:hAnsiTheme="minorHAnsi" w:cstheme="minorHAnsi"/>
          <w:sz w:val="14"/>
          <w:szCs w:val="14"/>
          <w:lang w:eastAsia="pt-BR"/>
        </w:rPr>
      </w:pPr>
    </w:p>
    <w:p w14:paraId="45604749" w14:textId="2C428340" w:rsidR="00A41DBB" w:rsidRPr="00252D7B" w:rsidRDefault="00A41DBB" w:rsidP="00A41DBB">
      <w:pPr>
        <w:pStyle w:val="Legenda"/>
        <w:spacing w:before="120" w:after="120"/>
        <w:jc w:val="center"/>
        <w:rPr>
          <w:rFonts w:asciiTheme="minorHAnsi" w:hAnsiTheme="minorHAnsi" w:cstheme="minorHAnsi"/>
          <w:sz w:val="20"/>
          <w:szCs w:val="20"/>
        </w:rPr>
      </w:pPr>
      <w:bookmarkStart w:id="226" w:name="_Hlk97216049"/>
      <w:bookmarkStart w:id="227" w:name="_Toc97216032"/>
      <w:bookmarkStart w:id="228" w:name="_Toc103680755"/>
      <w:r w:rsidRPr="00252D7B">
        <w:rPr>
          <w:rFonts w:asciiTheme="minorHAnsi" w:hAnsiTheme="minorHAnsi" w:cstheme="minorHAnsi"/>
          <w:sz w:val="20"/>
          <w:szCs w:val="20"/>
        </w:rPr>
        <w:t xml:space="preserve">Figura </w:t>
      </w:r>
      <w:r w:rsidR="00F46BDB" w:rsidRPr="00252D7B">
        <w:rPr>
          <w:rFonts w:asciiTheme="minorHAnsi" w:hAnsiTheme="minorHAnsi" w:cstheme="minorHAnsi"/>
          <w:sz w:val="20"/>
          <w:szCs w:val="20"/>
        </w:rPr>
        <w:fldChar w:fldCharType="begin"/>
      </w:r>
      <w:r w:rsidR="00F46BDB" w:rsidRPr="00252D7B">
        <w:rPr>
          <w:rFonts w:asciiTheme="minorHAnsi" w:hAnsiTheme="minorHAnsi" w:cstheme="minorHAnsi"/>
          <w:sz w:val="20"/>
          <w:szCs w:val="20"/>
        </w:rPr>
        <w:instrText xml:space="preserve"> SEQ Figura \* ARABIC </w:instrText>
      </w:r>
      <w:r w:rsidR="00F46BDB"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19</w:t>
      </w:r>
      <w:r w:rsidR="00F46BDB" w:rsidRPr="00252D7B">
        <w:rPr>
          <w:rFonts w:asciiTheme="minorHAnsi" w:hAnsiTheme="minorHAnsi" w:cstheme="minorHAnsi"/>
          <w:sz w:val="20"/>
          <w:szCs w:val="20"/>
        </w:rPr>
        <w:fldChar w:fldCharType="end"/>
      </w:r>
      <w:bookmarkEnd w:id="226"/>
      <w:r w:rsidRPr="00252D7B">
        <w:rPr>
          <w:rFonts w:asciiTheme="minorHAnsi" w:hAnsiTheme="minorHAnsi" w:cstheme="minorHAnsi"/>
          <w:sz w:val="20"/>
          <w:szCs w:val="20"/>
        </w:rPr>
        <w:t xml:space="preserve"> – Cálculo da Necessidade de Recursos do Tesouro Nacional</w:t>
      </w:r>
      <w:bookmarkEnd w:id="227"/>
      <w:bookmarkEnd w:id="228"/>
    </w:p>
    <w:p w14:paraId="199B86D4" w14:textId="77777777" w:rsidR="00A41DBB" w:rsidRPr="00252D7B" w:rsidRDefault="00A41DBB" w:rsidP="00A41DBB">
      <w:pPr>
        <w:spacing w:before="120" w:after="120"/>
        <w:jc w:val="center"/>
        <w:rPr>
          <w:rFonts w:asciiTheme="minorHAnsi" w:hAnsiTheme="minorHAnsi" w:cstheme="minorHAnsi"/>
        </w:rPr>
      </w:pPr>
      <w:r w:rsidRPr="00252D7B">
        <w:rPr>
          <w:rFonts w:asciiTheme="minorHAnsi" w:hAnsiTheme="minorHAnsi" w:cstheme="minorHAnsi"/>
          <w:noProof/>
          <w:sz w:val="20"/>
          <w:szCs w:val="20"/>
          <w:lang w:eastAsia="pt-BR" w:bidi="ar-SA"/>
        </w:rPr>
        <w:drawing>
          <wp:inline distT="0" distB="0" distL="0" distR="0" wp14:anchorId="0963BC69" wp14:editId="68A3EF92">
            <wp:extent cx="4299105" cy="1200150"/>
            <wp:effectExtent l="0" t="0" r="6350" b="0"/>
            <wp:docPr id="1130521990" name="Imagem 1130521990"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Interface gráfica do usuário, Texto, Aplicativo&#10;&#10;Descrição gerada automaticamente"/>
                    <pic:cNvPicPr/>
                  </pic:nvPicPr>
                  <pic:blipFill>
                    <a:blip r:embed="rId66"/>
                    <a:stretch>
                      <a:fillRect/>
                    </a:stretch>
                  </pic:blipFill>
                  <pic:spPr>
                    <a:xfrm>
                      <a:off x="0" y="0"/>
                      <a:ext cx="4485901" cy="1252296"/>
                    </a:xfrm>
                    <a:prstGeom prst="rect">
                      <a:avLst/>
                    </a:prstGeom>
                  </pic:spPr>
                </pic:pic>
              </a:graphicData>
            </a:graphic>
          </wp:inline>
        </w:drawing>
      </w:r>
    </w:p>
    <w:p w14:paraId="17D77BCB" w14:textId="33E8E21B" w:rsidR="00CF6DA7" w:rsidRPr="00252D7B" w:rsidRDefault="00CF6DA7">
      <w:pPr>
        <w:widowControl/>
        <w:autoSpaceDE/>
        <w:autoSpaceDN/>
        <w:spacing w:after="160" w:line="259" w:lineRule="auto"/>
        <w:rPr>
          <w:rFonts w:asciiTheme="minorHAnsi" w:hAnsiTheme="minorHAnsi" w:cstheme="minorHAnsi"/>
          <w:i/>
          <w:iCs/>
          <w:color w:val="1F497D"/>
          <w:sz w:val="20"/>
          <w:szCs w:val="20"/>
        </w:rPr>
      </w:pPr>
      <w:bookmarkStart w:id="229" w:name="_Toc97216010"/>
      <w:r w:rsidRPr="00252D7B">
        <w:rPr>
          <w:rFonts w:asciiTheme="minorHAnsi" w:hAnsiTheme="minorHAnsi" w:cstheme="minorHAnsi"/>
          <w:sz w:val="20"/>
          <w:szCs w:val="20"/>
        </w:rPr>
        <w:br w:type="page"/>
      </w:r>
    </w:p>
    <w:p w14:paraId="7E9020A5" w14:textId="446C523E" w:rsidR="00A41DBB" w:rsidRPr="00252D7B" w:rsidRDefault="00A41DBB" w:rsidP="00A41DBB">
      <w:pPr>
        <w:pStyle w:val="Legenda"/>
        <w:spacing w:before="120" w:after="120"/>
        <w:jc w:val="center"/>
        <w:rPr>
          <w:rFonts w:asciiTheme="minorHAnsi" w:hAnsiTheme="minorHAnsi" w:cstheme="minorHAnsi"/>
          <w:sz w:val="20"/>
          <w:szCs w:val="20"/>
        </w:rPr>
      </w:pPr>
      <w:bookmarkStart w:id="230" w:name="_Toc103680673"/>
      <w:r w:rsidRPr="00252D7B">
        <w:rPr>
          <w:rFonts w:asciiTheme="minorHAnsi" w:hAnsiTheme="minorHAnsi" w:cstheme="minorHAnsi"/>
          <w:sz w:val="20"/>
          <w:szCs w:val="20"/>
        </w:rPr>
        <w:lastRenderedPageBreak/>
        <w:t xml:space="preserve">Tabela </w:t>
      </w:r>
      <w:r w:rsidRPr="00252D7B">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Tabela \* ARABIC </w:instrText>
      </w:r>
      <w:r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11</w:t>
      </w:r>
      <w:r w:rsidRPr="00252D7B">
        <w:rPr>
          <w:rFonts w:asciiTheme="minorHAnsi" w:hAnsiTheme="minorHAnsi" w:cstheme="minorHAnsi"/>
          <w:sz w:val="20"/>
          <w:szCs w:val="20"/>
        </w:rPr>
        <w:fldChar w:fldCharType="end"/>
      </w:r>
      <w:r w:rsidRPr="00252D7B">
        <w:rPr>
          <w:rFonts w:asciiTheme="minorHAnsi" w:hAnsiTheme="minorHAnsi" w:cstheme="minorHAnsi"/>
          <w:sz w:val="20"/>
          <w:szCs w:val="20"/>
        </w:rPr>
        <w:t xml:space="preserve"> – Resultados da Necessidade de Recursos do Tesouro Nacional</w:t>
      </w:r>
      <w:bookmarkEnd w:id="229"/>
      <w:bookmarkEnd w:id="230"/>
    </w:p>
    <w:p w14:paraId="7A414B88" w14:textId="5A66C5A2" w:rsidR="00A41DBB" w:rsidRPr="00252D7B" w:rsidRDefault="00584E7E" w:rsidP="00584E7E">
      <w:pPr>
        <w:spacing w:before="120" w:after="120"/>
        <w:jc w:val="center"/>
        <w:rPr>
          <w:rFonts w:asciiTheme="minorHAnsi" w:hAnsiTheme="minorHAnsi" w:cstheme="minorHAnsi"/>
        </w:rPr>
      </w:pPr>
      <w:r>
        <w:rPr>
          <w:noProof/>
        </w:rPr>
        <w:drawing>
          <wp:inline distT="0" distB="0" distL="0" distR="0" wp14:anchorId="33B8C9F8" wp14:editId="1F5C65E5">
            <wp:extent cx="2876550" cy="630198"/>
            <wp:effectExtent l="0" t="0" r="0" b="0"/>
            <wp:docPr id="22" name="Imagem 22"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Tabela&#10;&#10;Descrição gerada automaticament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01470" cy="635657"/>
                    </a:xfrm>
                    <a:prstGeom prst="rect">
                      <a:avLst/>
                    </a:prstGeom>
                    <a:noFill/>
                    <a:ln>
                      <a:noFill/>
                    </a:ln>
                  </pic:spPr>
                </pic:pic>
              </a:graphicData>
            </a:graphic>
          </wp:inline>
        </w:drawing>
      </w:r>
    </w:p>
    <w:p w14:paraId="35FB8855" w14:textId="3C5C9B4E" w:rsidR="00A41DBB" w:rsidRPr="00252D7B" w:rsidRDefault="00A41DBB" w:rsidP="00F946ED">
      <w:pPr>
        <w:spacing w:before="120" w:after="120"/>
        <w:jc w:val="both"/>
        <w:rPr>
          <w:rFonts w:asciiTheme="minorHAnsi" w:hAnsiTheme="minorHAnsi" w:cstheme="minorHAnsi"/>
          <w:sz w:val="24"/>
          <w:szCs w:val="24"/>
          <w:lang w:eastAsia="pt-BR"/>
        </w:rPr>
      </w:pPr>
    </w:p>
    <w:p w14:paraId="47BECDDC" w14:textId="1EE97F0D" w:rsidR="00DB6614" w:rsidRPr="00252D7B" w:rsidRDefault="00DB6614">
      <w:pPr>
        <w:widowControl/>
        <w:autoSpaceDE/>
        <w:autoSpaceDN/>
        <w:spacing w:after="160" w:line="259" w:lineRule="auto"/>
        <w:rPr>
          <w:rFonts w:asciiTheme="minorHAnsi" w:hAnsiTheme="minorHAnsi" w:cstheme="minorHAnsi"/>
          <w:sz w:val="24"/>
          <w:szCs w:val="24"/>
          <w:lang w:eastAsia="pt-BR"/>
        </w:rPr>
      </w:pPr>
      <w:r w:rsidRPr="00252D7B">
        <w:rPr>
          <w:rFonts w:asciiTheme="minorHAnsi" w:hAnsiTheme="minorHAnsi" w:cstheme="minorHAnsi"/>
          <w:sz w:val="24"/>
          <w:szCs w:val="24"/>
          <w:lang w:eastAsia="pt-BR"/>
        </w:rPr>
        <w:br w:type="page"/>
      </w:r>
    </w:p>
    <w:p w14:paraId="0DA9FC53" w14:textId="77777777" w:rsidR="00A41DBB" w:rsidRPr="00252D7B" w:rsidRDefault="00A41DBB" w:rsidP="00F100A9">
      <w:pPr>
        <w:pStyle w:val="Ttulo2"/>
      </w:pPr>
      <w:bookmarkStart w:id="231" w:name="_Toc97215822"/>
      <w:bookmarkStart w:id="232" w:name="_Toc103680547"/>
      <w:r w:rsidRPr="00252D7B">
        <w:lastRenderedPageBreak/>
        <w:t>Gestão de custos</w:t>
      </w:r>
      <w:bookmarkEnd w:id="202"/>
      <w:bookmarkEnd w:id="231"/>
      <w:bookmarkEnd w:id="232"/>
    </w:p>
    <w:p w14:paraId="4D41AEA7" w14:textId="21647D81" w:rsidR="00A41DBB" w:rsidRPr="00252D7B" w:rsidRDefault="00A41DBB" w:rsidP="006A39B9">
      <w:pPr>
        <w:spacing w:before="120" w:after="120"/>
        <w:jc w:val="both"/>
        <w:rPr>
          <w:rFonts w:asciiTheme="minorHAnsi" w:hAnsiTheme="minorHAnsi" w:cstheme="minorHAnsi"/>
          <w:sz w:val="24"/>
          <w:szCs w:val="24"/>
          <w:lang w:eastAsia="pt-BR"/>
        </w:rPr>
      </w:pPr>
      <w:r w:rsidRPr="00252D7B">
        <w:rPr>
          <w:rFonts w:asciiTheme="minorHAnsi" w:hAnsiTheme="minorHAnsi" w:cstheme="minorHAnsi"/>
          <w:sz w:val="24"/>
          <w:szCs w:val="24"/>
          <w:lang w:eastAsia="pt-BR"/>
        </w:rPr>
        <w:t xml:space="preserve">A Valec aprovou, por meio de deliberação da Diretoria Executiva da empresa, em 02/06/2022, a implantação do modelo de gestão de custos da Empresa, que </w:t>
      </w:r>
      <w:r w:rsidRPr="00252D7B">
        <w:rPr>
          <w:rFonts w:asciiTheme="minorHAnsi" w:hAnsiTheme="minorHAnsi" w:cstheme="minorHAnsi"/>
          <w:sz w:val="24"/>
          <w:szCs w:val="24"/>
        </w:rPr>
        <w:t>visa atender às determinações legais e aumentar a capacidade de gerenciamento dos recursos à disposição da estatal. A iniciativa está vinculada ao Planejamento Estratégico da DIRAF e classificada como projeto prioritário pela Alta Administração.</w:t>
      </w:r>
    </w:p>
    <w:p w14:paraId="6BD626D7" w14:textId="77777777" w:rsidR="00A41DBB" w:rsidRPr="00252D7B" w:rsidRDefault="00A41DBB" w:rsidP="00A41DBB">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Atualmente a empresa encontra-se em processo de desenvolvimento de sistema informatizado contendo a análise das principais áreas e projetos da empresa. </w:t>
      </w:r>
    </w:p>
    <w:p w14:paraId="119CEEB5" w14:textId="487E73F7" w:rsidR="00A41DBB" w:rsidRPr="00252D7B" w:rsidRDefault="00A41DBB" w:rsidP="00DB6614">
      <w:pPr>
        <w:spacing w:before="120" w:after="120"/>
        <w:jc w:val="both"/>
        <w:rPr>
          <w:rFonts w:asciiTheme="minorHAnsi" w:hAnsiTheme="minorHAnsi" w:cstheme="minorHAnsi"/>
          <w:sz w:val="24"/>
          <w:szCs w:val="24"/>
          <w:lang w:eastAsia="pt-BR"/>
        </w:rPr>
      </w:pPr>
    </w:p>
    <w:p w14:paraId="3633B428" w14:textId="77777777" w:rsidR="00DB6614" w:rsidRPr="00252D7B" w:rsidRDefault="00DB6614" w:rsidP="00DB6614">
      <w:pPr>
        <w:spacing w:before="120" w:after="120"/>
        <w:jc w:val="both"/>
        <w:rPr>
          <w:rFonts w:asciiTheme="minorHAnsi" w:hAnsiTheme="minorHAnsi" w:cstheme="minorHAnsi"/>
          <w:sz w:val="24"/>
          <w:szCs w:val="24"/>
          <w:lang w:eastAsia="pt-BR"/>
        </w:rPr>
      </w:pPr>
    </w:p>
    <w:p w14:paraId="4C7E5F1C" w14:textId="77777777" w:rsidR="00A41DBB" w:rsidRPr="00252D7B" w:rsidRDefault="00A41DBB" w:rsidP="00A41DBB">
      <w:pPr>
        <w:pStyle w:val="Ttulo3"/>
        <w:spacing w:before="120" w:after="120"/>
        <w:rPr>
          <w:rFonts w:asciiTheme="minorHAnsi" w:hAnsiTheme="minorHAnsi" w:cstheme="minorHAnsi"/>
        </w:rPr>
      </w:pPr>
      <w:bookmarkStart w:id="233" w:name="_Toc97215823"/>
      <w:bookmarkStart w:id="234" w:name="_Toc103680548"/>
      <w:r w:rsidRPr="00252D7B">
        <w:rPr>
          <w:rFonts w:asciiTheme="minorHAnsi" w:hAnsiTheme="minorHAnsi" w:cstheme="minorHAnsi"/>
        </w:rPr>
        <w:t>Conformidade legal (art. 50, §3º, da Lei Complementar 101, de 4 de maio de 2000, e Portaria-STN 157, de 9 de março de 2011)</w:t>
      </w:r>
      <w:bookmarkEnd w:id="233"/>
      <w:bookmarkEnd w:id="234"/>
    </w:p>
    <w:p w14:paraId="27138858" w14:textId="0D9B4658" w:rsidR="00A41DBB" w:rsidRPr="00252D7B" w:rsidRDefault="00A41DBB" w:rsidP="006A39B9">
      <w:pPr>
        <w:spacing w:before="120" w:after="120"/>
        <w:jc w:val="both"/>
        <w:rPr>
          <w:rFonts w:asciiTheme="minorHAnsi" w:hAnsiTheme="minorHAnsi" w:cstheme="minorHAnsi"/>
          <w:sz w:val="24"/>
          <w:szCs w:val="24"/>
          <w:lang w:eastAsia="pt-BR"/>
        </w:rPr>
      </w:pPr>
      <w:r w:rsidRPr="00252D7B">
        <w:rPr>
          <w:rFonts w:asciiTheme="minorHAnsi" w:hAnsiTheme="minorHAnsi" w:cstheme="minorHAnsi"/>
          <w:sz w:val="24"/>
          <w:szCs w:val="24"/>
          <w:lang w:eastAsia="pt-BR"/>
        </w:rPr>
        <w:t>A referida legislação atrelada ao modelo de gestão de custos proposta é considerada como principal elemento de desenvolvimento do trabalho, a seguir estão elencadas as principais:</w:t>
      </w:r>
    </w:p>
    <w:p w14:paraId="33626346" w14:textId="1EE77C5A" w:rsidR="00A41DBB" w:rsidRPr="00252D7B" w:rsidRDefault="00A41DBB" w:rsidP="006A39B9">
      <w:pPr>
        <w:pStyle w:val="PargrafodaLista"/>
        <w:numPr>
          <w:ilvl w:val="0"/>
          <w:numId w:val="4"/>
        </w:numPr>
        <w:spacing w:before="120" w:after="120"/>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b/>
          <w:bCs/>
          <w:sz w:val="24"/>
          <w:szCs w:val="24"/>
        </w:rPr>
        <w:t>Lei Complementar nº 101, de 4/5/2000 –</w:t>
      </w:r>
      <w:r w:rsidRPr="00252D7B">
        <w:rPr>
          <w:rStyle w:val="jsgrdq"/>
          <w:rFonts w:asciiTheme="minorHAnsi" w:hAnsiTheme="minorHAnsi" w:cstheme="minorHAnsi"/>
          <w:sz w:val="24"/>
          <w:szCs w:val="24"/>
        </w:rPr>
        <w:t xml:space="preserve"> Estabelece que a Administração Pública manterá sistema de custos que permita a avaliação e o acompanhamento da gestão orçamentária, financeira e patrimonial. </w:t>
      </w:r>
    </w:p>
    <w:p w14:paraId="60873CF5" w14:textId="2E8FA698" w:rsidR="00A41DBB" w:rsidRPr="00252D7B" w:rsidRDefault="00A41DBB" w:rsidP="006A39B9">
      <w:pPr>
        <w:pStyle w:val="PargrafodaLista"/>
        <w:numPr>
          <w:ilvl w:val="0"/>
          <w:numId w:val="4"/>
        </w:numPr>
        <w:spacing w:before="120" w:after="120"/>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b/>
          <w:bCs/>
          <w:sz w:val="24"/>
          <w:szCs w:val="24"/>
        </w:rPr>
        <w:t>Lei nº 4.320, de 17/3/1964 –</w:t>
      </w:r>
      <w:r w:rsidRPr="00252D7B">
        <w:rPr>
          <w:rStyle w:val="jsgrdq"/>
          <w:rFonts w:asciiTheme="minorHAnsi" w:hAnsiTheme="minorHAnsi" w:cstheme="minorHAnsi"/>
          <w:sz w:val="24"/>
          <w:szCs w:val="24"/>
        </w:rPr>
        <w:t xml:space="preserve"> Estabelece que a Contabilidade deve permitir o acompanhamento dos custos dos serviços públicos industriais. </w:t>
      </w:r>
    </w:p>
    <w:p w14:paraId="3F3A7C9D" w14:textId="42B2D4F7" w:rsidR="00A41DBB" w:rsidRPr="00252D7B" w:rsidRDefault="00A41DBB" w:rsidP="006A39B9">
      <w:pPr>
        <w:pStyle w:val="PargrafodaLista"/>
        <w:numPr>
          <w:ilvl w:val="0"/>
          <w:numId w:val="4"/>
        </w:numPr>
        <w:spacing w:before="120" w:after="120"/>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b/>
          <w:bCs/>
          <w:sz w:val="24"/>
          <w:szCs w:val="24"/>
        </w:rPr>
        <w:t>Decreto-Lei nº 200, de 25/2/1967 –</w:t>
      </w:r>
      <w:r w:rsidRPr="00252D7B">
        <w:rPr>
          <w:rStyle w:val="jsgrdq"/>
          <w:rFonts w:asciiTheme="minorHAnsi" w:hAnsiTheme="minorHAnsi" w:cstheme="minorHAnsi"/>
          <w:sz w:val="24"/>
          <w:szCs w:val="24"/>
        </w:rPr>
        <w:t xml:space="preserve"> Determina que a contabilidade deverá apurar os custos dos serviços de forma a evidenciar os resultados da gestão. </w:t>
      </w:r>
    </w:p>
    <w:p w14:paraId="41CB654E" w14:textId="247DE107" w:rsidR="00A41DBB" w:rsidRPr="00252D7B" w:rsidRDefault="00A41DBB" w:rsidP="006A39B9">
      <w:pPr>
        <w:pStyle w:val="PargrafodaLista"/>
        <w:numPr>
          <w:ilvl w:val="0"/>
          <w:numId w:val="4"/>
        </w:numPr>
        <w:spacing w:before="120" w:after="120"/>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b/>
          <w:bCs/>
          <w:sz w:val="24"/>
          <w:szCs w:val="24"/>
        </w:rPr>
        <w:t>Lei nº 10.180, de 6/2/2001 –</w:t>
      </w:r>
      <w:r w:rsidRPr="00252D7B">
        <w:rPr>
          <w:rStyle w:val="jsgrdq"/>
          <w:rFonts w:asciiTheme="minorHAnsi" w:hAnsiTheme="minorHAnsi" w:cstheme="minorHAnsi"/>
          <w:sz w:val="24"/>
          <w:szCs w:val="24"/>
        </w:rPr>
        <w:t xml:space="preserve"> Determina que a contabilidade deverá evidenciar os custos dos programas e das unidades da Administração Pública Federal. </w:t>
      </w:r>
    </w:p>
    <w:p w14:paraId="32FA4C1C" w14:textId="56AE4620" w:rsidR="00A41DBB" w:rsidRPr="00252D7B" w:rsidRDefault="00A41DBB" w:rsidP="006A39B9">
      <w:pPr>
        <w:pStyle w:val="PargrafodaLista"/>
        <w:numPr>
          <w:ilvl w:val="0"/>
          <w:numId w:val="4"/>
        </w:numPr>
        <w:spacing w:before="120" w:after="120"/>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b/>
          <w:bCs/>
          <w:sz w:val="24"/>
          <w:szCs w:val="24"/>
        </w:rPr>
        <w:t>Decreto nº 93.872, de 23/12/1986 –</w:t>
      </w:r>
      <w:r w:rsidRPr="00252D7B">
        <w:rPr>
          <w:rStyle w:val="jsgrdq"/>
          <w:rFonts w:asciiTheme="minorHAnsi" w:hAnsiTheme="minorHAnsi" w:cstheme="minorHAnsi"/>
          <w:sz w:val="24"/>
          <w:szCs w:val="24"/>
        </w:rPr>
        <w:t xml:space="preserve"> Determina que a contabilidade deverá apurar os custos dos projetos e atividades de forma a evidenciar os resultados da gestão. </w:t>
      </w:r>
    </w:p>
    <w:p w14:paraId="4746A1CB" w14:textId="297B01B9" w:rsidR="00A41DBB" w:rsidRPr="00252D7B" w:rsidRDefault="00A41DBB" w:rsidP="006A39B9">
      <w:pPr>
        <w:pStyle w:val="PargrafodaLista"/>
        <w:numPr>
          <w:ilvl w:val="0"/>
          <w:numId w:val="4"/>
        </w:numPr>
        <w:spacing w:before="120" w:after="120"/>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b/>
          <w:bCs/>
          <w:sz w:val="24"/>
          <w:szCs w:val="24"/>
        </w:rPr>
        <w:t>Portarias STN nº 157, de 9/3/2011 e nº 716, de 24/10/2011 –</w:t>
      </w:r>
      <w:r w:rsidRPr="00252D7B">
        <w:rPr>
          <w:rStyle w:val="jsgrdq"/>
          <w:rFonts w:asciiTheme="minorHAnsi" w:hAnsiTheme="minorHAnsi" w:cstheme="minorHAnsi"/>
          <w:sz w:val="24"/>
          <w:szCs w:val="24"/>
        </w:rPr>
        <w:t xml:space="preserve"> Implementam o Sistema de Custos do Governo Federal com definições das suas atribuições e abrangências.</w:t>
      </w:r>
    </w:p>
    <w:p w14:paraId="7BB9B77E" w14:textId="16981F5E" w:rsidR="00A41DBB" w:rsidRPr="00252D7B" w:rsidRDefault="00A41DBB" w:rsidP="00A41DBB">
      <w:pPr>
        <w:spacing w:before="120" w:after="120"/>
        <w:rPr>
          <w:rFonts w:asciiTheme="minorHAnsi" w:hAnsiTheme="minorHAnsi" w:cstheme="minorHAnsi"/>
        </w:rPr>
      </w:pPr>
    </w:p>
    <w:p w14:paraId="64F81CE2" w14:textId="77777777" w:rsidR="00DB6614" w:rsidRPr="00252D7B" w:rsidRDefault="00DB6614" w:rsidP="00A41DBB">
      <w:pPr>
        <w:spacing w:before="120" w:after="120"/>
        <w:rPr>
          <w:rFonts w:asciiTheme="minorHAnsi" w:hAnsiTheme="minorHAnsi" w:cstheme="minorHAnsi"/>
        </w:rPr>
      </w:pPr>
    </w:p>
    <w:p w14:paraId="1EC1594E" w14:textId="77777777" w:rsidR="00A41DBB" w:rsidRPr="00252D7B" w:rsidRDefault="00A41DBB" w:rsidP="00A41DBB">
      <w:pPr>
        <w:pStyle w:val="Ttulo3"/>
        <w:spacing w:before="120" w:after="120"/>
        <w:rPr>
          <w:rFonts w:asciiTheme="minorHAnsi" w:hAnsiTheme="minorHAnsi" w:cstheme="minorHAnsi"/>
        </w:rPr>
      </w:pPr>
      <w:bookmarkStart w:id="235" w:name="_Toc97215824"/>
      <w:bookmarkStart w:id="236" w:name="_Toc103680549"/>
      <w:r w:rsidRPr="00252D7B">
        <w:rPr>
          <w:rFonts w:asciiTheme="minorHAnsi" w:hAnsiTheme="minorHAnsi" w:cstheme="minorHAnsi"/>
        </w:rPr>
        <w:t>Estimativa de custos por área de atuação, demonstrando a distribuição dos recursos consumidos entre as áreas finalísticas e de suporte</w:t>
      </w:r>
      <w:bookmarkEnd w:id="235"/>
      <w:bookmarkEnd w:id="236"/>
    </w:p>
    <w:p w14:paraId="7A8BDAFA" w14:textId="09D2CBC8" w:rsidR="00A41DBB" w:rsidRPr="00252D7B" w:rsidRDefault="00A41DBB" w:rsidP="00A41DBB">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Estima-se que, com o modelo previsto de trabalho seja possível identificar, por meio do método da departamentalização, a formação de custos da Valec e assim, por meio da tecnologia, disponibilizar os dados e análises para o público interno e externo.</w:t>
      </w:r>
    </w:p>
    <w:p w14:paraId="625C9A43" w14:textId="4C7276BA" w:rsidR="00A41DBB" w:rsidRPr="00252D7B" w:rsidRDefault="00A41DBB" w:rsidP="00A41DBB">
      <w:pPr>
        <w:spacing w:before="120" w:after="120"/>
        <w:rPr>
          <w:rFonts w:asciiTheme="minorHAnsi" w:hAnsiTheme="minorHAnsi" w:cstheme="minorHAnsi"/>
          <w:sz w:val="24"/>
          <w:szCs w:val="24"/>
        </w:rPr>
      </w:pPr>
    </w:p>
    <w:p w14:paraId="5E418C65" w14:textId="3E782AD8" w:rsidR="00DB6614" w:rsidRPr="00252D7B" w:rsidRDefault="00DB6614">
      <w:pPr>
        <w:widowControl/>
        <w:autoSpaceDE/>
        <w:autoSpaceDN/>
        <w:spacing w:after="160" w:line="259" w:lineRule="auto"/>
        <w:rPr>
          <w:rFonts w:asciiTheme="minorHAnsi" w:hAnsiTheme="minorHAnsi" w:cstheme="minorHAnsi"/>
          <w:sz w:val="24"/>
          <w:szCs w:val="24"/>
        </w:rPr>
      </w:pPr>
      <w:r w:rsidRPr="00252D7B">
        <w:rPr>
          <w:rFonts w:asciiTheme="minorHAnsi" w:hAnsiTheme="minorHAnsi" w:cstheme="minorHAnsi"/>
          <w:sz w:val="24"/>
          <w:szCs w:val="24"/>
        </w:rPr>
        <w:br w:type="page"/>
      </w:r>
    </w:p>
    <w:p w14:paraId="1596D67B" w14:textId="77777777" w:rsidR="00A41DBB" w:rsidRPr="00252D7B" w:rsidRDefault="00A41DBB" w:rsidP="00A41DBB">
      <w:pPr>
        <w:pStyle w:val="Ttulo3"/>
        <w:spacing w:before="120" w:after="120"/>
        <w:rPr>
          <w:rFonts w:asciiTheme="minorHAnsi" w:hAnsiTheme="minorHAnsi" w:cstheme="minorHAnsi"/>
        </w:rPr>
      </w:pPr>
      <w:bookmarkStart w:id="237" w:name="_Toc97215825"/>
      <w:bookmarkStart w:id="238" w:name="_Toc103680550"/>
      <w:r w:rsidRPr="00252D7B">
        <w:rPr>
          <w:rFonts w:asciiTheme="minorHAnsi" w:hAnsiTheme="minorHAnsi" w:cstheme="minorHAnsi"/>
        </w:rPr>
        <w:lastRenderedPageBreak/>
        <w:t>Estimativa de custos por programa governamental, demonstrando em que medida eles se relacionam com o alcance da missão institucional da UPC e contribuem para ele.</w:t>
      </w:r>
      <w:bookmarkEnd w:id="237"/>
      <w:bookmarkEnd w:id="238"/>
    </w:p>
    <w:p w14:paraId="56AEF3DD" w14:textId="181C4450" w:rsidR="00A41DBB" w:rsidRPr="00252D7B" w:rsidRDefault="00A41DBB" w:rsidP="00A41DBB">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Além da análise de custo dos empreendimentos identificados, o modelo de implantação prevê a utilização de alocação de custos por meio do método de absorção para os empreendimentos. Considerando que os projetos em desenvolvimento pela empresa preveem recursos em LOA, entende-se que tal informação será disponibilizada após a conclusão da ferramenta computacional. Além disto, há a previsão de estruturação de custos diretos dos empreendimentos e custos indiretos dos empreendimentos, criando uma análise detalhada dos projetos desenvolvidos pela empresa.</w:t>
      </w:r>
    </w:p>
    <w:p w14:paraId="10CE548F" w14:textId="256293E8" w:rsidR="00A41DBB" w:rsidRPr="00252D7B" w:rsidRDefault="00A41DBB" w:rsidP="00A41DBB">
      <w:pPr>
        <w:spacing w:before="120" w:after="120"/>
        <w:rPr>
          <w:rFonts w:asciiTheme="minorHAnsi" w:hAnsiTheme="minorHAnsi" w:cstheme="minorHAnsi"/>
          <w:sz w:val="24"/>
          <w:szCs w:val="24"/>
        </w:rPr>
      </w:pPr>
    </w:p>
    <w:p w14:paraId="51D0E07B" w14:textId="77777777" w:rsidR="00893F5A" w:rsidRPr="00252D7B" w:rsidRDefault="00893F5A" w:rsidP="00A41DBB">
      <w:pPr>
        <w:spacing w:before="120" w:after="120"/>
        <w:rPr>
          <w:rFonts w:asciiTheme="minorHAnsi" w:hAnsiTheme="minorHAnsi" w:cstheme="minorHAnsi"/>
          <w:sz w:val="24"/>
          <w:szCs w:val="24"/>
        </w:rPr>
      </w:pPr>
    </w:p>
    <w:p w14:paraId="568E9B4F" w14:textId="77777777" w:rsidR="00A41DBB" w:rsidRPr="00252D7B" w:rsidRDefault="00A41DBB" w:rsidP="00A41DBB">
      <w:pPr>
        <w:pStyle w:val="Ttulo3"/>
        <w:spacing w:before="120" w:after="120"/>
        <w:rPr>
          <w:rFonts w:asciiTheme="minorHAnsi" w:hAnsiTheme="minorHAnsi" w:cstheme="minorHAnsi"/>
        </w:rPr>
      </w:pPr>
      <w:bookmarkStart w:id="239" w:name="_Toc97215826"/>
      <w:bookmarkStart w:id="240" w:name="_Toc103680551"/>
      <w:r w:rsidRPr="00252D7B">
        <w:rPr>
          <w:rFonts w:asciiTheme="minorHAnsi" w:hAnsiTheme="minorHAnsi" w:cstheme="minorHAnsi"/>
        </w:rPr>
        <w:t>Principais desafios e ações futuras para alocação mais eficiente de recursos e melhoria da qualidade dos gastos públicos.</w:t>
      </w:r>
      <w:bookmarkEnd w:id="239"/>
      <w:bookmarkEnd w:id="240"/>
    </w:p>
    <w:p w14:paraId="02271138" w14:textId="77777777" w:rsidR="00A41DBB" w:rsidRPr="00252D7B" w:rsidRDefault="00A41DBB" w:rsidP="00A41DBB">
      <w:pPr>
        <w:widowControl/>
        <w:autoSpaceDE/>
        <w:autoSpaceDN/>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Com desafios podemos citar os diversos tipos de gastos da empresa com suas diversas naturezas, que atendem uma variedade de objetivos no processo de transformação de seus recursos em produtos e serviços finais. O estudo referente à implantação do sistema de custos na Valec trata-se de um trabalho dinâmico, cujos primeiros passos foram desenvolvidos neste trabalho. O processo de desenvolvimento das atividades e as mudanças na forma da gestão Pública mostrarão as próximas etapas dessa atividade. </w:t>
      </w:r>
    </w:p>
    <w:p w14:paraId="2FCC535B" w14:textId="77777777" w:rsidR="00A41DBB" w:rsidRPr="00252D7B" w:rsidRDefault="00A41DBB" w:rsidP="00A41DBB">
      <w:pPr>
        <w:widowControl/>
        <w:autoSpaceDE/>
        <w:autoSpaceDN/>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Compete à Superintendência de Planejamento e Orçamento (SUPOF) elaborar relatórios de custos dos empreendimentos e da administração, com informações financeiras extraídas do SIAFI e com informações de dados físicos encaminhadas pelas unidades responsáveis. </w:t>
      </w:r>
    </w:p>
    <w:p w14:paraId="4CA6A4E0" w14:textId="77777777" w:rsidR="00A41DBB" w:rsidRPr="00252D7B" w:rsidRDefault="00A41DBB" w:rsidP="00A41DBB">
      <w:pPr>
        <w:widowControl/>
        <w:autoSpaceDE/>
        <w:autoSpaceDN/>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A compreensão dos resultados agregados deste trabalho deve ser motivo de comunicações internas, buscando, assim, a máxima efetividade em sua implementação. A forma e os limites devem ser apresentados a todos visando dar visibilidade ao sistema de custos, de maneira útil às tomadas de decisões. </w:t>
      </w:r>
    </w:p>
    <w:p w14:paraId="300FF58D" w14:textId="77777777" w:rsidR="00A41DBB" w:rsidRPr="00252D7B" w:rsidRDefault="00A41DBB" w:rsidP="00A41DBB">
      <w:pPr>
        <w:widowControl/>
        <w:autoSpaceDE/>
        <w:autoSpaceDN/>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Quanto mais fidedigna for a informação de custos ou dados físicos, maior será o grau de clareza e segurança dos gestores para analisar, planejar e tomar decisões. Conforme Eliseu Martins (2003), a “má informação é, muitas vezes, pior do que nenhuma. Não raro é preferível deixar de se ter um dado do que tê-lo errado, principalmente se nele a gente acreditar.” </w:t>
      </w:r>
    </w:p>
    <w:p w14:paraId="6F4BE355" w14:textId="77777777" w:rsidR="00A41DBB" w:rsidRPr="00252D7B" w:rsidRDefault="00A41DBB" w:rsidP="00A41DBB">
      <w:pPr>
        <w:widowControl/>
        <w:autoSpaceDE/>
        <w:autoSpaceDN/>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A etapa atual do projeto está relacionada ao desenvolvimento do sistema informatizado, no qual se realizará o cruzamento das informações de custos e dados físicos, bem como a abertura das informações de caráter geral para o público interno e externo.</w:t>
      </w:r>
    </w:p>
    <w:p w14:paraId="4D5D2E29" w14:textId="77777777" w:rsidR="00A41DBB" w:rsidRPr="00252D7B" w:rsidRDefault="00A41DBB" w:rsidP="00A41DBB">
      <w:pPr>
        <w:widowControl/>
        <w:autoSpaceDE/>
        <w:autoSpaceDN/>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Mudanças de ordem externa, a exemplo da implantação do sistema E-Social, viabilizaram-se como adequações que devem ser utilizadas de forma integrada a ferramenta e útil para o correto desenvolvimento dos dados.</w:t>
      </w:r>
    </w:p>
    <w:p w14:paraId="0AC0C585" w14:textId="151AE645" w:rsidR="00A41DBB" w:rsidRPr="00252D7B" w:rsidRDefault="00A41DBB" w:rsidP="00A41DBB">
      <w:pPr>
        <w:widowControl/>
        <w:autoSpaceDE/>
        <w:autoSpaceDN/>
        <w:spacing w:before="120" w:after="120"/>
        <w:jc w:val="both"/>
        <w:rPr>
          <w:rFonts w:asciiTheme="minorHAnsi" w:hAnsiTheme="minorHAnsi" w:cstheme="minorHAnsi"/>
          <w:sz w:val="24"/>
          <w:szCs w:val="24"/>
        </w:rPr>
      </w:pPr>
    </w:p>
    <w:p w14:paraId="44009D90" w14:textId="4F6D77C2" w:rsidR="00CF6DA7" w:rsidRPr="00252D7B" w:rsidRDefault="00CF6DA7">
      <w:pPr>
        <w:widowControl/>
        <w:autoSpaceDE/>
        <w:autoSpaceDN/>
        <w:spacing w:after="160" w:line="259" w:lineRule="auto"/>
        <w:rPr>
          <w:rFonts w:asciiTheme="minorHAnsi" w:hAnsiTheme="minorHAnsi" w:cstheme="minorHAnsi"/>
          <w:sz w:val="24"/>
          <w:szCs w:val="24"/>
        </w:rPr>
      </w:pPr>
      <w:r w:rsidRPr="00252D7B">
        <w:rPr>
          <w:rFonts w:asciiTheme="minorHAnsi" w:hAnsiTheme="minorHAnsi" w:cstheme="minorHAnsi"/>
          <w:sz w:val="24"/>
          <w:szCs w:val="24"/>
        </w:rPr>
        <w:br w:type="page"/>
      </w:r>
    </w:p>
    <w:p w14:paraId="20664501" w14:textId="77777777" w:rsidR="00A41DBB" w:rsidRPr="00252D7B" w:rsidRDefault="00A41DBB" w:rsidP="00F100A9">
      <w:pPr>
        <w:pStyle w:val="Ttulo2"/>
      </w:pPr>
      <w:bookmarkStart w:id="241" w:name="_Toc64571535"/>
      <w:bookmarkStart w:id="242" w:name="_Toc94012519"/>
      <w:bookmarkStart w:id="243" w:name="_Toc95830256"/>
      <w:bookmarkStart w:id="244" w:name="_Toc95906793"/>
      <w:bookmarkStart w:id="245" w:name="_Toc97215827"/>
      <w:bookmarkStart w:id="246" w:name="_Toc103680552"/>
      <w:r w:rsidRPr="00252D7B">
        <w:lastRenderedPageBreak/>
        <w:t>Gestão de pessoas</w:t>
      </w:r>
      <w:bookmarkEnd w:id="241"/>
      <w:bookmarkEnd w:id="242"/>
      <w:bookmarkEnd w:id="243"/>
      <w:bookmarkEnd w:id="244"/>
      <w:bookmarkEnd w:id="245"/>
      <w:bookmarkEnd w:id="246"/>
    </w:p>
    <w:p w14:paraId="0E71E7FF" w14:textId="4FD58CF7" w:rsidR="00A41DBB" w:rsidRPr="00252D7B" w:rsidRDefault="00A41DBB" w:rsidP="00A41DBB">
      <w:pPr>
        <w:spacing w:before="120" w:after="120"/>
        <w:jc w:val="both"/>
        <w:rPr>
          <w:rFonts w:asciiTheme="minorHAnsi" w:hAnsiTheme="minorHAnsi" w:cstheme="minorHAnsi"/>
          <w:sz w:val="24"/>
          <w:szCs w:val="24"/>
        </w:rPr>
      </w:pPr>
      <w:bookmarkStart w:id="247" w:name="_Toc94012521"/>
      <w:bookmarkStart w:id="248" w:name="_Toc95830257"/>
      <w:r w:rsidRPr="00252D7B">
        <w:rPr>
          <w:rFonts w:asciiTheme="minorHAnsi" w:eastAsia="Times New Roman" w:hAnsiTheme="minorHAnsi" w:cstheme="minorHAnsi"/>
          <w:sz w:val="24"/>
          <w:szCs w:val="24"/>
        </w:rPr>
        <w:t xml:space="preserve">A </w:t>
      </w:r>
      <w:r w:rsidR="00610C91" w:rsidRPr="00252D7B">
        <w:rPr>
          <w:rFonts w:asciiTheme="minorHAnsi" w:eastAsia="Times New Roman" w:hAnsiTheme="minorHAnsi" w:cstheme="minorHAnsi"/>
          <w:sz w:val="24"/>
          <w:szCs w:val="24"/>
        </w:rPr>
        <w:t>Valec</w:t>
      </w:r>
      <w:r w:rsidRPr="00252D7B">
        <w:rPr>
          <w:rFonts w:asciiTheme="minorHAnsi" w:eastAsia="Times New Roman" w:hAnsiTheme="minorHAnsi" w:cstheme="minorHAnsi"/>
          <w:sz w:val="24"/>
          <w:szCs w:val="24"/>
        </w:rPr>
        <w:t xml:space="preserve"> é uma Empresa Pública que se sujeita ao regime jurídico próprio das empresas privadas, inclusive quanto aos direitos e obrigações civis e trabalhistas. Nessa seara, possui uma mão-de-obra composta por empregados públicos que se submetem à Consolidação de Leis Trabalhistas, atuando, então, como celetista. </w:t>
      </w:r>
    </w:p>
    <w:p w14:paraId="42DDD0B1" w14:textId="2DB04C3D" w:rsidR="00A41DBB" w:rsidRPr="00252D7B" w:rsidRDefault="00A41DBB" w:rsidP="00A41DBB">
      <w:pPr>
        <w:spacing w:before="120" w:after="120"/>
        <w:jc w:val="both"/>
        <w:rPr>
          <w:rFonts w:asciiTheme="minorHAnsi" w:eastAsia="Times New Roman" w:hAnsiTheme="minorHAnsi" w:cstheme="minorHAnsi"/>
          <w:sz w:val="24"/>
          <w:szCs w:val="24"/>
        </w:rPr>
      </w:pPr>
      <w:r w:rsidRPr="00252D7B">
        <w:rPr>
          <w:rFonts w:asciiTheme="minorHAnsi" w:eastAsia="Times New Roman" w:hAnsiTheme="minorHAnsi" w:cstheme="minorHAnsi"/>
          <w:sz w:val="24"/>
          <w:szCs w:val="24"/>
        </w:rPr>
        <w:t xml:space="preserve">Para assegurar a conformidade com a CLT e demais normas aplicáveis à Gestão de Pessoas de seus empregados públicos, a </w:t>
      </w:r>
      <w:r w:rsidR="00610C91" w:rsidRPr="00252D7B">
        <w:rPr>
          <w:rFonts w:asciiTheme="minorHAnsi" w:eastAsia="Times New Roman" w:hAnsiTheme="minorHAnsi" w:cstheme="minorHAnsi"/>
          <w:sz w:val="24"/>
          <w:szCs w:val="24"/>
        </w:rPr>
        <w:t>Valec</w:t>
      </w:r>
      <w:r w:rsidRPr="00252D7B">
        <w:rPr>
          <w:rFonts w:asciiTheme="minorHAnsi" w:eastAsia="Times New Roman" w:hAnsiTheme="minorHAnsi" w:cstheme="minorHAnsi"/>
          <w:sz w:val="24"/>
          <w:szCs w:val="24"/>
        </w:rPr>
        <w:t>, por meio da Superintendência de Gestão de Pessoas – SUGEP, verifica constantemente eventuais alterações em tais legislações, a fim de atender as regras e diretrizes estabelecidas, além de orientar suas unidades internas para o cumprimento dos regramentos estabelecidos. Atuando regularmente de maneira proativa na atualização de seus Normativos internos.</w:t>
      </w:r>
    </w:p>
    <w:p w14:paraId="529BF2D6" w14:textId="1B0A5A0E" w:rsidR="00A41DBB" w:rsidRPr="00252D7B" w:rsidRDefault="00A41DBB" w:rsidP="00A41DBB">
      <w:pPr>
        <w:spacing w:before="120" w:after="120"/>
        <w:jc w:val="both"/>
        <w:rPr>
          <w:rFonts w:asciiTheme="minorHAnsi" w:hAnsiTheme="minorHAnsi" w:cstheme="minorHAnsi"/>
          <w:sz w:val="24"/>
          <w:szCs w:val="24"/>
        </w:rPr>
      </w:pPr>
    </w:p>
    <w:p w14:paraId="772D9291" w14:textId="77777777" w:rsidR="00893F5A" w:rsidRPr="00252D7B" w:rsidRDefault="00893F5A" w:rsidP="00A41DBB">
      <w:pPr>
        <w:spacing w:before="120" w:after="120"/>
        <w:jc w:val="both"/>
        <w:rPr>
          <w:rFonts w:asciiTheme="minorHAnsi" w:hAnsiTheme="minorHAnsi" w:cstheme="minorHAnsi"/>
          <w:sz w:val="24"/>
          <w:szCs w:val="24"/>
        </w:rPr>
      </w:pPr>
    </w:p>
    <w:p w14:paraId="43BFE218" w14:textId="77777777" w:rsidR="00A41DBB" w:rsidRPr="00252D7B" w:rsidRDefault="00A41DBB" w:rsidP="00A41DBB">
      <w:pPr>
        <w:pStyle w:val="Ttulo3"/>
        <w:spacing w:before="120" w:after="120"/>
        <w:rPr>
          <w:rFonts w:asciiTheme="minorHAnsi" w:hAnsiTheme="minorHAnsi" w:cstheme="minorHAnsi"/>
        </w:rPr>
      </w:pPr>
      <w:bookmarkStart w:id="249" w:name="_Toc95906794"/>
      <w:bookmarkStart w:id="250" w:name="_Toc97215828"/>
      <w:bookmarkStart w:id="251" w:name="_Toc103680553"/>
      <w:r w:rsidRPr="00252D7B">
        <w:rPr>
          <w:rFonts w:asciiTheme="minorHAnsi" w:hAnsiTheme="minorHAnsi" w:cstheme="minorHAnsi"/>
        </w:rPr>
        <w:t>Conformidade legal: principais normas internas e mecanismos de controle adotados na gestão da folha de pagamentos e na gestão de pessoas</w:t>
      </w:r>
      <w:bookmarkEnd w:id="249"/>
      <w:bookmarkEnd w:id="250"/>
      <w:bookmarkEnd w:id="251"/>
    </w:p>
    <w:p w14:paraId="33519134" w14:textId="03EB466E" w:rsidR="00A41DBB" w:rsidRPr="00252D7B" w:rsidRDefault="00A41DBB" w:rsidP="00A41DBB">
      <w:pPr>
        <w:spacing w:before="120" w:after="120"/>
        <w:rPr>
          <w:rFonts w:asciiTheme="minorHAnsi" w:hAnsiTheme="minorHAnsi" w:cstheme="minorHAnsi"/>
          <w:sz w:val="24"/>
          <w:szCs w:val="24"/>
        </w:rPr>
      </w:pPr>
      <w:r w:rsidRPr="00252D7B">
        <w:rPr>
          <w:rFonts w:asciiTheme="minorHAnsi" w:hAnsiTheme="minorHAnsi" w:cstheme="minorHAnsi"/>
          <w:sz w:val="24"/>
          <w:szCs w:val="24"/>
        </w:rPr>
        <w:t>Gestão de Pessoas:</w:t>
      </w:r>
    </w:p>
    <w:p w14:paraId="5B3C539A" w14:textId="6FD2F45A" w:rsidR="00A41DBB" w:rsidRPr="00252D7B" w:rsidRDefault="00A41DBB" w:rsidP="006A39B9">
      <w:pPr>
        <w:pStyle w:val="PargrafodaLista"/>
        <w:numPr>
          <w:ilvl w:val="0"/>
          <w:numId w:val="4"/>
        </w:numPr>
        <w:spacing w:before="120" w:after="120"/>
        <w:ind w:left="992" w:hanging="357"/>
        <w:contextualSpacing w:val="0"/>
        <w:jc w:val="both"/>
        <w:rPr>
          <w:rFonts w:asciiTheme="minorHAnsi" w:hAnsiTheme="minorHAnsi" w:cstheme="minorHAnsi"/>
          <w:sz w:val="24"/>
          <w:szCs w:val="24"/>
        </w:rPr>
      </w:pPr>
      <w:r w:rsidRPr="00252D7B">
        <w:rPr>
          <w:rFonts w:asciiTheme="minorHAnsi" w:hAnsiTheme="minorHAnsi" w:cstheme="minorHAnsi"/>
          <w:b/>
          <w:sz w:val="24"/>
          <w:szCs w:val="24"/>
        </w:rPr>
        <w:t>PEA – Plano Educacional Anual 2021</w:t>
      </w:r>
      <w:r w:rsidRPr="00252D7B">
        <w:rPr>
          <w:rFonts w:asciiTheme="minorHAnsi" w:hAnsiTheme="minorHAnsi" w:cstheme="minorHAnsi"/>
          <w:sz w:val="24"/>
          <w:szCs w:val="24"/>
        </w:rPr>
        <w:t xml:space="preserve"> que define as competências necessárias na implementação efetiva, eficiente e eficaz da Missão Institucional da </w:t>
      </w:r>
      <w:r w:rsidR="00610C91" w:rsidRPr="00252D7B">
        <w:rPr>
          <w:rStyle w:val="jsgrdq"/>
          <w:rFonts w:asciiTheme="minorHAnsi" w:hAnsiTheme="minorHAnsi" w:cstheme="minorHAnsi"/>
        </w:rPr>
        <w:t>Valec</w:t>
      </w:r>
      <w:r w:rsidRPr="00252D7B">
        <w:rPr>
          <w:rFonts w:asciiTheme="minorHAnsi" w:hAnsiTheme="minorHAnsi" w:cstheme="minorHAnsi"/>
          <w:sz w:val="24"/>
          <w:szCs w:val="24"/>
        </w:rPr>
        <w:t xml:space="preserve"> - em consonância com as políticas públicas definidas pelo Ministério da Infraestrutura - MINFRA, de forma a alcançar os objetivos estratégicos da organização.</w:t>
      </w:r>
    </w:p>
    <w:p w14:paraId="34602160" w14:textId="7818D371" w:rsidR="00A41DBB" w:rsidRPr="00252D7B" w:rsidRDefault="00A41DBB" w:rsidP="006A39B9">
      <w:pPr>
        <w:pStyle w:val="PargrafodaLista"/>
        <w:numPr>
          <w:ilvl w:val="0"/>
          <w:numId w:val="4"/>
        </w:numPr>
        <w:spacing w:before="120" w:after="120"/>
        <w:ind w:left="992" w:hanging="357"/>
        <w:contextualSpacing w:val="0"/>
        <w:jc w:val="both"/>
        <w:rPr>
          <w:rFonts w:asciiTheme="minorHAnsi" w:hAnsiTheme="minorHAnsi" w:cstheme="minorHAnsi"/>
          <w:sz w:val="24"/>
          <w:szCs w:val="24"/>
        </w:rPr>
      </w:pPr>
      <w:r w:rsidRPr="00252D7B">
        <w:rPr>
          <w:rFonts w:asciiTheme="minorHAnsi" w:hAnsiTheme="minorHAnsi" w:cstheme="minorHAnsi"/>
          <w:b/>
          <w:sz w:val="24"/>
          <w:szCs w:val="24"/>
        </w:rPr>
        <w:t>PORTARIA Nº 80</w:t>
      </w:r>
      <w:r w:rsidRPr="00252D7B">
        <w:rPr>
          <w:rFonts w:asciiTheme="minorHAnsi" w:hAnsiTheme="minorHAnsi" w:cstheme="minorHAnsi"/>
          <w:sz w:val="24"/>
          <w:szCs w:val="24"/>
        </w:rPr>
        <w:t xml:space="preserve">, de 24 de fevereiro de 2021 disciplina a lotação mínima de pessoal de cada unidade no âmbito </w:t>
      </w:r>
      <w:r w:rsidR="00610C91" w:rsidRPr="00252D7B">
        <w:rPr>
          <w:rFonts w:asciiTheme="minorHAnsi" w:hAnsiTheme="minorHAnsi" w:cstheme="minorHAnsi"/>
          <w:sz w:val="24"/>
          <w:szCs w:val="24"/>
        </w:rPr>
        <w:t>Valec</w:t>
      </w:r>
      <w:r w:rsidRPr="00252D7B">
        <w:rPr>
          <w:rFonts w:asciiTheme="minorHAnsi" w:hAnsiTheme="minorHAnsi" w:cstheme="minorHAnsi"/>
          <w:sz w:val="24"/>
          <w:szCs w:val="24"/>
        </w:rPr>
        <w:t>.</w:t>
      </w:r>
    </w:p>
    <w:p w14:paraId="66ED1EF6" w14:textId="5FF75592" w:rsidR="00A41DBB" w:rsidRPr="00252D7B" w:rsidRDefault="00A41DBB" w:rsidP="006A39B9">
      <w:pPr>
        <w:pStyle w:val="PargrafodaLista"/>
        <w:numPr>
          <w:ilvl w:val="0"/>
          <w:numId w:val="4"/>
        </w:numPr>
        <w:spacing w:before="120" w:after="120"/>
        <w:ind w:left="992" w:hanging="357"/>
        <w:contextualSpacing w:val="0"/>
        <w:jc w:val="both"/>
        <w:rPr>
          <w:rFonts w:asciiTheme="minorHAnsi" w:hAnsiTheme="minorHAnsi" w:cstheme="minorHAnsi"/>
          <w:sz w:val="24"/>
          <w:szCs w:val="24"/>
        </w:rPr>
      </w:pPr>
      <w:r w:rsidRPr="00252D7B">
        <w:rPr>
          <w:rFonts w:asciiTheme="minorHAnsi" w:hAnsiTheme="minorHAnsi" w:cstheme="minorHAnsi"/>
          <w:b/>
          <w:sz w:val="24"/>
          <w:szCs w:val="24"/>
        </w:rPr>
        <w:t xml:space="preserve">RESOLUÇÃO NORMATIVA </w:t>
      </w:r>
      <w:r w:rsidR="00610C91" w:rsidRPr="00252D7B">
        <w:rPr>
          <w:rFonts w:asciiTheme="minorHAnsi" w:hAnsiTheme="minorHAnsi" w:cstheme="minorHAnsi"/>
          <w:b/>
          <w:sz w:val="24"/>
          <w:szCs w:val="24"/>
        </w:rPr>
        <w:t>Valec</w:t>
      </w:r>
      <w:r w:rsidRPr="00252D7B">
        <w:rPr>
          <w:rFonts w:asciiTheme="minorHAnsi" w:hAnsiTheme="minorHAnsi" w:cstheme="minorHAnsi"/>
          <w:b/>
          <w:sz w:val="24"/>
          <w:szCs w:val="24"/>
        </w:rPr>
        <w:t xml:space="preserve"> Nº 16/2021/CONSAD-</w:t>
      </w:r>
      <w:r w:rsidR="00610C91" w:rsidRPr="00252D7B">
        <w:rPr>
          <w:rFonts w:asciiTheme="minorHAnsi" w:hAnsiTheme="minorHAnsi" w:cstheme="minorHAnsi"/>
          <w:b/>
          <w:sz w:val="24"/>
          <w:szCs w:val="24"/>
        </w:rPr>
        <w:t>Valec</w:t>
      </w:r>
      <w:r w:rsidRPr="00252D7B">
        <w:rPr>
          <w:rFonts w:asciiTheme="minorHAnsi" w:hAnsiTheme="minorHAnsi" w:cstheme="minorHAnsi"/>
          <w:sz w:val="24"/>
          <w:szCs w:val="24"/>
        </w:rPr>
        <w:t xml:space="preserve"> de 19 </w:t>
      </w:r>
      <w:r w:rsidRPr="00252D7B">
        <w:rPr>
          <w:rStyle w:val="jsgrdq"/>
          <w:rFonts w:asciiTheme="minorHAnsi" w:hAnsiTheme="minorHAnsi" w:cstheme="minorHAnsi"/>
        </w:rPr>
        <w:t>de</w:t>
      </w:r>
      <w:r w:rsidRPr="00252D7B">
        <w:rPr>
          <w:rFonts w:asciiTheme="minorHAnsi" w:hAnsiTheme="minorHAnsi" w:cstheme="minorHAnsi"/>
          <w:sz w:val="24"/>
          <w:szCs w:val="24"/>
        </w:rPr>
        <w:t xml:space="preserve"> agosto de 2021 - Institui a Política de Qualidade de Vida no Trabalho</w:t>
      </w:r>
      <w:r w:rsidR="00E0365A">
        <w:rPr>
          <w:rFonts w:asciiTheme="minorHAnsi" w:hAnsiTheme="minorHAnsi" w:cstheme="minorHAnsi"/>
          <w:sz w:val="24"/>
          <w:szCs w:val="24"/>
        </w:rPr>
        <w:t xml:space="preserve"> </w:t>
      </w:r>
      <w:r w:rsidRPr="00252D7B">
        <w:rPr>
          <w:rFonts w:asciiTheme="minorHAnsi" w:hAnsiTheme="minorHAnsi" w:cstheme="minorHAnsi"/>
          <w:sz w:val="24"/>
          <w:szCs w:val="24"/>
        </w:rPr>
        <w:t xml:space="preserve">– PQVT e define os respectivos programas, projetos e ações de QVT no âmbito da </w:t>
      </w:r>
      <w:r w:rsidR="00610C91" w:rsidRPr="00252D7B">
        <w:rPr>
          <w:rFonts w:asciiTheme="minorHAnsi" w:hAnsiTheme="minorHAnsi" w:cstheme="minorHAnsi"/>
          <w:sz w:val="24"/>
          <w:szCs w:val="24"/>
        </w:rPr>
        <w:t>Valec</w:t>
      </w:r>
      <w:r w:rsidR="002B4796">
        <w:rPr>
          <w:rFonts w:asciiTheme="minorHAnsi" w:hAnsiTheme="minorHAnsi" w:cstheme="minorHAnsi"/>
          <w:sz w:val="24"/>
          <w:szCs w:val="24"/>
        </w:rPr>
        <w:t>.</w:t>
      </w:r>
    </w:p>
    <w:p w14:paraId="31C9C153" w14:textId="64E0DFF0" w:rsidR="00A41DBB" w:rsidRPr="00252D7B" w:rsidRDefault="00A41DBB" w:rsidP="006A39B9">
      <w:pPr>
        <w:pStyle w:val="PargrafodaLista"/>
        <w:numPr>
          <w:ilvl w:val="0"/>
          <w:numId w:val="4"/>
        </w:numPr>
        <w:spacing w:before="120" w:after="120"/>
        <w:ind w:left="992" w:hanging="357"/>
        <w:contextualSpacing w:val="0"/>
        <w:jc w:val="both"/>
        <w:rPr>
          <w:rFonts w:asciiTheme="minorHAnsi" w:hAnsiTheme="minorHAnsi" w:cstheme="minorHAnsi"/>
          <w:sz w:val="24"/>
          <w:szCs w:val="24"/>
        </w:rPr>
      </w:pPr>
      <w:r w:rsidRPr="00252D7B">
        <w:rPr>
          <w:rFonts w:asciiTheme="minorHAnsi" w:hAnsiTheme="minorHAnsi" w:cstheme="minorHAnsi"/>
          <w:b/>
          <w:sz w:val="24"/>
          <w:szCs w:val="24"/>
        </w:rPr>
        <w:t xml:space="preserve">RESOLUÇÃO NORMATIVA </w:t>
      </w:r>
      <w:r w:rsidR="00610C91" w:rsidRPr="00252D7B">
        <w:rPr>
          <w:rFonts w:asciiTheme="minorHAnsi" w:hAnsiTheme="minorHAnsi" w:cstheme="minorHAnsi"/>
          <w:b/>
          <w:sz w:val="24"/>
          <w:szCs w:val="24"/>
        </w:rPr>
        <w:t>Valec</w:t>
      </w:r>
      <w:r w:rsidRPr="00252D7B">
        <w:rPr>
          <w:rFonts w:asciiTheme="minorHAnsi" w:hAnsiTheme="minorHAnsi" w:cstheme="minorHAnsi"/>
          <w:b/>
          <w:sz w:val="24"/>
          <w:szCs w:val="24"/>
        </w:rPr>
        <w:t xml:space="preserve"> Nº 13/2021/CONSAD-</w:t>
      </w:r>
      <w:r w:rsidR="00610C91" w:rsidRPr="00252D7B">
        <w:rPr>
          <w:rFonts w:asciiTheme="minorHAnsi" w:hAnsiTheme="minorHAnsi" w:cstheme="minorHAnsi"/>
          <w:b/>
          <w:sz w:val="24"/>
          <w:szCs w:val="24"/>
        </w:rPr>
        <w:t>Valec</w:t>
      </w:r>
      <w:r w:rsidRPr="00252D7B">
        <w:rPr>
          <w:rFonts w:asciiTheme="minorHAnsi" w:hAnsiTheme="minorHAnsi" w:cstheme="minorHAnsi"/>
          <w:sz w:val="24"/>
          <w:szCs w:val="24"/>
        </w:rPr>
        <w:t xml:space="preserve"> de 30 </w:t>
      </w:r>
      <w:r w:rsidRPr="00252D7B">
        <w:rPr>
          <w:rStyle w:val="jsgrdq"/>
          <w:rFonts w:asciiTheme="minorHAnsi" w:hAnsiTheme="minorHAnsi" w:cstheme="minorHAnsi"/>
        </w:rPr>
        <w:t>de</w:t>
      </w:r>
      <w:r w:rsidRPr="00252D7B">
        <w:rPr>
          <w:rFonts w:asciiTheme="minorHAnsi" w:hAnsiTheme="minorHAnsi" w:cstheme="minorHAnsi"/>
          <w:sz w:val="24"/>
          <w:szCs w:val="24"/>
        </w:rPr>
        <w:t xml:space="preserve"> julho de 2021 - Institui a Política de Capacitação e de Desenvolvimento Profissional no âmbito da </w:t>
      </w:r>
      <w:r w:rsidR="00610C91" w:rsidRPr="00252D7B">
        <w:rPr>
          <w:rFonts w:asciiTheme="minorHAnsi" w:hAnsiTheme="minorHAnsi" w:cstheme="minorHAnsi"/>
          <w:sz w:val="24"/>
          <w:szCs w:val="24"/>
        </w:rPr>
        <w:t>Valec</w:t>
      </w:r>
      <w:r w:rsidR="00FF5620">
        <w:rPr>
          <w:rFonts w:asciiTheme="minorHAnsi" w:hAnsiTheme="minorHAnsi" w:cstheme="minorHAnsi"/>
          <w:sz w:val="24"/>
          <w:szCs w:val="24"/>
        </w:rPr>
        <w:t>.</w:t>
      </w:r>
    </w:p>
    <w:p w14:paraId="240A4D98" w14:textId="5C4FC4EC" w:rsidR="00A41DBB" w:rsidRPr="00252D7B" w:rsidRDefault="00A41DBB" w:rsidP="006A39B9">
      <w:pPr>
        <w:pStyle w:val="PargrafodaLista"/>
        <w:numPr>
          <w:ilvl w:val="0"/>
          <w:numId w:val="4"/>
        </w:numPr>
        <w:spacing w:before="120" w:after="120"/>
        <w:ind w:left="992" w:hanging="357"/>
        <w:contextualSpacing w:val="0"/>
        <w:jc w:val="both"/>
        <w:rPr>
          <w:rFonts w:asciiTheme="minorHAnsi" w:hAnsiTheme="minorHAnsi" w:cstheme="minorHAnsi"/>
          <w:sz w:val="24"/>
          <w:szCs w:val="24"/>
        </w:rPr>
      </w:pPr>
      <w:r w:rsidRPr="00252D7B">
        <w:rPr>
          <w:rFonts w:asciiTheme="minorHAnsi" w:hAnsiTheme="minorHAnsi" w:cstheme="minorHAnsi"/>
          <w:b/>
          <w:sz w:val="24"/>
          <w:szCs w:val="24"/>
        </w:rPr>
        <w:t xml:space="preserve">RESOLUÇÃO NORMATIVA </w:t>
      </w:r>
      <w:r w:rsidR="00610C91" w:rsidRPr="00252D7B">
        <w:rPr>
          <w:rFonts w:asciiTheme="minorHAnsi" w:hAnsiTheme="minorHAnsi" w:cstheme="minorHAnsi"/>
          <w:b/>
          <w:sz w:val="24"/>
          <w:szCs w:val="24"/>
        </w:rPr>
        <w:t>Valec</w:t>
      </w:r>
      <w:r w:rsidRPr="00252D7B">
        <w:rPr>
          <w:rFonts w:asciiTheme="minorHAnsi" w:hAnsiTheme="minorHAnsi" w:cstheme="minorHAnsi"/>
          <w:b/>
          <w:sz w:val="24"/>
          <w:szCs w:val="24"/>
        </w:rPr>
        <w:t xml:space="preserve"> Nº 18/2021/CONSAD-</w:t>
      </w:r>
      <w:r w:rsidR="00610C91" w:rsidRPr="00252D7B">
        <w:rPr>
          <w:rFonts w:asciiTheme="minorHAnsi" w:hAnsiTheme="minorHAnsi" w:cstheme="minorHAnsi"/>
          <w:b/>
          <w:sz w:val="24"/>
          <w:szCs w:val="24"/>
        </w:rPr>
        <w:t>Valec</w:t>
      </w:r>
      <w:r w:rsidRPr="00252D7B">
        <w:rPr>
          <w:rFonts w:asciiTheme="minorHAnsi" w:hAnsiTheme="minorHAnsi" w:cstheme="minorHAnsi"/>
          <w:sz w:val="24"/>
          <w:szCs w:val="24"/>
        </w:rPr>
        <w:t xml:space="preserve"> de 21 de </w:t>
      </w:r>
      <w:r w:rsidRPr="00252D7B">
        <w:rPr>
          <w:rStyle w:val="jsgrdq"/>
          <w:rFonts w:asciiTheme="minorHAnsi" w:hAnsiTheme="minorHAnsi" w:cstheme="minorHAnsi"/>
        </w:rPr>
        <w:t>outubro</w:t>
      </w:r>
      <w:r w:rsidRPr="00252D7B">
        <w:rPr>
          <w:rFonts w:asciiTheme="minorHAnsi" w:hAnsiTheme="minorHAnsi" w:cstheme="minorHAnsi"/>
          <w:sz w:val="24"/>
          <w:szCs w:val="24"/>
        </w:rPr>
        <w:t xml:space="preserve"> de 2021 - Institui o Regulamento de Pessoal, o qual dispõe sobre as relações de trabalho entre a </w:t>
      </w:r>
      <w:r w:rsidR="00610C91" w:rsidRPr="00252D7B">
        <w:rPr>
          <w:rFonts w:asciiTheme="minorHAnsi" w:hAnsiTheme="minorHAnsi" w:cstheme="minorHAnsi"/>
          <w:sz w:val="24"/>
          <w:szCs w:val="24"/>
        </w:rPr>
        <w:t>Valec</w:t>
      </w:r>
      <w:r w:rsidRPr="00252D7B">
        <w:rPr>
          <w:rFonts w:asciiTheme="minorHAnsi" w:hAnsiTheme="minorHAnsi" w:cstheme="minorHAnsi"/>
          <w:sz w:val="24"/>
          <w:szCs w:val="24"/>
        </w:rPr>
        <w:t xml:space="preserve"> Engenharia, Construções e Ferrovias S.A. e seus empregados regidos pelos Planos de Cargos e Salários da Valec 2007 e 2012, do extinto GEIPOT, da extinta RFFSA e da extinta FEPASA</w:t>
      </w:r>
      <w:r w:rsidR="00743005">
        <w:rPr>
          <w:rFonts w:asciiTheme="minorHAnsi" w:hAnsiTheme="minorHAnsi" w:cstheme="minorHAnsi"/>
          <w:sz w:val="24"/>
          <w:szCs w:val="24"/>
        </w:rPr>
        <w:t>.</w:t>
      </w:r>
    </w:p>
    <w:p w14:paraId="3A4F7BCA" w14:textId="2C70812D" w:rsidR="00A41DBB" w:rsidRPr="00252D7B" w:rsidRDefault="00A41DBB" w:rsidP="006A39B9">
      <w:pPr>
        <w:pStyle w:val="PargrafodaLista"/>
        <w:numPr>
          <w:ilvl w:val="0"/>
          <w:numId w:val="4"/>
        </w:numPr>
        <w:spacing w:before="120" w:after="120"/>
        <w:ind w:left="992" w:hanging="357"/>
        <w:contextualSpacing w:val="0"/>
        <w:jc w:val="both"/>
        <w:rPr>
          <w:rFonts w:asciiTheme="minorHAnsi" w:hAnsiTheme="minorHAnsi" w:cstheme="minorHAnsi"/>
          <w:sz w:val="24"/>
          <w:szCs w:val="24"/>
        </w:rPr>
      </w:pPr>
      <w:r w:rsidRPr="00252D7B">
        <w:rPr>
          <w:rFonts w:asciiTheme="minorHAnsi" w:hAnsiTheme="minorHAnsi" w:cstheme="minorHAnsi"/>
          <w:b/>
          <w:bCs/>
          <w:sz w:val="24"/>
          <w:szCs w:val="24"/>
        </w:rPr>
        <w:t>Dicionário de Competências</w:t>
      </w:r>
      <w:r w:rsidRPr="00252D7B">
        <w:rPr>
          <w:rFonts w:asciiTheme="minorHAnsi" w:hAnsiTheme="minorHAnsi" w:cstheme="minorHAnsi"/>
          <w:sz w:val="24"/>
          <w:szCs w:val="24"/>
        </w:rPr>
        <w:t xml:space="preserve"> onde estão destacados os </w:t>
      </w:r>
      <w:r w:rsidRPr="00252D7B">
        <w:rPr>
          <w:rStyle w:val="jsgrdq"/>
          <w:rFonts w:asciiTheme="minorHAnsi" w:hAnsiTheme="minorHAnsi" w:cstheme="minorHAnsi"/>
        </w:rPr>
        <w:t>objetivos</w:t>
      </w:r>
      <w:r w:rsidRPr="00252D7B">
        <w:rPr>
          <w:rFonts w:asciiTheme="minorHAnsi" w:hAnsiTheme="minorHAnsi" w:cstheme="minorHAnsi"/>
          <w:sz w:val="24"/>
          <w:szCs w:val="24"/>
        </w:rPr>
        <w:t xml:space="preserve">, os normativos reguladores, uma breve conceituação de competência, os subsídios da gestão por competências, a classificação e descrições das competências que compõem o rol de competências da </w:t>
      </w:r>
      <w:r w:rsidR="00610C91" w:rsidRPr="00252D7B">
        <w:rPr>
          <w:rFonts w:asciiTheme="minorHAnsi" w:hAnsiTheme="minorHAnsi" w:cstheme="minorHAnsi"/>
          <w:sz w:val="24"/>
          <w:szCs w:val="24"/>
        </w:rPr>
        <w:t>Valec</w:t>
      </w:r>
      <w:r w:rsidRPr="00252D7B">
        <w:rPr>
          <w:rFonts w:asciiTheme="minorHAnsi" w:hAnsiTheme="minorHAnsi" w:cstheme="minorHAnsi"/>
          <w:sz w:val="24"/>
          <w:szCs w:val="24"/>
        </w:rPr>
        <w:t>.</w:t>
      </w:r>
    </w:p>
    <w:p w14:paraId="164CB75F" w14:textId="424467B1" w:rsidR="00A41DBB" w:rsidRPr="00252D7B" w:rsidRDefault="00A41DBB" w:rsidP="006A39B9">
      <w:pPr>
        <w:pStyle w:val="PargrafodaLista"/>
        <w:numPr>
          <w:ilvl w:val="0"/>
          <w:numId w:val="4"/>
        </w:numPr>
        <w:spacing w:before="120" w:after="120"/>
        <w:ind w:left="992" w:hanging="357"/>
        <w:contextualSpacing w:val="0"/>
        <w:jc w:val="both"/>
        <w:rPr>
          <w:rFonts w:asciiTheme="minorHAnsi" w:hAnsiTheme="minorHAnsi" w:cstheme="minorHAnsi"/>
          <w:sz w:val="24"/>
          <w:szCs w:val="24"/>
        </w:rPr>
      </w:pPr>
      <w:r w:rsidRPr="00252D7B">
        <w:rPr>
          <w:rFonts w:asciiTheme="minorHAnsi" w:hAnsiTheme="minorHAnsi" w:cstheme="minorHAnsi"/>
          <w:b/>
          <w:sz w:val="24"/>
          <w:szCs w:val="24"/>
        </w:rPr>
        <w:t xml:space="preserve">RESOLUÇÃO </w:t>
      </w:r>
      <w:r w:rsidR="00610C91" w:rsidRPr="00252D7B">
        <w:rPr>
          <w:rFonts w:asciiTheme="minorHAnsi" w:hAnsiTheme="minorHAnsi" w:cstheme="minorHAnsi"/>
          <w:b/>
          <w:sz w:val="24"/>
          <w:szCs w:val="24"/>
        </w:rPr>
        <w:t>Valec</w:t>
      </w:r>
      <w:r w:rsidRPr="00252D7B">
        <w:rPr>
          <w:rFonts w:asciiTheme="minorHAnsi" w:hAnsiTheme="minorHAnsi" w:cstheme="minorHAnsi"/>
          <w:b/>
          <w:sz w:val="24"/>
          <w:szCs w:val="24"/>
        </w:rPr>
        <w:t xml:space="preserve"> Nº 3/2021/DIREX-</w:t>
      </w:r>
      <w:r w:rsidR="00610C91" w:rsidRPr="00252D7B">
        <w:rPr>
          <w:rFonts w:asciiTheme="minorHAnsi" w:hAnsiTheme="minorHAnsi" w:cstheme="minorHAnsi"/>
          <w:b/>
          <w:sz w:val="24"/>
          <w:szCs w:val="24"/>
        </w:rPr>
        <w:t>Valec</w:t>
      </w:r>
      <w:r w:rsidRPr="00252D7B">
        <w:rPr>
          <w:rFonts w:asciiTheme="minorHAnsi" w:hAnsiTheme="minorHAnsi" w:cstheme="minorHAnsi"/>
          <w:b/>
          <w:sz w:val="24"/>
          <w:szCs w:val="24"/>
        </w:rPr>
        <w:t>/PRESI-</w:t>
      </w:r>
      <w:r w:rsidR="00610C91" w:rsidRPr="00252D7B">
        <w:rPr>
          <w:rFonts w:asciiTheme="minorHAnsi" w:hAnsiTheme="minorHAnsi" w:cstheme="minorHAnsi"/>
          <w:b/>
          <w:sz w:val="24"/>
          <w:szCs w:val="24"/>
        </w:rPr>
        <w:t>Valec</w:t>
      </w:r>
      <w:r w:rsidRPr="00252D7B">
        <w:rPr>
          <w:rFonts w:asciiTheme="minorHAnsi" w:hAnsiTheme="minorHAnsi" w:cstheme="minorHAnsi"/>
          <w:sz w:val="24"/>
          <w:szCs w:val="24"/>
        </w:rPr>
        <w:t xml:space="preserve"> de 31 de março de 2021 - Institui e regulamenta o Teletrabalho no âmbito da Valec.</w:t>
      </w:r>
    </w:p>
    <w:p w14:paraId="182379D3" w14:textId="30A7FE07" w:rsidR="00A41DBB" w:rsidRPr="00252D7B" w:rsidRDefault="00A41DBB" w:rsidP="006A39B9">
      <w:pPr>
        <w:pStyle w:val="PargrafodaLista"/>
        <w:numPr>
          <w:ilvl w:val="0"/>
          <w:numId w:val="4"/>
        </w:numPr>
        <w:spacing w:before="120" w:after="120"/>
        <w:ind w:left="992" w:hanging="357"/>
        <w:contextualSpacing w:val="0"/>
        <w:jc w:val="both"/>
        <w:rPr>
          <w:rFonts w:asciiTheme="minorHAnsi" w:hAnsiTheme="minorHAnsi" w:cstheme="minorHAnsi"/>
          <w:sz w:val="24"/>
          <w:szCs w:val="24"/>
        </w:rPr>
      </w:pPr>
      <w:r w:rsidRPr="00252D7B">
        <w:rPr>
          <w:rFonts w:asciiTheme="minorHAnsi" w:hAnsiTheme="minorHAnsi" w:cstheme="minorHAnsi"/>
          <w:b/>
          <w:bCs/>
          <w:sz w:val="24"/>
          <w:szCs w:val="24"/>
        </w:rPr>
        <w:t>PORTARIA Nº 741</w:t>
      </w:r>
      <w:r w:rsidRPr="00252D7B">
        <w:rPr>
          <w:rFonts w:asciiTheme="minorHAnsi" w:hAnsiTheme="minorHAnsi" w:cstheme="minorHAnsi"/>
          <w:sz w:val="24"/>
          <w:szCs w:val="24"/>
        </w:rPr>
        <w:t xml:space="preserve">, de 17 de dezembro de 2019, que dispõe </w:t>
      </w:r>
      <w:r w:rsidRPr="00252D7B">
        <w:rPr>
          <w:rStyle w:val="jsgrdq"/>
          <w:rFonts w:asciiTheme="minorHAnsi" w:hAnsiTheme="minorHAnsi" w:cstheme="minorHAnsi"/>
        </w:rPr>
        <w:t>sobre</w:t>
      </w:r>
      <w:r w:rsidRPr="00252D7B">
        <w:rPr>
          <w:rFonts w:asciiTheme="minorHAnsi" w:hAnsiTheme="minorHAnsi" w:cstheme="minorHAnsi"/>
          <w:sz w:val="24"/>
          <w:szCs w:val="24"/>
        </w:rPr>
        <w:t xml:space="preserve"> critérios, requisitos e </w:t>
      </w:r>
      <w:r w:rsidRPr="00252D7B">
        <w:rPr>
          <w:rFonts w:asciiTheme="minorHAnsi" w:hAnsiTheme="minorHAnsi" w:cstheme="minorHAnsi"/>
          <w:sz w:val="24"/>
          <w:szCs w:val="24"/>
        </w:rPr>
        <w:lastRenderedPageBreak/>
        <w:t xml:space="preserve">procedimentos a serem observados para o provimento dos cargos comissionados da </w:t>
      </w:r>
      <w:r w:rsidR="00610C91" w:rsidRPr="00252D7B">
        <w:rPr>
          <w:rFonts w:asciiTheme="minorHAnsi" w:hAnsiTheme="minorHAnsi" w:cstheme="minorHAnsi"/>
          <w:sz w:val="24"/>
          <w:szCs w:val="24"/>
        </w:rPr>
        <w:t>Valec</w:t>
      </w:r>
      <w:r w:rsidRPr="00252D7B">
        <w:rPr>
          <w:rFonts w:asciiTheme="minorHAnsi" w:hAnsiTheme="minorHAnsi" w:cstheme="minorHAnsi"/>
          <w:sz w:val="24"/>
          <w:szCs w:val="24"/>
        </w:rPr>
        <w:t>.</w:t>
      </w:r>
    </w:p>
    <w:p w14:paraId="240563FA" w14:textId="5ED9C6E7" w:rsidR="00A41DBB" w:rsidRPr="00252D7B" w:rsidRDefault="00A41DBB" w:rsidP="006A39B9">
      <w:pPr>
        <w:pStyle w:val="PargrafodaLista"/>
        <w:numPr>
          <w:ilvl w:val="0"/>
          <w:numId w:val="4"/>
        </w:numPr>
        <w:spacing w:before="120" w:after="120"/>
        <w:ind w:left="992" w:hanging="357"/>
        <w:contextualSpacing w:val="0"/>
        <w:jc w:val="both"/>
        <w:rPr>
          <w:rFonts w:asciiTheme="minorHAnsi" w:hAnsiTheme="minorHAnsi" w:cstheme="minorHAnsi"/>
          <w:color w:val="FF0000"/>
          <w:sz w:val="24"/>
          <w:szCs w:val="24"/>
        </w:rPr>
      </w:pPr>
      <w:r w:rsidRPr="00252D7B">
        <w:rPr>
          <w:rFonts w:asciiTheme="minorHAnsi" w:hAnsiTheme="minorHAnsi" w:cstheme="minorHAnsi"/>
          <w:b/>
          <w:bCs/>
          <w:sz w:val="24"/>
          <w:szCs w:val="24"/>
        </w:rPr>
        <w:t xml:space="preserve">RESOLUÇÃO </w:t>
      </w:r>
      <w:r w:rsidR="00610C91" w:rsidRPr="00252D7B">
        <w:rPr>
          <w:rFonts w:asciiTheme="minorHAnsi" w:hAnsiTheme="minorHAnsi" w:cstheme="minorHAnsi"/>
          <w:b/>
          <w:bCs/>
          <w:sz w:val="24"/>
          <w:szCs w:val="24"/>
        </w:rPr>
        <w:t>Valec</w:t>
      </w:r>
      <w:r w:rsidRPr="00252D7B">
        <w:rPr>
          <w:rFonts w:asciiTheme="minorHAnsi" w:hAnsiTheme="minorHAnsi" w:cstheme="minorHAnsi"/>
          <w:b/>
          <w:bCs/>
          <w:sz w:val="24"/>
          <w:szCs w:val="24"/>
        </w:rPr>
        <w:t xml:space="preserve"> Nº 002/2020/DIREX-</w:t>
      </w:r>
      <w:r w:rsidR="00610C91" w:rsidRPr="00252D7B">
        <w:rPr>
          <w:rFonts w:asciiTheme="minorHAnsi" w:hAnsiTheme="minorHAnsi" w:cstheme="minorHAnsi"/>
          <w:b/>
          <w:bCs/>
          <w:sz w:val="24"/>
          <w:szCs w:val="24"/>
        </w:rPr>
        <w:t>Valec</w:t>
      </w:r>
      <w:r w:rsidRPr="00252D7B">
        <w:rPr>
          <w:rFonts w:asciiTheme="minorHAnsi" w:hAnsiTheme="minorHAnsi" w:cstheme="minorHAnsi"/>
          <w:b/>
          <w:bCs/>
          <w:sz w:val="24"/>
          <w:szCs w:val="24"/>
        </w:rPr>
        <w:t>/PRESI-</w:t>
      </w:r>
      <w:r w:rsidR="00610C91" w:rsidRPr="00252D7B">
        <w:rPr>
          <w:rFonts w:asciiTheme="minorHAnsi" w:hAnsiTheme="minorHAnsi" w:cstheme="minorHAnsi"/>
          <w:b/>
          <w:bCs/>
          <w:sz w:val="24"/>
          <w:szCs w:val="24"/>
        </w:rPr>
        <w:t>Valec</w:t>
      </w:r>
      <w:r w:rsidRPr="00252D7B">
        <w:rPr>
          <w:rFonts w:asciiTheme="minorHAnsi" w:hAnsiTheme="minorHAnsi" w:cstheme="minorHAnsi"/>
          <w:sz w:val="24"/>
          <w:szCs w:val="24"/>
        </w:rPr>
        <w:t xml:space="preserve"> de 10 de </w:t>
      </w:r>
      <w:r w:rsidRPr="00252D7B">
        <w:rPr>
          <w:rStyle w:val="jsgrdq"/>
          <w:rFonts w:asciiTheme="minorHAnsi" w:hAnsiTheme="minorHAnsi" w:cstheme="minorHAnsi"/>
        </w:rPr>
        <w:t>junho</w:t>
      </w:r>
      <w:r w:rsidRPr="00252D7B">
        <w:rPr>
          <w:rFonts w:asciiTheme="minorHAnsi" w:hAnsiTheme="minorHAnsi" w:cstheme="minorHAnsi"/>
          <w:sz w:val="24"/>
          <w:szCs w:val="24"/>
        </w:rPr>
        <w:t xml:space="preserve"> de 2020- Institui e regulamenta o Controle de Frequência, o qual dispõe sobre a jornada de trabalho, horário de expediente, banco de horas, serviço extraordinário, período noturno e procedimentos para registro, acompanhamento e controle de empregados e servidores públicos lotados na </w:t>
      </w:r>
      <w:r w:rsidR="00610C91" w:rsidRPr="00252D7B">
        <w:rPr>
          <w:rFonts w:asciiTheme="minorHAnsi" w:hAnsiTheme="minorHAnsi" w:cstheme="minorHAnsi"/>
          <w:sz w:val="24"/>
          <w:szCs w:val="24"/>
        </w:rPr>
        <w:t>Valec</w:t>
      </w:r>
      <w:r w:rsidRPr="00252D7B">
        <w:rPr>
          <w:rFonts w:asciiTheme="minorHAnsi" w:hAnsiTheme="minorHAnsi" w:cstheme="minorHAnsi"/>
          <w:sz w:val="24"/>
          <w:szCs w:val="24"/>
        </w:rPr>
        <w:t xml:space="preserve">. </w:t>
      </w:r>
    </w:p>
    <w:p w14:paraId="46CC680C" w14:textId="645A87FE" w:rsidR="00E24281" w:rsidRPr="00252D7B" w:rsidRDefault="00A41DBB" w:rsidP="006A39B9">
      <w:pPr>
        <w:pStyle w:val="PargrafodaLista"/>
        <w:numPr>
          <w:ilvl w:val="0"/>
          <w:numId w:val="4"/>
        </w:numPr>
        <w:spacing w:before="120" w:after="120"/>
        <w:ind w:left="992" w:hanging="357"/>
        <w:contextualSpacing w:val="0"/>
        <w:jc w:val="both"/>
        <w:rPr>
          <w:rFonts w:asciiTheme="minorHAnsi" w:hAnsiTheme="minorHAnsi" w:cstheme="minorHAnsi"/>
          <w:sz w:val="24"/>
          <w:szCs w:val="24"/>
        </w:rPr>
      </w:pPr>
      <w:r w:rsidRPr="00252D7B">
        <w:rPr>
          <w:rFonts w:asciiTheme="minorHAnsi" w:hAnsiTheme="minorHAnsi" w:cstheme="minorHAnsi"/>
          <w:b/>
          <w:bCs/>
          <w:sz w:val="24"/>
          <w:szCs w:val="24"/>
        </w:rPr>
        <w:t xml:space="preserve">RESOLUÇÃO </w:t>
      </w:r>
      <w:r w:rsidR="00610C91" w:rsidRPr="00252D7B">
        <w:rPr>
          <w:rFonts w:asciiTheme="minorHAnsi" w:hAnsiTheme="minorHAnsi" w:cstheme="minorHAnsi"/>
          <w:b/>
          <w:bCs/>
          <w:sz w:val="24"/>
          <w:szCs w:val="24"/>
        </w:rPr>
        <w:t>Valec</w:t>
      </w:r>
      <w:r w:rsidRPr="00252D7B">
        <w:rPr>
          <w:rFonts w:asciiTheme="minorHAnsi" w:hAnsiTheme="minorHAnsi" w:cstheme="minorHAnsi"/>
          <w:b/>
          <w:bCs/>
          <w:sz w:val="24"/>
          <w:szCs w:val="24"/>
        </w:rPr>
        <w:t xml:space="preserve"> Nº5/2020/CONSAD-</w:t>
      </w:r>
      <w:r w:rsidR="00610C91" w:rsidRPr="00252D7B">
        <w:rPr>
          <w:rFonts w:asciiTheme="minorHAnsi" w:hAnsiTheme="minorHAnsi" w:cstheme="minorHAnsi"/>
          <w:b/>
          <w:bCs/>
          <w:sz w:val="24"/>
          <w:szCs w:val="24"/>
        </w:rPr>
        <w:t>Valec</w:t>
      </w:r>
      <w:r w:rsidRPr="00252D7B">
        <w:rPr>
          <w:rFonts w:asciiTheme="minorHAnsi" w:hAnsiTheme="minorHAnsi" w:cstheme="minorHAnsi"/>
          <w:sz w:val="24"/>
          <w:szCs w:val="24"/>
        </w:rPr>
        <w:t xml:space="preserve"> de 20 de agosto de </w:t>
      </w:r>
      <w:r w:rsidRPr="00252D7B">
        <w:rPr>
          <w:rStyle w:val="jsgrdq"/>
          <w:rFonts w:asciiTheme="minorHAnsi" w:hAnsiTheme="minorHAnsi" w:cstheme="minorHAnsi"/>
        </w:rPr>
        <w:t>2020</w:t>
      </w:r>
      <w:r w:rsidRPr="00252D7B">
        <w:rPr>
          <w:rFonts w:asciiTheme="minorHAnsi" w:hAnsiTheme="minorHAnsi" w:cstheme="minorHAnsi"/>
          <w:sz w:val="24"/>
          <w:szCs w:val="24"/>
        </w:rPr>
        <w:t xml:space="preserve">- Institui e normativa os procedimentos relacionados à cessão e requisição de empregado e servidores públicos no âmbito da </w:t>
      </w:r>
      <w:r w:rsidR="00610C91" w:rsidRPr="00252D7B">
        <w:rPr>
          <w:rFonts w:asciiTheme="minorHAnsi" w:hAnsiTheme="minorHAnsi" w:cstheme="minorHAnsi"/>
          <w:sz w:val="24"/>
          <w:szCs w:val="24"/>
        </w:rPr>
        <w:t>Valec</w:t>
      </w:r>
      <w:r w:rsidRPr="00252D7B">
        <w:rPr>
          <w:rFonts w:asciiTheme="minorHAnsi" w:hAnsiTheme="minorHAnsi" w:cstheme="minorHAnsi"/>
          <w:sz w:val="24"/>
          <w:szCs w:val="24"/>
        </w:rPr>
        <w:t>.</w:t>
      </w:r>
    </w:p>
    <w:p w14:paraId="7DD93CDE" w14:textId="363BBA6C" w:rsidR="00A41DBB" w:rsidRPr="00252D7B" w:rsidRDefault="00A41DBB" w:rsidP="00E24281">
      <w:pPr>
        <w:spacing w:before="120" w:after="120"/>
        <w:jc w:val="both"/>
        <w:rPr>
          <w:rFonts w:asciiTheme="minorHAnsi" w:hAnsiTheme="minorHAnsi" w:cstheme="minorHAnsi"/>
          <w:sz w:val="24"/>
          <w:szCs w:val="24"/>
        </w:rPr>
      </w:pPr>
    </w:p>
    <w:p w14:paraId="2C6B9BAD" w14:textId="77777777" w:rsidR="00893F5A" w:rsidRPr="00252D7B" w:rsidRDefault="00893F5A" w:rsidP="00E24281">
      <w:pPr>
        <w:spacing w:before="120" w:after="120"/>
        <w:jc w:val="both"/>
        <w:rPr>
          <w:rFonts w:asciiTheme="minorHAnsi" w:hAnsiTheme="minorHAnsi" w:cstheme="minorHAnsi"/>
          <w:sz w:val="24"/>
          <w:szCs w:val="24"/>
        </w:rPr>
      </w:pPr>
    </w:p>
    <w:p w14:paraId="120102B1" w14:textId="77777777" w:rsidR="00A41DBB" w:rsidRPr="00252D7B" w:rsidRDefault="00A41DBB" w:rsidP="00A41DBB">
      <w:pPr>
        <w:pStyle w:val="Ttulo3"/>
        <w:spacing w:before="120" w:after="120"/>
        <w:rPr>
          <w:rFonts w:asciiTheme="minorHAnsi" w:hAnsiTheme="minorHAnsi" w:cstheme="minorHAnsi"/>
        </w:rPr>
      </w:pPr>
      <w:bookmarkStart w:id="252" w:name="_Toc95906795"/>
      <w:bookmarkStart w:id="253" w:name="_Toc97215829"/>
      <w:bookmarkStart w:id="254" w:name="_Toc103680554"/>
      <w:r w:rsidRPr="00252D7B">
        <w:rPr>
          <w:rFonts w:asciiTheme="minorHAnsi" w:hAnsiTheme="minorHAnsi" w:cstheme="minorHAnsi"/>
        </w:rPr>
        <w:t>Avaliação da força de trabalho</w:t>
      </w:r>
      <w:bookmarkEnd w:id="247"/>
      <w:bookmarkEnd w:id="248"/>
      <w:r w:rsidRPr="00252D7B">
        <w:rPr>
          <w:rFonts w:asciiTheme="minorHAnsi" w:hAnsiTheme="minorHAnsi" w:cstheme="minorHAnsi"/>
        </w:rPr>
        <w:t xml:space="preserve"> Conformidade legal: principais normas internas e mecanismos de controle adotados na gestão da folha de pagamentos e na gestão de pessoas</w:t>
      </w:r>
      <w:bookmarkEnd w:id="252"/>
      <w:bookmarkEnd w:id="253"/>
      <w:bookmarkEnd w:id="254"/>
    </w:p>
    <w:p w14:paraId="4BD10576" w14:textId="6797ADD9" w:rsidR="00A41DBB" w:rsidRPr="00252D7B" w:rsidRDefault="00A41DBB" w:rsidP="00A41DBB">
      <w:pPr>
        <w:spacing w:before="120" w:after="120"/>
        <w:jc w:val="both"/>
        <w:rPr>
          <w:rFonts w:asciiTheme="minorHAnsi" w:eastAsia="Times New Roman" w:hAnsiTheme="minorHAnsi" w:cstheme="minorHAnsi"/>
          <w:sz w:val="24"/>
          <w:szCs w:val="24"/>
        </w:rPr>
      </w:pPr>
      <w:bookmarkStart w:id="255" w:name="_Toc94012522"/>
      <w:bookmarkStart w:id="256" w:name="_Toc95830258"/>
      <w:r w:rsidRPr="00252D7B">
        <w:rPr>
          <w:rFonts w:asciiTheme="minorHAnsi" w:eastAsia="Times New Roman" w:hAnsiTheme="minorHAnsi" w:cstheme="minorHAnsi"/>
          <w:sz w:val="24"/>
          <w:szCs w:val="24"/>
        </w:rPr>
        <w:t xml:space="preserve">O quadro de pessoal da </w:t>
      </w:r>
      <w:r w:rsidR="00610C91" w:rsidRPr="00252D7B">
        <w:rPr>
          <w:rFonts w:asciiTheme="minorHAnsi" w:eastAsia="Times New Roman" w:hAnsiTheme="minorHAnsi" w:cstheme="minorHAnsi"/>
          <w:sz w:val="24"/>
          <w:szCs w:val="24"/>
        </w:rPr>
        <w:t>Valec</w:t>
      </w:r>
      <w:r w:rsidRPr="00252D7B">
        <w:rPr>
          <w:rFonts w:asciiTheme="minorHAnsi" w:eastAsia="Times New Roman" w:hAnsiTheme="minorHAnsi" w:cstheme="minorHAnsi"/>
          <w:sz w:val="24"/>
          <w:szCs w:val="24"/>
        </w:rPr>
        <w:t xml:space="preserve"> divide-se em cargos efetivos e cargos comissionados. </w:t>
      </w:r>
    </w:p>
    <w:p w14:paraId="2CCB4C72" w14:textId="503A9EAD" w:rsidR="00A41DBB" w:rsidRPr="00252D7B" w:rsidRDefault="00A41DBB" w:rsidP="00A41DBB">
      <w:pPr>
        <w:spacing w:before="120" w:after="120"/>
        <w:jc w:val="both"/>
        <w:rPr>
          <w:rFonts w:asciiTheme="minorHAnsi" w:hAnsiTheme="minorHAnsi" w:cstheme="minorHAnsi"/>
          <w:sz w:val="24"/>
          <w:szCs w:val="24"/>
        </w:rPr>
      </w:pPr>
      <w:r w:rsidRPr="00252D7B">
        <w:rPr>
          <w:rFonts w:asciiTheme="minorHAnsi" w:eastAsia="Times New Roman" w:hAnsiTheme="minorHAnsi" w:cstheme="minorHAnsi"/>
          <w:sz w:val="24"/>
          <w:szCs w:val="24"/>
        </w:rPr>
        <w:t>Hoje a Empresa dispõe de um quadro de pessoal efetivo diverso, em razão da existência de 04 Plano</w:t>
      </w:r>
      <w:r w:rsidR="0014078D">
        <w:rPr>
          <w:rFonts w:asciiTheme="minorHAnsi" w:eastAsia="Times New Roman" w:hAnsiTheme="minorHAnsi" w:cstheme="minorHAnsi"/>
          <w:sz w:val="24"/>
          <w:szCs w:val="24"/>
        </w:rPr>
        <w:t>s</w:t>
      </w:r>
      <w:r w:rsidRPr="00252D7B">
        <w:rPr>
          <w:rFonts w:asciiTheme="minorHAnsi" w:eastAsia="Times New Roman" w:hAnsiTheme="minorHAnsi" w:cstheme="minorHAnsi"/>
          <w:sz w:val="24"/>
          <w:szCs w:val="24"/>
        </w:rPr>
        <w:t xml:space="preserve"> de Cargos e Salários distintos, a saber:  PCS </w:t>
      </w:r>
      <w:r w:rsidR="00610C91" w:rsidRPr="00252D7B">
        <w:rPr>
          <w:rFonts w:asciiTheme="minorHAnsi" w:eastAsia="Times New Roman" w:hAnsiTheme="minorHAnsi" w:cstheme="minorHAnsi"/>
          <w:sz w:val="24"/>
          <w:szCs w:val="24"/>
        </w:rPr>
        <w:t>Valec</w:t>
      </w:r>
      <w:r w:rsidRPr="00252D7B">
        <w:rPr>
          <w:rFonts w:asciiTheme="minorHAnsi" w:eastAsia="Times New Roman" w:hAnsiTheme="minorHAnsi" w:cstheme="minorHAnsi"/>
          <w:sz w:val="24"/>
          <w:szCs w:val="24"/>
        </w:rPr>
        <w:t xml:space="preserve"> 2007, PCS </w:t>
      </w:r>
      <w:r w:rsidR="00610C91" w:rsidRPr="00252D7B">
        <w:rPr>
          <w:rFonts w:asciiTheme="minorHAnsi" w:eastAsia="Times New Roman" w:hAnsiTheme="minorHAnsi" w:cstheme="minorHAnsi"/>
          <w:sz w:val="24"/>
          <w:szCs w:val="24"/>
        </w:rPr>
        <w:t>Valec</w:t>
      </w:r>
      <w:r w:rsidRPr="00252D7B">
        <w:rPr>
          <w:rFonts w:asciiTheme="minorHAnsi" w:eastAsia="Times New Roman" w:hAnsiTheme="minorHAnsi" w:cstheme="minorHAnsi"/>
          <w:sz w:val="24"/>
          <w:szCs w:val="24"/>
        </w:rPr>
        <w:t xml:space="preserve"> 2012, PCS GEIPOT e PCS RFFSA (dentro do quadro da RFFSA há os empregados da extinta FEPASA).  Sendo os dois últimos oriundos de empresas extintas que tiveram o seu quadro de pessoal incorporados pela </w:t>
      </w:r>
      <w:r w:rsidR="00610C91" w:rsidRPr="00252D7B">
        <w:rPr>
          <w:rFonts w:asciiTheme="minorHAnsi" w:eastAsia="Times New Roman" w:hAnsiTheme="minorHAnsi" w:cstheme="minorHAnsi"/>
          <w:sz w:val="24"/>
          <w:szCs w:val="24"/>
        </w:rPr>
        <w:t>Valec</w:t>
      </w:r>
      <w:r w:rsidRPr="00252D7B">
        <w:rPr>
          <w:rFonts w:asciiTheme="minorHAnsi" w:eastAsia="Times New Roman" w:hAnsiTheme="minorHAnsi" w:cstheme="minorHAnsi"/>
          <w:sz w:val="24"/>
          <w:szCs w:val="24"/>
        </w:rPr>
        <w:t xml:space="preserve">. </w:t>
      </w:r>
    </w:p>
    <w:p w14:paraId="0E407D52" w14:textId="77777777" w:rsidR="00A41DBB" w:rsidRPr="00252D7B" w:rsidRDefault="00A41DBB" w:rsidP="00A41DBB">
      <w:pPr>
        <w:spacing w:before="120" w:after="120"/>
        <w:jc w:val="both"/>
        <w:rPr>
          <w:rFonts w:asciiTheme="minorHAnsi" w:hAnsiTheme="minorHAnsi" w:cstheme="minorHAnsi"/>
          <w:sz w:val="24"/>
          <w:szCs w:val="24"/>
        </w:rPr>
      </w:pPr>
      <w:r w:rsidRPr="00252D7B">
        <w:rPr>
          <w:rFonts w:asciiTheme="minorHAnsi" w:eastAsia="Times New Roman" w:hAnsiTheme="minorHAnsi" w:cstheme="minorHAnsi"/>
          <w:sz w:val="24"/>
          <w:szCs w:val="24"/>
        </w:rPr>
        <w:t xml:space="preserve">Essa diversidade de planos de cargos e salários impacta na gestão do pessoal, tendo em vista a especificidade de cada grupo devido a sua diferença geracional, que incorre num quadro de pessoas bastante segmentado em escolaridade, atribuições e qualificação, requerendo, portanto, um gerenciamento especial. </w:t>
      </w:r>
    </w:p>
    <w:p w14:paraId="5B146657" w14:textId="77777777" w:rsidR="00A41DBB" w:rsidRPr="00252D7B" w:rsidRDefault="00A41DBB" w:rsidP="00A41DBB">
      <w:pPr>
        <w:spacing w:before="120" w:after="120"/>
        <w:jc w:val="both"/>
        <w:rPr>
          <w:rFonts w:asciiTheme="minorHAnsi" w:hAnsiTheme="minorHAnsi" w:cstheme="minorHAnsi"/>
          <w:sz w:val="24"/>
          <w:szCs w:val="24"/>
        </w:rPr>
      </w:pPr>
      <w:r w:rsidRPr="00252D7B">
        <w:rPr>
          <w:rFonts w:asciiTheme="minorHAnsi" w:eastAsia="Times New Roman" w:hAnsiTheme="minorHAnsi" w:cstheme="minorHAnsi"/>
          <w:sz w:val="24"/>
          <w:szCs w:val="24"/>
        </w:rPr>
        <w:t xml:space="preserve">Por isso, a SUGEP vem realizando o levantamento da atual situação de dimensionamento de pessoas na Empresa, a fim de identificar e adotar as melhores medidas na gestão do seu pessoal, visando também, adequar o quadro à realidade da Empresa. </w:t>
      </w:r>
    </w:p>
    <w:p w14:paraId="38A6F03F" w14:textId="25B7A990" w:rsidR="00A41DBB" w:rsidRPr="00252D7B" w:rsidRDefault="00A41DBB" w:rsidP="00A41DBB">
      <w:pPr>
        <w:spacing w:before="120" w:after="120"/>
        <w:jc w:val="both"/>
        <w:rPr>
          <w:rFonts w:asciiTheme="minorHAnsi" w:hAnsiTheme="minorHAnsi" w:cstheme="minorHAnsi"/>
          <w:sz w:val="24"/>
          <w:szCs w:val="24"/>
        </w:rPr>
      </w:pPr>
      <w:r w:rsidRPr="00252D7B">
        <w:rPr>
          <w:rFonts w:asciiTheme="minorHAnsi" w:eastAsia="Times New Roman" w:hAnsiTheme="minorHAnsi" w:cstheme="minorHAnsi"/>
          <w:sz w:val="24"/>
          <w:szCs w:val="24"/>
        </w:rPr>
        <w:t xml:space="preserve">No que se refere aos cargos comissionados, salienta-se que os procedimentos adotados para provimentos de tais cargos estão dispostos na Portaria </w:t>
      </w:r>
      <w:r w:rsidR="00610C91" w:rsidRPr="00252D7B">
        <w:rPr>
          <w:rFonts w:asciiTheme="minorHAnsi" w:eastAsia="Times New Roman" w:hAnsiTheme="minorHAnsi" w:cstheme="minorHAnsi"/>
          <w:sz w:val="24"/>
          <w:szCs w:val="24"/>
        </w:rPr>
        <w:t>Valec</w:t>
      </w:r>
      <w:r w:rsidRPr="00252D7B">
        <w:rPr>
          <w:rFonts w:asciiTheme="minorHAnsi" w:eastAsia="Times New Roman" w:hAnsiTheme="minorHAnsi" w:cstheme="minorHAnsi"/>
          <w:sz w:val="24"/>
          <w:szCs w:val="24"/>
        </w:rPr>
        <w:t xml:space="preserve"> nº 741/2019. </w:t>
      </w:r>
    </w:p>
    <w:p w14:paraId="775B7627" w14:textId="5AD39F86" w:rsidR="00A41DBB" w:rsidRPr="00252D7B" w:rsidRDefault="00A41DBB" w:rsidP="00A41DBB">
      <w:pPr>
        <w:spacing w:before="120" w:after="120"/>
        <w:jc w:val="both"/>
        <w:rPr>
          <w:rFonts w:asciiTheme="minorHAnsi" w:eastAsia="Times New Roman" w:hAnsiTheme="minorHAnsi" w:cstheme="minorHAnsi"/>
          <w:sz w:val="24"/>
          <w:szCs w:val="24"/>
        </w:rPr>
      </w:pPr>
      <w:r w:rsidRPr="00252D7B">
        <w:rPr>
          <w:rFonts w:asciiTheme="minorHAnsi" w:eastAsia="Times New Roman" w:hAnsiTheme="minorHAnsi" w:cstheme="minorHAnsi"/>
          <w:sz w:val="24"/>
          <w:szCs w:val="24"/>
        </w:rPr>
        <w:t xml:space="preserve">Frisando-se que o referido normativo visa assegurar a nomeação de pessoas com capacidade e as competências adequadas a cada cargo, priorizar a ocupação dos cargos comissionados pelos empregados públicos efetivos da </w:t>
      </w:r>
      <w:r w:rsidR="00610C91" w:rsidRPr="00252D7B">
        <w:rPr>
          <w:rFonts w:asciiTheme="minorHAnsi" w:eastAsia="Times New Roman" w:hAnsiTheme="minorHAnsi" w:cstheme="minorHAnsi"/>
          <w:sz w:val="24"/>
          <w:szCs w:val="24"/>
        </w:rPr>
        <w:t>Valec</w:t>
      </w:r>
      <w:r w:rsidRPr="00252D7B">
        <w:rPr>
          <w:rFonts w:asciiTheme="minorHAnsi" w:eastAsia="Times New Roman" w:hAnsiTheme="minorHAnsi" w:cstheme="minorHAnsi"/>
          <w:sz w:val="24"/>
          <w:szCs w:val="24"/>
        </w:rPr>
        <w:t xml:space="preserve"> e proporcionar uma cultura de integridade no âmbito da Empresa, essencial para uma boa governança.</w:t>
      </w:r>
    </w:p>
    <w:p w14:paraId="0AD0AB22" w14:textId="0B5FBA2B" w:rsidR="00A41DBB" w:rsidRPr="00252D7B" w:rsidRDefault="00A41DBB" w:rsidP="00A41DBB">
      <w:pPr>
        <w:spacing w:before="120" w:after="120"/>
        <w:jc w:val="both"/>
        <w:rPr>
          <w:rFonts w:asciiTheme="minorHAnsi" w:hAnsiTheme="minorHAnsi" w:cstheme="minorHAnsi"/>
          <w:sz w:val="24"/>
          <w:szCs w:val="24"/>
        </w:rPr>
      </w:pPr>
      <w:r w:rsidRPr="00252D7B">
        <w:rPr>
          <w:rFonts w:asciiTheme="minorHAnsi" w:eastAsia="Times New Roman" w:hAnsiTheme="minorHAnsi" w:cstheme="minorHAnsi"/>
          <w:sz w:val="24"/>
          <w:szCs w:val="24"/>
        </w:rPr>
        <w:t xml:space="preserve">Por fim, de modo resumido, conclui-se que a força de trabalho da </w:t>
      </w:r>
      <w:r w:rsidR="00610C91" w:rsidRPr="00252D7B">
        <w:rPr>
          <w:rFonts w:asciiTheme="minorHAnsi" w:eastAsia="Times New Roman" w:hAnsiTheme="minorHAnsi" w:cstheme="minorHAnsi"/>
          <w:sz w:val="24"/>
          <w:szCs w:val="24"/>
        </w:rPr>
        <w:t>Valec</w:t>
      </w:r>
      <w:r w:rsidRPr="00252D7B">
        <w:rPr>
          <w:rFonts w:asciiTheme="minorHAnsi" w:eastAsia="Times New Roman" w:hAnsiTheme="minorHAnsi" w:cstheme="minorHAnsi"/>
          <w:sz w:val="24"/>
          <w:szCs w:val="24"/>
        </w:rPr>
        <w:t xml:space="preserve"> é composta por empregados provenientes de contratação direta, concursados e transferidos de órgão extintos.</w:t>
      </w:r>
    </w:p>
    <w:p w14:paraId="0241FFA9" w14:textId="14799C99" w:rsidR="00A41DBB" w:rsidRPr="00252D7B" w:rsidRDefault="00A41DBB" w:rsidP="00A41DBB">
      <w:pPr>
        <w:spacing w:before="120" w:after="120"/>
        <w:jc w:val="both"/>
        <w:rPr>
          <w:rFonts w:asciiTheme="minorHAnsi" w:eastAsia="Times New Roman" w:hAnsiTheme="minorHAnsi" w:cstheme="minorHAnsi"/>
          <w:sz w:val="24"/>
          <w:szCs w:val="24"/>
        </w:rPr>
      </w:pPr>
      <w:r w:rsidRPr="00252D7B">
        <w:rPr>
          <w:rFonts w:asciiTheme="minorHAnsi" w:eastAsia="Times New Roman" w:hAnsiTheme="minorHAnsi" w:cstheme="minorHAnsi"/>
          <w:sz w:val="24"/>
          <w:szCs w:val="24"/>
        </w:rPr>
        <w:t xml:space="preserve">Sendo importante apresentar os dados acerca da distribuição dos empregados por classificações, conforme tópicos a seguir. </w:t>
      </w:r>
    </w:p>
    <w:p w14:paraId="1879492A" w14:textId="221461B4" w:rsidR="00893F5A" w:rsidRPr="00252D7B" w:rsidRDefault="00893F5A">
      <w:pPr>
        <w:widowControl/>
        <w:autoSpaceDE/>
        <w:autoSpaceDN/>
        <w:spacing w:after="160" w:line="259" w:lineRule="auto"/>
        <w:rPr>
          <w:rFonts w:asciiTheme="minorHAnsi" w:eastAsia="Times New Roman" w:hAnsiTheme="minorHAnsi" w:cstheme="minorHAnsi"/>
          <w:sz w:val="24"/>
          <w:szCs w:val="24"/>
        </w:rPr>
      </w:pPr>
      <w:r w:rsidRPr="00252D7B">
        <w:rPr>
          <w:rFonts w:asciiTheme="minorHAnsi" w:eastAsia="Times New Roman" w:hAnsiTheme="minorHAnsi" w:cstheme="minorHAnsi"/>
          <w:sz w:val="24"/>
          <w:szCs w:val="24"/>
        </w:rPr>
        <w:br w:type="page"/>
      </w:r>
    </w:p>
    <w:p w14:paraId="5E976EEF" w14:textId="77777777" w:rsidR="00A41DBB" w:rsidRPr="00252D7B" w:rsidRDefault="00A41DBB" w:rsidP="00A41DBB">
      <w:pPr>
        <w:pStyle w:val="Ttulo4"/>
        <w:spacing w:before="120"/>
        <w:rPr>
          <w:rFonts w:asciiTheme="minorHAnsi" w:hAnsiTheme="minorHAnsi" w:cstheme="minorHAnsi"/>
        </w:rPr>
      </w:pPr>
      <w:bookmarkStart w:id="257" w:name="_Toc97215830"/>
      <w:bookmarkStart w:id="258" w:name="_Toc103680555"/>
      <w:r w:rsidRPr="00252D7B">
        <w:rPr>
          <w:rFonts w:asciiTheme="minorHAnsi" w:hAnsiTheme="minorHAnsi" w:cstheme="minorHAnsi"/>
        </w:rPr>
        <w:lastRenderedPageBreak/>
        <w:t>Por faixa salarial</w:t>
      </w:r>
      <w:bookmarkEnd w:id="255"/>
      <w:bookmarkEnd w:id="256"/>
      <w:bookmarkEnd w:id="257"/>
      <w:bookmarkEnd w:id="258"/>
    </w:p>
    <w:p w14:paraId="7287A11C" w14:textId="072F3243" w:rsidR="00A41DBB" w:rsidRPr="00252D7B" w:rsidRDefault="00A41DBB" w:rsidP="006024AE">
      <w:pPr>
        <w:spacing w:after="120"/>
        <w:rPr>
          <w:rFonts w:asciiTheme="minorHAnsi" w:hAnsiTheme="minorHAnsi" w:cstheme="minorHAnsi"/>
          <w:sz w:val="24"/>
          <w:szCs w:val="24"/>
        </w:rPr>
      </w:pPr>
      <w:bookmarkStart w:id="259" w:name="_Toc94012523"/>
      <w:bookmarkStart w:id="260" w:name="_Toc95830259"/>
      <w:r w:rsidRPr="00252D7B">
        <w:rPr>
          <w:rFonts w:asciiTheme="minorHAnsi" w:hAnsiTheme="minorHAnsi" w:cstheme="minorHAnsi"/>
          <w:sz w:val="24"/>
          <w:szCs w:val="24"/>
        </w:rPr>
        <w:t xml:space="preserve">Abaixo a média salarial por grupo de empregados: </w:t>
      </w:r>
    </w:p>
    <w:p w14:paraId="583CAAA7" w14:textId="77777777" w:rsidR="00A41DBB" w:rsidRPr="00252D7B" w:rsidRDefault="00A41DBB" w:rsidP="00A41DBB">
      <w:pPr>
        <w:spacing w:before="120" w:after="120"/>
        <w:rPr>
          <w:rFonts w:asciiTheme="minorHAnsi" w:hAnsiTheme="minorHAnsi" w:cstheme="minorHAnsi"/>
          <w:sz w:val="24"/>
          <w:szCs w:val="24"/>
        </w:rPr>
      </w:pPr>
    </w:p>
    <w:p w14:paraId="5C38730F" w14:textId="7F401048" w:rsidR="006024AE" w:rsidRPr="00252D7B" w:rsidRDefault="006024AE" w:rsidP="006024AE">
      <w:pPr>
        <w:pStyle w:val="Legenda"/>
        <w:spacing w:before="120" w:after="120"/>
        <w:jc w:val="center"/>
        <w:rPr>
          <w:rFonts w:asciiTheme="minorHAnsi" w:hAnsiTheme="minorHAnsi" w:cstheme="minorHAnsi"/>
          <w:sz w:val="20"/>
          <w:szCs w:val="20"/>
        </w:rPr>
      </w:pPr>
      <w:bookmarkStart w:id="261" w:name="_Toc103680771"/>
      <w:r w:rsidRPr="00252D7B">
        <w:rPr>
          <w:rFonts w:asciiTheme="minorHAnsi" w:hAnsiTheme="minorHAnsi" w:cstheme="minorHAnsi"/>
          <w:sz w:val="20"/>
          <w:szCs w:val="20"/>
        </w:rPr>
        <w:t xml:space="preserve">Gráfico </w:t>
      </w:r>
      <w:r w:rsidRPr="00252D7B">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Gráfico \* ARABIC </w:instrText>
      </w:r>
      <w:r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6</w:t>
      </w:r>
      <w:r w:rsidRPr="00252D7B">
        <w:rPr>
          <w:rFonts w:asciiTheme="minorHAnsi" w:hAnsiTheme="minorHAnsi" w:cstheme="minorHAnsi"/>
          <w:sz w:val="20"/>
          <w:szCs w:val="20"/>
        </w:rPr>
        <w:fldChar w:fldCharType="end"/>
      </w:r>
      <w:r w:rsidRPr="00252D7B">
        <w:rPr>
          <w:rFonts w:asciiTheme="minorHAnsi" w:hAnsiTheme="minorHAnsi" w:cstheme="minorHAnsi"/>
          <w:sz w:val="20"/>
          <w:szCs w:val="20"/>
        </w:rPr>
        <w:t xml:space="preserve"> – Média salarial dos empregados</w:t>
      </w:r>
      <w:bookmarkEnd w:id="261"/>
    </w:p>
    <w:p w14:paraId="00401024" w14:textId="77777777" w:rsidR="00A41DBB" w:rsidRPr="00252D7B" w:rsidRDefault="00A41DBB" w:rsidP="00A41DBB">
      <w:pPr>
        <w:spacing w:before="120" w:after="120"/>
        <w:jc w:val="center"/>
        <w:rPr>
          <w:rFonts w:asciiTheme="minorHAnsi" w:hAnsiTheme="minorHAnsi" w:cstheme="minorHAnsi"/>
        </w:rPr>
      </w:pPr>
      <w:r w:rsidRPr="00252D7B">
        <w:rPr>
          <w:rFonts w:asciiTheme="minorHAnsi" w:hAnsiTheme="minorHAnsi" w:cstheme="minorHAnsi"/>
          <w:noProof/>
        </w:rPr>
        <w:drawing>
          <wp:inline distT="0" distB="0" distL="0" distR="0" wp14:anchorId="31D18BF0" wp14:editId="024F7EEB">
            <wp:extent cx="4997742" cy="3123591"/>
            <wp:effectExtent l="0" t="0" r="0" b="635"/>
            <wp:docPr id="557098697" name="Picture 557098697"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98697" name="Picture 557098697" descr="Gráfico, Gráfico de barras&#10;&#10;Descrição gerada automaticament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035808" cy="3147382"/>
                    </a:xfrm>
                    <a:prstGeom prst="rect">
                      <a:avLst/>
                    </a:prstGeom>
                  </pic:spPr>
                </pic:pic>
              </a:graphicData>
            </a:graphic>
          </wp:inline>
        </w:drawing>
      </w:r>
    </w:p>
    <w:p w14:paraId="34B7EBB4" w14:textId="77777777" w:rsidR="00A41DBB" w:rsidRPr="00252D7B" w:rsidRDefault="00A41DBB" w:rsidP="00A41DBB">
      <w:pPr>
        <w:spacing w:before="120" w:after="120"/>
        <w:rPr>
          <w:rFonts w:asciiTheme="minorHAnsi" w:hAnsiTheme="minorHAnsi" w:cstheme="minorHAnsi"/>
        </w:rPr>
      </w:pPr>
    </w:p>
    <w:p w14:paraId="0EDA1BD5" w14:textId="77777777" w:rsidR="00A41DBB" w:rsidRPr="00252D7B" w:rsidRDefault="00A41DBB" w:rsidP="00A41DBB">
      <w:pPr>
        <w:pStyle w:val="Ttulo4"/>
        <w:spacing w:before="120"/>
        <w:rPr>
          <w:rFonts w:asciiTheme="minorHAnsi" w:hAnsiTheme="minorHAnsi" w:cstheme="minorHAnsi"/>
        </w:rPr>
      </w:pPr>
      <w:bookmarkStart w:id="262" w:name="_Toc97215831"/>
      <w:bookmarkStart w:id="263" w:name="_Toc103680556"/>
      <w:r w:rsidRPr="00252D7B">
        <w:rPr>
          <w:rFonts w:asciiTheme="minorHAnsi" w:hAnsiTheme="minorHAnsi" w:cstheme="minorHAnsi"/>
        </w:rPr>
        <w:t>Por gênero</w:t>
      </w:r>
      <w:bookmarkEnd w:id="259"/>
      <w:bookmarkEnd w:id="260"/>
      <w:bookmarkEnd w:id="262"/>
      <w:bookmarkEnd w:id="263"/>
    </w:p>
    <w:p w14:paraId="606A6829" w14:textId="2D337DDA" w:rsidR="00A41DBB" w:rsidRPr="00252D7B" w:rsidRDefault="00A41DBB" w:rsidP="00A41DBB">
      <w:pPr>
        <w:spacing w:before="120" w:after="120"/>
        <w:jc w:val="both"/>
        <w:rPr>
          <w:rFonts w:asciiTheme="minorHAnsi" w:eastAsia="Times New Roman" w:hAnsiTheme="minorHAnsi" w:cstheme="minorHAnsi"/>
          <w:sz w:val="24"/>
          <w:szCs w:val="24"/>
        </w:rPr>
      </w:pPr>
      <w:r w:rsidRPr="00252D7B">
        <w:rPr>
          <w:rFonts w:asciiTheme="minorHAnsi" w:eastAsia="Times New Roman" w:hAnsiTheme="minorHAnsi" w:cstheme="minorHAnsi"/>
          <w:sz w:val="24"/>
          <w:szCs w:val="24"/>
        </w:rPr>
        <w:t xml:space="preserve">A força de trabalho da Valec é composta em seu quadro por 74% do gênero masculino e 26% do gênero feminino, mas os cargos comissionados são ocupados em 41% por mulheres. Por fim, de modo resumido, conclui-se que a força de trabalho da </w:t>
      </w:r>
      <w:r w:rsidR="00610C91" w:rsidRPr="00252D7B">
        <w:rPr>
          <w:rFonts w:asciiTheme="minorHAnsi" w:eastAsia="Times New Roman" w:hAnsiTheme="minorHAnsi" w:cstheme="minorHAnsi"/>
          <w:sz w:val="24"/>
          <w:szCs w:val="24"/>
        </w:rPr>
        <w:t>Valec</w:t>
      </w:r>
      <w:r w:rsidRPr="00252D7B">
        <w:rPr>
          <w:rFonts w:asciiTheme="minorHAnsi" w:eastAsia="Times New Roman" w:hAnsiTheme="minorHAnsi" w:cstheme="minorHAnsi"/>
          <w:sz w:val="24"/>
          <w:szCs w:val="24"/>
        </w:rPr>
        <w:t xml:space="preserve"> é composta por empregados provenientes de contratação direta, concursados e transferidos de órgão extintos.</w:t>
      </w:r>
    </w:p>
    <w:p w14:paraId="6D2AC60F" w14:textId="62880E14" w:rsidR="00A41DBB" w:rsidRPr="00252D7B" w:rsidRDefault="00A41DBB" w:rsidP="00A41DBB">
      <w:pPr>
        <w:pStyle w:val="Legenda"/>
        <w:keepNext/>
        <w:spacing w:before="120" w:after="120"/>
        <w:jc w:val="center"/>
        <w:rPr>
          <w:rFonts w:asciiTheme="minorHAnsi" w:hAnsiTheme="minorHAnsi" w:cstheme="minorHAnsi"/>
          <w:sz w:val="20"/>
          <w:szCs w:val="20"/>
        </w:rPr>
      </w:pPr>
      <w:bookmarkStart w:id="264" w:name="_Toc103680772"/>
      <w:r w:rsidRPr="00252D7B">
        <w:rPr>
          <w:rFonts w:asciiTheme="minorHAnsi" w:hAnsiTheme="minorHAnsi" w:cstheme="minorHAnsi"/>
          <w:sz w:val="20"/>
          <w:szCs w:val="20"/>
        </w:rPr>
        <w:t xml:space="preserve">Gráfico </w:t>
      </w:r>
      <w:r w:rsidRPr="00252D7B">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Gráfico \* ARABIC </w:instrText>
      </w:r>
      <w:r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7</w:t>
      </w:r>
      <w:r w:rsidRPr="00252D7B">
        <w:rPr>
          <w:rFonts w:asciiTheme="minorHAnsi" w:hAnsiTheme="minorHAnsi" w:cstheme="minorHAnsi"/>
          <w:sz w:val="20"/>
          <w:szCs w:val="20"/>
        </w:rPr>
        <w:fldChar w:fldCharType="end"/>
      </w:r>
      <w:r w:rsidRPr="00252D7B">
        <w:rPr>
          <w:rFonts w:asciiTheme="minorHAnsi" w:hAnsiTheme="minorHAnsi" w:cstheme="minorHAnsi"/>
          <w:sz w:val="20"/>
          <w:szCs w:val="20"/>
        </w:rPr>
        <w:t xml:space="preserve"> – Distribuição por gênero dos cargos comissionados</w:t>
      </w:r>
      <w:bookmarkEnd w:id="264"/>
    </w:p>
    <w:p w14:paraId="1CFD0D23" w14:textId="77777777" w:rsidR="00A41DBB" w:rsidRPr="00252D7B" w:rsidRDefault="00A41DBB" w:rsidP="00A41DBB">
      <w:pPr>
        <w:spacing w:before="120" w:after="120"/>
        <w:jc w:val="center"/>
        <w:rPr>
          <w:rFonts w:asciiTheme="minorHAnsi" w:eastAsia="Times New Roman" w:hAnsiTheme="minorHAnsi" w:cstheme="minorHAnsi"/>
          <w:sz w:val="24"/>
          <w:szCs w:val="24"/>
        </w:rPr>
      </w:pPr>
      <w:r w:rsidRPr="00252D7B">
        <w:rPr>
          <w:rFonts w:asciiTheme="minorHAnsi" w:eastAsia="Times New Roman" w:hAnsiTheme="minorHAnsi" w:cstheme="minorHAnsi"/>
          <w:noProof/>
          <w:sz w:val="20"/>
          <w:szCs w:val="20"/>
        </w:rPr>
        <w:drawing>
          <wp:inline distT="0" distB="0" distL="0" distR="0" wp14:anchorId="4056D554" wp14:editId="4D20C11C">
            <wp:extent cx="3254375" cy="2267300"/>
            <wp:effectExtent l="0" t="0" r="3175" b="0"/>
            <wp:docPr id="8" name="Imagem 8"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Gráfico, Gráfico de pizza&#10;&#10;Descrição gerada automaticamente"/>
                    <pic:cNvPicPr/>
                  </pic:nvPicPr>
                  <pic:blipFill rotWithShape="1">
                    <a:blip r:embed="rId69"/>
                    <a:srcRect l="17642" t="18879" r="19037" b="2795"/>
                    <a:stretch/>
                  </pic:blipFill>
                  <pic:spPr bwMode="auto">
                    <a:xfrm>
                      <a:off x="0" y="0"/>
                      <a:ext cx="3286853" cy="2289927"/>
                    </a:xfrm>
                    <a:prstGeom prst="rect">
                      <a:avLst/>
                    </a:prstGeom>
                    <a:ln>
                      <a:noFill/>
                    </a:ln>
                    <a:extLst>
                      <a:ext uri="{53640926-AAD7-44D8-BBD7-CCE9431645EC}">
                        <a14:shadowObscured xmlns:a14="http://schemas.microsoft.com/office/drawing/2010/main"/>
                      </a:ext>
                    </a:extLst>
                  </pic:spPr>
                </pic:pic>
              </a:graphicData>
            </a:graphic>
          </wp:inline>
        </w:drawing>
      </w:r>
    </w:p>
    <w:p w14:paraId="32EDA98B" w14:textId="186E5E57" w:rsidR="00F541DF" w:rsidRPr="00252D7B" w:rsidRDefault="00F541DF">
      <w:pPr>
        <w:widowControl/>
        <w:autoSpaceDE/>
        <w:autoSpaceDN/>
        <w:spacing w:after="160" w:line="259" w:lineRule="auto"/>
        <w:rPr>
          <w:rFonts w:asciiTheme="minorHAnsi" w:hAnsiTheme="minorHAnsi" w:cstheme="minorHAnsi"/>
        </w:rPr>
      </w:pPr>
      <w:bookmarkStart w:id="265" w:name="_Toc94012524"/>
      <w:bookmarkStart w:id="266" w:name="_Toc95830260"/>
      <w:r w:rsidRPr="00252D7B">
        <w:rPr>
          <w:rFonts w:asciiTheme="minorHAnsi" w:hAnsiTheme="minorHAnsi" w:cstheme="minorHAnsi"/>
        </w:rPr>
        <w:br w:type="page"/>
      </w:r>
    </w:p>
    <w:p w14:paraId="628E0B51" w14:textId="77777777" w:rsidR="00A41DBB" w:rsidRPr="00252D7B" w:rsidRDefault="00A41DBB" w:rsidP="00A41DBB">
      <w:pPr>
        <w:pStyle w:val="Ttulo4"/>
        <w:spacing w:before="120"/>
        <w:rPr>
          <w:rFonts w:asciiTheme="minorHAnsi" w:hAnsiTheme="minorHAnsi" w:cstheme="minorHAnsi"/>
        </w:rPr>
      </w:pPr>
      <w:bookmarkStart w:id="267" w:name="_Toc97215832"/>
      <w:bookmarkStart w:id="268" w:name="_Toc103680557"/>
      <w:r w:rsidRPr="00252D7B">
        <w:rPr>
          <w:rFonts w:asciiTheme="minorHAnsi" w:hAnsiTheme="minorHAnsi" w:cstheme="minorHAnsi"/>
        </w:rPr>
        <w:lastRenderedPageBreak/>
        <w:t>Por necessidade especial</w:t>
      </w:r>
      <w:bookmarkEnd w:id="265"/>
      <w:bookmarkEnd w:id="266"/>
      <w:bookmarkEnd w:id="267"/>
      <w:bookmarkEnd w:id="268"/>
    </w:p>
    <w:p w14:paraId="6F92B1DD" w14:textId="77777777" w:rsidR="006024AE" w:rsidRPr="00252D7B" w:rsidRDefault="006024AE" w:rsidP="00A41DBB">
      <w:pPr>
        <w:pStyle w:val="Legenda"/>
        <w:keepNext/>
        <w:spacing w:before="120" w:after="120"/>
        <w:jc w:val="center"/>
        <w:rPr>
          <w:rFonts w:asciiTheme="minorHAnsi" w:hAnsiTheme="minorHAnsi" w:cstheme="minorHAnsi"/>
          <w:sz w:val="20"/>
          <w:szCs w:val="20"/>
        </w:rPr>
      </w:pPr>
    </w:p>
    <w:p w14:paraId="7E5509C0" w14:textId="5653BD8F" w:rsidR="00A41DBB" w:rsidRPr="00252D7B" w:rsidRDefault="00A41DBB" w:rsidP="00A41DBB">
      <w:pPr>
        <w:pStyle w:val="Legenda"/>
        <w:keepNext/>
        <w:spacing w:before="120" w:after="120"/>
        <w:jc w:val="center"/>
        <w:rPr>
          <w:rFonts w:asciiTheme="minorHAnsi" w:hAnsiTheme="minorHAnsi" w:cstheme="minorHAnsi"/>
          <w:sz w:val="20"/>
          <w:szCs w:val="20"/>
        </w:rPr>
      </w:pPr>
      <w:bookmarkStart w:id="269" w:name="_Toc103680773"/>
      <w:r w:rsidRPr="00252D7B">
        <w:rPr>
          <w:rFonts w:asciiTheme="minorHAnsi" w:hAnsiTheme="minorHAnsi" w:cstheme="minorHAnsi"/>
          <w:sz w:val="20"/>
          <w:szCs w:val="20"/>
        </w:rPr>
        <w:t xml:space="preserve">Gráfico </w:t>
      </w:r>
      <w:r w:rsidRPr="00252D7B">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Gráfico \* ARABIC </w:instrText>
      </w:r>
      <w:r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8</w:t>
      </w:r>
      <w:r w:rsidRPr="00252D7B">
        <w:rPr>
          <w:rFonts w:asciiTheme="minorHAnsi" w:hAnsiTheme="minorHAnsi" w:cstheme="minorHAnsi"/>
          <w:sz w:val="20"/>
          <w:szCs w:val="20"/>
        </w:rPr>
        <w:fldChar w:fldCharType="end"/>
      </w:r>
      <w:r w:rsidRPr="00252D7B">
        <w:rPr>
          <w:rFonts w:asciiTheme="minorHAnsi" w:hAnsiTheme="minorHAnsi" w:cstheme="minorHAnsi"/>
          <w:sz w:val="20"/>
          <w:szCs w:val="20"/>
        </w:rPr>
        <w:t xml:space="preserve"> – Distribuição de empregados com necessidades especiais</w:t>
      </w:r>
      <w:bookmarkEnd w:id="269"/>
    </w:p>
    <w:p w14:paraId="1F63F719" w14:textId="77777777" w:rsidR="00A41DBB" w:rsidRPr="00252D7B" w:rsidRDefault="00A41DBB" w:rsidP="00A41DBB">
      <w:pPr>
        <w:spacing w:before="120" w:after="120"/>
        <w:jc w:val="center"/>
        <w:rPr>
          <w:rFonts w:asciiTheme="minorHAnsi" w:hAnsiTheme="minorHAnsi" w:cstheme="minorHAnsi"/>
        </w:rPr>
      </w:pPr>
      <w:bookmarkStart w:id="270" w:name="_Toc94012525"/>
      <w:bookmarkStart w:id="271" w:name="_Toc95830261"/>
      <w:r w:rsidRPr="00252D7B">
        <w:rPr>
          <w:rFonts w:asciiTheme="minorHAnsi" w:hAnsiTheme="minorHAnsi" w:cstheme="minorHAnsi"/>
          <w:noProof/>
        </w:rPr>
        <w:drawing>
          <wp:inline distT="0" distB="0" distL="0" distR="0" wp14:anchorId="43CE0896" wp14:editId="11582C5B">
            <wp:extent cx="4386792" cy="2038350"/>
            <wp:effectExtent l="0" t="0" r="0" b="0"/>
            <wp:docPr id="1130521992" name="Imagem 1130521992"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descr="Gráfico, Gráfico de pizza&#10;&#10;Descrição gerada automaticamente"/>
                    <pic:cNvPicPr>
                      <a:picLocks noChangeAspect="1" noChangeArrowheads="1"/>
                    </pic:cNvPicPr>
                  </pic:nvPicPr>
                  <pic:blipFill rotWithShape="1">
                    <a:blip r:embed="rId70">
                      <a:extLst>
                        <a:ext uri="{28A0092B-C50C-407E-A947-70E740481C1C}">
                          <a14:useLocalDpi xmlns:a14="http://schemas.microsoft.com/office/drawing/2010/main" val="0"/>
                        </a:ext>
                      </a:extLst>
                    </a:blip>
                    <a:srcRect t="22772"/>
                    <a:stretch/>
                  </pic:blipFill>
                  <pic:spPr bwMode="auto">
                    <a:xfrm>
                      <a:off x="0" y="0"/>
                      <a:ext cx="4421942" cy="2054683"/>
                    </a:xfrm>
                    <a:prstGeom prst="rect">
                      <a:avLst/>
                    </a:prstGeom>
                    <a:noFill/>
                    <a:ln>
                      <a:noFill/>
                    </a:ln>
                    <a:extLst>
                      <a:ext uri="{53640926-AAD7-44D8-BBD7-CCE9431645EC}">
                        <a14:shadowObscured xmlns:a14="http://schemas.microsoft.com/office/drawing/2010/main"/>
                      </a:ext>
                    </a:extLst>
                  </pic:spPr>
                </pic:pic>
              </a:graphicData>
            </a:graphic>
          </wp:inline>
        </w:drawing>
      </w:r>
    </w:p>
    <w:p w14:paraId="23A97B86" w14:textId="77777777" w:rsidR="006024AE" w:rsidRPr="00252D7B" w:rsidRDefault="006024AE" w:rsidP="00A41DBB">
      <w:pPr>
        <w:spacing w:before="120" w:after="120"/>
        <w:jc w:val="center"/>
        <w:rPr>
          <w:rFonts w:asciiTheme="minorHAnsi" w:hAnsiTheme="minorHAnsi" w:cstheme="minorHAnsi"/>
          <w:i/>
          <w:iCs/>
          <w:color w:val="1F497D"/>
          <w:sz w:val="20"/>
          <w:szCs w:val="20"/>
        </w:rPr>
      </w:pPr>
    </w:p>
    <w:p w14:paraId="590B46BC" w14:textId="1D22CF04" w:rsidR="00A41DBB" w:rsidRPr="00252D7B" w:rsidRDefault="00A41DBB" w:rsidP="003F7F4F">
      <w:pPr>
        <w:pStyle w:val="Legenda"/>
        <w:keepNext/>
        <w:spacing w:before="120" w:after="120"/>
        <w:jc w:val="center"/>
        <w:rPr>
          <w:rFonts w:asciiTheme="minorHAnsi" w:hAnsiTheme="minorHAnsi" w:cstheme="minorHAnsi"/>
          <w:sz w:val="20"/>
          <w:szCs w:val="20"/>
        </w:rPr>
      </w:pPr>
      <w:bookmarkStart w:id="272" w:name="_Toc103680674"/>
      <w:r w:rsidRPr="00252D7B">
        <w:rPr>
          <w:rFonts w:asciiTheme="minorHAnsi" w:hAnsiTheme="minorHAnsi" w:cstheme="minorHAnsi"/>
          <w:sz w:val="20"/>
          <w:szCs w:val="20"/>
        </w:rPr>
        <w:t xml:space="preserve">Tabela </w:t>
      </w:r>
      <w:r w:rsidRPr="00252D7B">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Tabela \* ARABIC </w:instrText>
      </w:r>
      <w:r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12</w:t>
      </w:r>
      <w:r w:rsidRPr="00252D7B">
        <w:rPr>
          <w:rFonts w:asciiTheme="minorHAnsi" w:hAnsiTheme="minorHAnsi" w:cstheme="minorHAnsi"/>
          <w:sz w:val="20"/>
          <w:szCs w:val="20"/>
        </w:rPr>
        <w:fldChar w:fldCharType="end"/>
      </w:r>
      <w:r w:rsidRPr="00252D7B">
        <w:rPr>
          <w:rFonts w:asciiTheme="minorHAnsi" w:hAnsiTheme="minorHAnsi" w:cstheme="minorHAnsi"/>
          <w:sz w:val="20"/>
          <w:szCs w:val="20"/>
        </w:rPr>
        <w:t xml:space="preserve"> – Distribuição de empregados com necessidades especiais</w:t>
      </w:r>
      <w:bookmarkEnd w:id="272"/>
    </w:p>
    <w:tbl>
      <w:tblPr>
        <w:tblStyle w:val="Tabelacomgrade10"/>
        <w:tblW w:w="5665" w:type="dxa"/>
        <w:jc w:val="center"/>
        <w:tblInd w:w="0" w:type="dxa"/>
        <w:tblLook w:val="04A0" w:firstRow="1" w:lastRow="0" w:firstColumn="1" w:lastColumn="0" w:noHBand="0" w:noVBand="1"/>
      </w:tblPr>
      <w:tblGrid>
        <w:gridCol w:w="2267"/>
        <w:gridCol w:w="1135"/>
        <w:gridCol w:w="874"/>
        <w:gridCol w:w="1389"/>
      </w:tblGrid>
      <w:tr w:rsidR="00A41DBB" w:rsidRPr="00252D7B" w14:paraId="4E93F6F4" w14:textId="77777777" w:rsidTr="00E03684">
        <w:trPr>
          <w:trHeight w:val="534"/>
          <w:jc w:val="center"/>
        </w:trPr>
        <w:tc>
          <w:tcPr>
            <w:tcW w:w="2267" w:type="dxa"/>
            <w:tcBorders>
              <w:left w:val="nil"/>
            </w:tcBorders>
            <w:shd w:val="clear" w:color="auto" w:fill="D9D9D9" w:themeFill="background1" w:themeFillShade="D9"/>
            <w:noWrap/>
            <w:vAlign w:val="center"/>
            <w:hideMark/>
          </w:tcPr>
          <w:p w14:paraId="20A56D2B" w14:textId="77777777" w:rsidR="00A41DBB" w:rsidRPr="00252D7B" w:rsidRDefault="00A41DBB" w:rsidP="00E03684">
            <w:pPr>
              <w:widowControl/>
              <w:autoSpaceDE/>
              <w:autoSpaceDN/>
              <w:jc w:val="center"/>
              <w:rPr>
                <w:rFonts w:asciiTheme="minorHAnsi" w:eastAsia="Times New Roman" w:hAnsiTheme="minorHAnsi" w:cstheme="minorHAnsi"/>
                <w:b/>
                <w:bCs/>
                <w:color w:val="000000"/>
                <w:lang w:bidi="ar-SA"/>
              </w:rPr>
            </w:pPr>
            <w:r w:rsidRPr="00252D7B">
              <w:rPr>
                <w:rFonts w:asciiTheme="minorHAnsi" w:eastAsia="Times New Roman" w:hAnsiTheme="minorHAnsi" w:cstheme="minorHAnsi"/>
                <w:b/>
                <w:bCs/>
                <w:color w:val="000000"/>
                <w:lang w:bidi="ar-SA"/>
              </w:rPr>
              <w:t>Deficiência</w:t>
            </w:r>
          </w:p>
        </w:tc>
        <w:tc>
          <w:tcPr>
            <w:tcW w:w="1135" w:type="dxa"/>
            <w:shd w:val="clear" w:color="auto" w:fill="D9D9D9" w:themeFill="background1" w:themeFillShade="D9"/>
            <w:noWrap/>
            <w:vAlign w:val="center"/>
            <w:hideMark/>
          </w:tcPr>
          <w:p w14:paraId="0559E06B" w14:textId="1D428F3D" w:rsidR="00A41DBB" w:rsidRPr="00252D7B" w:rsidRDefault="00A41DBB" w:rsidP="00E03684">
            <w:pPr>
              <w:widowControl/>
              <w:autoSpaceDE/>
              <w:autoSpaceDN/>
              <w:jc w:val="center"/>
              <w:rPr>
                <w:rFonts w:asciiTheme="minorHAnsi" w:eastAsia="Times New Roman" w:hAnsiTheme="minorHAnsi" w:cstheme="minorHAnsi"/>
                <w:b/>
                <w:bCs/>
                <w:color w:val="000000"/>
                <w:lang w:bidi="ar-SA"/>
              </w:rPr>
            </w:pPr>
            <w:r w:rsidRPr="00252D7B">
              <w:rPr>
                <w:rFonts w:asciiTheme="minorHAnsi" w:eastAsia="Times New Roman" w:hAnsiTheme="minorHAnsi" w:cstheme="minorHAnsi"/>
                <w:b/>
                <w:bCs/>
                <w:color w:val="000000"/>
                <w:lang w:bidi="ar-SA"/>
              </w:rPr>
              <w:t xml:space="preserve">Atuam na </w:t>
            </w:r>
            <w:r w:rsidR="00610C91" w:rsidRPr="00252D7B">
              <w:rPr>
                <w:rFonts w:asciiTheme="minorHAnsi" w:eastAsia="Times New Roman" w:hAnsiTheme="minorHAnsi" w:cstheme="minorHAnsi"/>
                <w:b/>
                <w:bCs/>
                <w:color w:val="000000"/>
                <w:lang w:bidi="ar-SA"/>
              </w:rPr>
              <w:t>Valec</w:t>
            </w:r>
          </w:p>
        </w:tc>
        <w:tc>
          <w:tcPr>
            <w:tcW w:w="874" w:type="dxa"/>
            <w:shd w:val="clear" w:color="auto" w:fill="D9D9D9" w:themeFill="background1" w:themeFillShade="D9"/>
            <w:noWrap/>
            <w:vAlign w:val="center"/>
            <w:hideMark/>
          </w:tcPr>
          <w:p w14:paraId="64031B85" w14:textId="77777777" w:rsidR="00A41DBB" w:rsidRPr="00252D7B" w:rsidRDefault="00A41DBB" w:rsidP="00E03684">
            <w:pPr>
              <w:widowControl/>
              <w:autoSpaceDE/>
              <w:autoSpaceDN/>
              <w:jc w:val="center"/>
              <w:rPr>
                <w:rFonts w:asciiTheme="minorHAnsi" w:eastAsia="Times New Roman" w:hAnsiTheme="minorHAnsi" w:cstheme="minorHAnsi"/>
                <w:b/>
                <w:bCs/>
                <w:color w:val="000000"/>
                <w:lang w:bidi="ar-SA"/>
              </w:rPr>
            </w:pPr>
            <w:r w:rsidRPr="00252D7B">
              <w:rPr>
                <w:rFonts w:asciiTheme="minorHAnsi" w:eastAsia="Times New Roman" w:hAnsiTheme="minorHAnsi" w:cstheme="minorHAnsi"/>
                <w:b/>
                <w:bCs/>
                <w:color w:val="000000"/>
                <w:lang w:bidi="ar-SA"/>
              </w:rPr>
              <w:t>Cedidos</w:t>
            </w:r>
          </w:p>
        </w:tc>
        <w:tc>
          <w:tcPr>
            <w:tcW w:w="1389" w:type="dxa"/>
            <w:tcBorders>
              <w:right w:val="nil"/>
            </w:tcBorders>
            <w:shd w:val="clear" w:color="auto" w:fill="D9D9D9" w:themeFill="background1" w:themeFillShade="D9"/>
            <w:noWrap/>
            <w:vAlign w:val="center"/>
            <w:hideMark/>
          </w:tcPr>
          <w:p w14:paraId="6643B56D" w14:textId="77777777" w:rsidR="00A41DBB" w:rsidRPr="00252D7B" w:rsidRDefault="00A41DBB" w:rsidP="00E03684">
            <w:pPr>
              <w:widowControl/>
              <w:autoSpaceDE/>
              <w:autoSpaceDN/>
              <w:jc w:val="center"/>
              <w:rPr>
                <w:rFonts w:asciiTheme="minorHAnsi" w:eastAsia="Times New Roman" w:hAnsiTheme="minorHAnsi" w:cstheme="minorHAnsi"/>
                <w:b/>
                <w:bCs/>
                <w:color w:val="000000"/>
                <w:lang w:bidi="ar-SA"/>
              </w:rPr>
            </w:pPr>
            <w:r w:rsidRPr="00252D7B">
              <w:rPr>
                <w:rFonts w:asciiTheme="minorHAnsi" w:eastAsia="Times New Roman" w:hAnsiTheme="minorHAnsi" w:cstheme="minorHAnsi"/>
                <w:b/>
                <w:bCs/>
                <w:color w:val="000000"/>
                <w:lang w:bidi="ar-SA"/>
              </w:rPr>
              <w:t>Total Geral</w:t>
            </w:r>
          </w:p>
        </w:tc>
      </w:tr>
      <w:tr w:rsidR="00A41DBB" w:rsidRPr="00252D7B" w14:paraId="37C489B4" w14:textId="77777777" w:rsidTr="00E03684">
        <w:trPr>
          <w:trHeight w:val="270"/>
          <w:jc w:val="center"/>
        </w:trPr>
        <w:tc>
          <w:tcPr>
            <w:tcW w:w="2267" w:type="dxa"/>
            <w:tcBorders>
              <w:left w:val="nil"/>
            </w:tcBorders>
            <w:noWrap/>
            <w:hideMark/>
          </w:tcPr>
          <w:p w14:paraId="1D75DF1C" w14:textId="77777777" w:rsidR="00A41DBB" w:rsidRPr="00252D7B" w:rsidRDefault="00A41DBB" w:rsidP="00543785">
            <w:pPr>
              <w:widowControl/>
              <w:autoSpaceDE/>
              <w:autoSpaceDN/>
              <w:spacing w:before="100" w:beforeAutospacing="1" w:after="100" w:afterAutospacing="1"/>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Nenhuma</w:t>
            </w:r>
          </w:p>
        </w:tc>
        <w:tc>
          <w:tcPr>
            <w:tcW w:w="1135" w:type="dxa"/>
            <w:noWrap/>
            <w:vAlign w:val="center"/>
            <w:hideMark/>
          </w:tcPr>
          <w:p w14:paraId="4DFD014C" w14:textId="77777777" w:rsidR="00A41DBB" w:rsidRPr="00252D7B" w:rsidRDefault="00A41DBB" w:rsidP="00E03684">
            <w:pPr>
              <w:widowControl/>
              <w:autoSpaceDE/>
              <w:autoSpaceDN/>
              <w:spacing w:before="100" w:beforeAutospacing="1" w:after="100" w:afterAutospacing="1"/>
              <w:jc w:val="center"/>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313</w:t>
            </w:r>
          </w:p>
        </w:tc>
        <w:tc>
          <w:tcPr>
            <w:tcW w:w="874" w:type="dxa"/>
            <w:noWrap/>
            <w:vAlign w:val="center"/>
            <w:hideMark/>
          </w:tcPr>
          <w:p w14:paraId="7E27AF6D" w14:textId="77777777" w:rsidR="00A41DBB" w:rsidRPr="00252D7B" w:rsidRDefault="00A41DBB" w:rsidP="00E03684">
            <w:pPr>
              <w:widowControl/>
              <w:autoSpaceDE/>
              <w:autoSpaceDN/>
              <w:spacing w:before="100" w:beforeAutospacing="1" w:after="100" w:afterAutospacing="1"/>
              <w:jc w:val="center"/>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292</w:t>
            </w:r>
          </w:p>
        </w:tc>
        <w:tc>
          <w:tcPr>
            <w:tcW w:w="1389" w:type="dxa"/>
            <w:tcBorders>
              <w:right w:val="nil"/>
            </w:tcBorders>
            <w:noWrap/>
            <w:vAlign w:val="center"/>
            <w:hideMark/>
          </w:tcPr>
          <w:p w14:paraId="5381DB3D" w14:textId="77777777" w:rsidR="00A41DBB" w:rsidRPr="00252D7B" w:rsidRDefault="00A41DBB" w:rsidP="00E03684">
            <w:pPr>
              <w:widowControl/>
              <w:autoSpaceDE/>
              <w:autoSpaceDN/>
              <w:spacing w:before="100" w:beforeAutospacing="1" w:after="100" w:afterAutospacing="1"/>
              <w:jc w:val="center"/>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605</w:t>
            </w:r>
          </w:p>
        </w:tc>
      </w:tr>
      <w:tr w:rsidR="00A41DBB" w:rsidRPr="00252D7B" w14:paraId="3A4AFE1F" w14:textId="77777777" w:rsidTr="00E03684">
        <w:trPr>
          <w:trHeight w:val="315"/>
          <w:jc w:val="center"/>
        </w:trPr>
        <w:tc>
          <w:tcPr>
            <w:tcW w:w="2267" w:type="dxa"/>
            <w:tcBorders>
              <w:left w:val="nil"/>
            </w:tcBorders>
            <w:noWrap/>
            <w:hideMark/>
          </w:tcPr>
          <w:p w14:paraId="09E3905E" w14:textId="77777777" w:rsidR="00A41DBB" w:rsidRPr="00252D7B" w:rsidRDefault="00A41DBB" w:rsidP="00543785">
            <w:pPr>
              <w:widowControl/>
              <w:autoSpaceDE/>
              <w:autoSpaceDN/>
              <w:spacing w:before="100" w:beforeAutospacing="1" w:after="100" w:afterAutospacing="1"/>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Auditiva</w:t>
            </w:r>
          </w:p>
        </w:tc>
        <w:tc>
          <w:tcPr>
            <w:tcW w:w="1135" w:type="dxa"/>
            <w:noWrap/>
            <w:vAlign w:val="center"/>
            <w:hideMark/>
          </w:tcPr>
          <w:p w14:paraId="7A260EAE" w14:textId="77777777" w:rsidR="00A41DBB" w:rsidRPr="00252D7B" w:rsidRDefault="00A41DBB" w:rsidP="00E03684">
            <w:pPr>
              <w:widowControl/>
              <w:autoSpaceDE/>
              <w:autoSpaceDN/>
              <w:spacing w:before="100" w:beforeAutospacing="1" w:after="100" w:afterAutospacing="1"/>
              <w:jc w:val="center"/>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1</w:t>
            </w:r>
          </w:p>
        </w:tc>
        <w:tc>
          <w:tcPr>
            <w:tcW w:w="874" w:type="dxa"/>
            <w:noWrap/>
            <w:vAlign w:val="center"/>
            <w:hideMark/>
          </w:tcPr>
          <w:p w14:paraId="210E33AE" w14:textId="77777777" w:rsidR="00A41DBB" w:rsidRPr="00252D7B" w:rsidRDefault="00A41DBB" w:rsidP="00E03684">
            <w:pPr>
              <w:widowControl/>
              <w:autoSpaceDE/>
              <w:autoSpaceDN/>
              <w:spacing w:before="100" w:beforeAutospacing="1" w:after="100" w:afterAutospacing="1"/>
              <w:jc w:val="center"/>
              <w:rPr>
                <w:rFonts w:asciiTheme="minorHAnsi" w:eastAsia="Times New Roman" w:hAnsiTheme="minorHAnsi" w:cstheme="minorHAnsi"/>
                <w:color w:val="000000"/>
                <w:lang w:bidi="ar-SA"/>
              </w:rPr>
            </w:pPr>
          </w:p>
        </w:tc>
        <w:tc>
          <w:tcPr>
            <w:tcW w:w="1389" w:type="dxa"/>
            <w:tcBorders>
              <w:right w:val="nil"/>
            </w:tcBorders>
            <w:noWrap/>
            <w:vAlign w:val="center"/>
            <w:hideMark/>
          </w:tcPr>
          <w:p w14:paraId="38E16776" w14:textId="77777777" w:rsidR="00A41DBB" w:rsidRPr="00252D7B" w:rsidRDefault="00A41DBB" w:rsidP="00E03684">
            <w:pPr>
              <w:widowControl/>
              <w:autoSpaceDE/>
              <w:autoSpaceDN/>
              <w:spacing w:before="100" w:beforeAutospacing="1" w:after="100" w:afterAutospacing="1"/>
              <w:jc w:val="center"/>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1</w:t>
            </w:r>
          </w:p>
        </w:tc>
      </w:tr>
      <w:tr w:rsidR="00A41DBB" w:rsidRPr="00252D7B" w14:paraId="4944D391" w14:textId="77777777" w:rsidTr="00E03684">
        <w:trPr>
          <w:trHeight w:val="270"/>
          <w:jc w:val="center"/>
        </w:trPr>
        <w:tc>
          <w:tcPr>
            <w:tcW w:w="2267" w:type="dxa"/>
            <w:tcBorders>
              <w:left w:val="nil"/>
            </w:tcBorders>
            <w:noWrap/>
            <w:hideMark/>
          </w:tcPr>
          <w:p w14:paraId="6A03C672" w14:textId="77777777" w:rsidR="00A41DBB" w:rsidRPr="00252D7B" w:rsidRDefault="00A41DBB" w:rsidP="00543785">
            <w:pPr>
              <w:widowControl/>
              <w:autoSpaceDE/>
              <w:autoSpaceDN/>
              <w:spacing w:before="100" w:beforeAutospacing="1" w:after="100" w:afterAutospacing="1"/>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Física</w:t>
            </w:r>
          </w:p>
        </w:tc>
        <w:tc>
          <w:tcPr>
            <w:tcW w:w="1135" w:type="dxa"/>
            <w:noWrap/>
            <w:vAlign w:val="center"/>
            <w:hideMark/>
          </w:tcPr>
          <w:p w14:paraId="2DE105CA" w14:textId="77777777" w:rsidR="00A41DBB" w:rsidRPr="00252D7B" w:rsidRDefault="00A41DBB" w:rsidP="00E03684">
            <w:pPr>
              <w:widowControl/>
              <w:autoSpaceDE/>
              <w:autoSpaceDN/>
              <w:spacing w:before="100" w:beforeAutospacing="1" w:after="100" w:afterAutospacing="1"/>
              <w:jc w:val="center"/>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9</w:t>
            </w:r>
          </w:p>
        </w:tc>
        <w:tc>
          <w:tcPr>
            <w:tcW w:w="874" w:type="dxa"/>
            <w:noWrap/>
            <w:vAlign w:val="center"/>
            <w:hideMark/>
          </w:tcPr>
          <w:p w14:paraId="2CA7F252" w14:textId="77777777" w:rsidR="00A41DBB" w:rsidRPr="00252D7B" w:rsidRDefault="00A41DBB" w:rsidP="00E03684">
            <w:pPr>
              <w:widowControl/>
              <w:autoSpaceDE/>
              <w:autoSpaceDN/>
              <w:spacing w:before="100" w:beforeAutospacing="1" w:after="100" w:afterAutospacing="1"/>
              <w:jc w:val="center"/>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2</w:t>
            </w:r>
          </w:p>
        </w:tc>
        <w:tc>
          <w:tcPr>
            <w:tcW w:w="1389" w:type="dxa"/>
            <w:tcBorders>
              <w:right w:val="nil"/>
            </w:tcBorders>
            <w:noWrap/>
            <w:vAlign w:val="center"/>
            <w:hideMark/>
          </w:tcPr>
          <w:p w14:paraId="420808C2" w14:textId="77777777" w:rsidR="00A41DBB" w:rsidRPr="00252D7B" w:rsidRDefault="00A41DBB" w:rsidP="00E03684">
            <w:pPr>
              <w:widowControl/>
              <w:autoSpaceDE/>
              <w:autoSpaceDN/>
              <w:spacing w:before="100" w:beforeAutospacing="1" w:after="100" w:afterAutospacing="1"/>
              <w:jc w:val="center"/>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11</w:t>
            </w:r>
          </w:p>
        </w:tc>
      </w:tr>
      <w:tr w:rsidR="00A41DBB" w:rsidRPr="00252D7B" w14:paraId="3855CCD2" w14:textId="77777777" w:rsidTr="00E03684">
        <w:trPr>
          <w:trHeight w:val="270"/>
          <w:jc w:val="center"/>
        </w:trPr>
        <w:tc>
          <w:tcPr>
            <w:tcW w:w="2267" w:type="dxa"/>
            <w:tcBorders>
              <w:left w:val="nil"/>
            </w:tcBorders>
            <w:noWrap/>
            <w:hideMark/>
          </w:tcPr>
          <w:p w14:paraId="70753A63" w14:textId="77777777" w:rsidR="00A41DBB" w:rsidRPr="00252D7B" w:rsidRDefault="00A41DBB" w:rsidP="00543785">
            <w:pPr>
              <w:widowControl/>
              <w:autoSpaceDE/>
              <w:autoSpaceDN/>
              <w:spacing w:before="100" w:beforeAutospacing="1" w:after="100" w:afterAutospacing="1"/>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Visual</w:t>
            </w:r>
          </w:p>
        </w:tc>
        <w:tc>
          <w:tcPr>
            <w:tcW w:w="1135" w:type="dxa"/>
            <w:noWrap/>
            <w:vAlign w:val="center"/>
            <w:hideMark/>
          </w:tcPr>
          <w:p w14:paraId="5C4DEA90" w14:textId="77777777" w:rsidR="00A41DBB" w:rsidRPr="00252D7B" w:rsidRDefault="00A41DBB" w:rsidP="00E03684">
            <w:pPr>
              <w:widowControl/>
              <w:autoSpaceDE/>
              <w:autoSpaceDN/>
              <w:spacing w:before="100" w:beforeAutospacing="1" w:after="100" w:afterAutospacing="1"/>
              <w:jc w:val="center"/>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1</w:t>
            </w:r>
          </w:p>
        </w:tc>
        <w:tc>
          <w:tcPr>
            <w:tcW w:w="874" w:type="dxa"/>
            <w:noWrap/>
            <w:vAlign w:val="center"/>
            <w:hideMark/>
          </w:tcPr>
          <w:p w14:paraId="342C873B" w14:textId="77777777" w:rsidR="00A41DBB" w:rsidRPr="00252D7B" w:rsidRDefault="00A41DBB" w:rsidP="00E03684">
            <w:pPr>
              <w:widowControl/>
              <w:autoSpaceDE/>
              <w:autoSpaceDN/>
              <w:spacing w:before="100" w:beforeAutospacing="1" w:after="100" w:afterAutospacing="1"/>
              <w:jc w:val="center"/>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1</w:t>
            </w:r>
          </w:p>
        </w:tc>
        <w:tc>
          <w:tcPr>
            <w:tcW w:w="1389" w:type="dxa"/>
            <w:tcBorders>
              <w:right w:val="nil"/>
            </w:tcBorders>
            <w:noWrap/>
            <w:vAlign w:val="center"/>
            <w:hideMark/>
          </w:tcPr>
          <w:p w14:paraId="2B4CB202" w14:textId="77777777" w:rsidR="00A41DBB" w:rsidRPr="00252D7B" w:rsidRDefault="00A41DBB" w:rsidP="00E03684">
            <w:pPr>
              <w:widowControl/>
              <w:autoSpaceDE/>
              <w:autoSpaceDN/>
              <w:spacing w:before="100" w:beforeAutospacing="1" w:after="100" w:afterAutospacing="1"/>
              <w:jc w:val="center"/>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2</w:t>
            </w:r>
          </w:p>
        </w:tc>
      </w:tr>
      <w:tr w:rsidR="00A41DBB" w:rsidRPr="00252D7B" w14:paraId="798D75EB" w14:textId="77777777" w:rsidTr="00E03684">
        <w:trPr>
          <w:trHeight w:val="270"/>
          <w:jc w:val="center"/>
        </w:trPr>
        <w:tc>
          <w:tcPr>
            <w:tcW w:w="2267" w:type="dxa"/>
            <w:tcBorders>
              <w:left w:val="nil"/>
            </w:tcBorders>
            <w:noWrap/>
            <w:hideMark/>
          </w:tcPr>
          <w:p w14:paraId="4E9F62D0" w14:textId="77777777" w:rsidR="00A41DBB" w:rsidRPr="00252D7B" w:rsidRDefault="00A41DBB" w:rsidP="00543785">
            <w:pPr>
              <w:widowControl/>
              <w:autoSpaceDE/>
              <w:autoSpaceDN/>
              <w:spacing w:before="100" w:beforeAutospacing="1" w:after="100" w:afterAutospacing="1"/>
              <w:rPr>
                <w:rFonts w:asciiTheme="minorHAnsi" w:eastAsia="Times New Roman" w:hAnsiTheme="minorHAnsi" w:cstheme="minorHAnsi"/>
                <w:b/>
                <w:bCs/>
                <w:color w:val="000000"/>
                <w:lang w:bidi="ar-SA"/>
              </w:rPr>
            </w:pPr>
            <w:r w:rsidRPr="00252D7B">
              <w:rPr>
                <w:rFonts w:asciiTheme="minorHAnsi" w:eastAsia="Times New Roman" w:hAnsiTheme="minorHAnsi" w:cstheme="minorHAnsi"/>
                <w:b/>
                <w:bCs/>
                <w:color w:val="000000"/>
                <w:lang w:bidi="ar-SA"/>
              </w:rPr>
              <w:t>Total Geral</w:t>
            </w:r>
          </w:p>
        </w:tc>
        <w:tc>
          <w:tcPr>
            <w:tcW w:w="1135" w:type="dxa"/>
            <w:noWrap/>
            <w:vAlign w:val="center"/>
            <w:hideMark/>
          </w:tcPr>
          <w:p w14:paraId="539EAD30" w14:textId="77777777" w:rsidR="00A41DBB" w:rsidRPr="00252D7B" w:rsidRDefault="00A41DBB" w:rsidP="00E03684">
            <w:pPr>
              <w:widowControl/>
              <w:autoSpaceDE/>
              <w:autoSpaceDN/>
              <w:spacing w:before="100" w:beforeAutospacing="1" w:after="100" w:afterAutospacing="1"/>
              <w:jc w:val="center"/>
              <w:rPr>
                <w:rFonts w:asciiTheme="minorHAnsi" w:eastAsia="Times New Roman" w:hAnsiTheme="minorHAnsi" w:cstheme="minorHAnsi"/>
                <w:b/>
                <w:bCs/>
                <w:color w:val="000000"/>
                <w:lang w:bidi="ar-SA"/>
              </w:rPr>
            </w:pPr>
            <w:r w:rsidRPr="00252D7B">
              <w:rPr>
                <w:rFonts w:asciiTheme="minorHAnsi" w:eastAsia="Times New Roman" w:hAnsiTheme="minorHAnsi" w:cstheme="minorHAnsi"/>
                <w:b/>
                <w:bCs/>
                <w:color w:val="000000"/>
                <w:lang w:bidi="ar-SA"/>
              </w:rPr>
              <w:t>324</w:t>
            </w:r>
          </w:p>
        </w:tc>
        <w:tc>
          <w:tcPr>
            <w:tcW w:w="874" w:type="dxa"/>
            <w:noWrap/>
            <w:vAlign w:val="center"/>
            <w:hideMark/>
          </w:tcPr>
          <w:p w14:paraId="0966EC4C" w14:textId="77777777" w:rsidR="00A41DBB" w:rsidRPr="00252D7B" w:rsidRDefault="00A41DBB" w:rsidP="00E03684">
            <w:pPr>
              <w:widowControl/>
              <w:autoSpaceDE/>
              <w:autoSpaceDN/>
              <w:spacing w:before="100" w:beforeAutospacing="1" w:after="100" w:afterAutospacing="1"/>
              <w:jc w:val="center"/>
              <w:rPr>
                <w:rFonts w:asciiTheme="minorHAnsi" w:eastAsia="Times New Roman" w:hAnsiTheme="minorHAnsi" w:cstheme="minorHAnsi"/>
                <w:b/>
                <w:bCs/>
                <w:color w:val="000000"/>
                <w:lang w:bidi="ar-SA"/>
              </w:rPr>
            </w:pPr>
            <w:r w:rsidRPr="00252D7B">
              <w:rPr>
                <w:rFonts w:asciiTheme="minorHAnsi" w:eastAsia="Times New Roman" w:hAnsiTheme="minorHAnsi" w:cstheme="minorHAnsi"/>
                <w:b/>
                <w:bCs/>
                <w:color w:val="000000"/>
                <w:lang w:bidi="ar-SA"/>
              </w:rPr>
              <w:t>295</w:t>
            </w:r>
          </w:p>
        </w:tc>
        <w:tc>
          <w:tcPr>
            <w:tcW w:w="1389" w:type="dxa"/>
            <w:tcBorders>
              <w:right w:val="nil"/>
            </w:tcBorders>
            <w:noWrap/>
            <w:vAlign w:val="center"/>
            <w:hideMark/>
          </w:tcPr>
          <w:p w14:paraId="4C83DBA0" w14:textId="77777777" w:rsidR="00A41DBB" w:rsidRPr="00252D7B" w:rsidRDefault="00A41DBB" w:rsidP="00E03684">
            <w:pPr>
              <w:widowControl/>
              <w:autoSpaceDE/>
              <w:autoSpaceDN/>
              <w:spacing w:before="100" w:beforeAutospacing="1" w:after="100" w:afterAutospacing="1"/>
              <w:jc w:val="center"/>
              <w:rPr>
                <w:rFonts w:asciiTheme="minorHAnsi" w:eastAsia="Times New Roman" w:hAnsiTheme="minorHAnsi" w:cstheme="minorHAnsi"/>
                <w:b/>
                <w:bCs/>
                <w:color w:val="000000"/>
                <w:lang w:bidi="ar-SA"/>
              </w:rPr>
            </w:pPr>
            <w:r w:rsidRPr="00252D7B">
              <w:rPr>
                <w:rFonts w:asciiTheme="minorHAnsi" w:eastAsia="Times New Roman" w:hAnsiTheme="minorHAnsi" w:cstheme="minorHAnsi"/>
                <w:b/>
                <w:bCs/>
                <w:color w:val="000000"/>
                <w:lang w:bidi="ar-SA"/>
              </w:rPr>
              <w:t>619</w:t>
            </w:r>
          </w:p>
        </w:tc>
      </w:tr>
    </w:tbl>
    <w:p w14:paraId="4CC74238" w14:textId="7CE617F2" w:rsidR="00A41DBB" w:rsidRPr="00252D7B" w:rsidRDefault="00A41DBB" w:rsidP="00A41DBB">
      <w:pPr>
        <w:widowControl/>
        <w:autoSpaceDE/>
        <w:autoSpaceDN/>
        <w:spacing w:after="160" w:line="259" w:lineRule="auto"/>
        <w:rPr>
          <w:rFonts w:asciiTheme="minorHAnsi" w:hAnsiTheme="minorHAnsi" w:cstheme="minorHAnsi"/>
        </w:rPr>
      </w:pPr>
    </w:p>
    <w:p w14:paraId="3D2EBD99" w14:textId="77777777" w:rsidR="00A41DBB" w:rsidRPr="00252D7B" w:rsidRDefault="00A41DBB" w:rsidP="00A41DBB">
      <w:pPr>
        <w:pStyle w:val="Ttulo4"/>
        <w:spacing w:before="120"/>
        <w:rPr>
          <w:rFonts w:asciiTheme="minorHAnsi" w:hAnsiTheme="minorHAnsi" w:cstheme="minorHAnsi"/>
        </w:rPr>
      </w:pPr>
      <w:bookmarkStart w:id="273" w:name="_Toc97215833"/>
      <w:bookmarkStart w:id="274" w:name="_Toc103680558"/>
      <w:r w:rsidRPr="00252D7B">
        <w:rPr>
          <w:rFonts w:asciiTheme="minorHAnsi" w:hAnsiTheme="minorHAnsi" w:cstheme="minorHAnsi"/>
        </w:rPr>
        <w:t>Por etnia</w:t>
      </w:r>
      <w:bookmarkEnd w:id="270"/>
      <w:bookmarkEnd w:id="271"/>
      <w:bookmarkEnd w:id="273"/>
      <w:bookmarkEnd w:id="274"/>
    </w:p>
    <w:p w14:paraId="452C6734" w14:textId="5433B10E" w:rsidR="00A41DBB" w:rsidRPr="00252D7B" w:rsidRDefault="00A41DBB" w:rsidP="00A41DBB">
      <w:pPr>
        <w:pStyle w:val="Legenda"/>
        <w:keepNext/>
        <w:spacing w:before="120" w:after="120"/>
        <w:jc w:val="center"/>
        <w:rPr>
          <w:rFonts w:asciiTheme="minorHAnsi" w:hAnsiTheme="minorHAnsi" w:cstheme="minorHAnsi"/>
          <w:sz w:val="20"/>
          <w:szCs w:val="20"/>
        </w:rPr>
      </w:pPr>
      <w:bookmarkStart w:id="275" w:name="_Toc103680774"/>
      <w:r w:rsidRPr="00252D7B">
        <w:rPr>
          <w:rFonts w:asciiTheme="minorHAnsi" w:hAnsiTheme="minorHAnsi" w:cstheme="minorHAnsi"/>
          <w:sz w:val="20"/>
          <w:szCs w:val="20"/>
        </w:rPr>
        <w:t xml:space="preserve">Gráfico </w:t>
      </w:r>
      <w:r w:rsidRPr="00252D7B">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Gráfico \* ARABIC </w:instrText>
      </w:r>
      <w:r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9</w:t>
      </w:r>
      <w:r w:rsidRPr="00252D7B">
        <w:rPr>
          <w:rFonts w:asciiTheme="minorHAnsi" w:hAnsiTheme="minorHAnsi" w:cstheme="minorHAnsi"/>
          <w:sz w:val="20"/>
          <w:szCs w:val="20"/>
        </w:rPr>
        <w:fldChar w:fldCharType="end"/>
      </w:r>
      <w:r w:rsidRPr="00252D7B">
        <w:rPr>
          <w:rFonts w:asciiTheme="minorHAnsi" w:hAnsiTheme="minorHAnsi" w:cstheme="minorHAnsi"/>
          <w:sz w:val="20"/>
          <w:szCs w:val="20"/>
        </w:rPr>
        <w:t xml:space="preserve"> – Distribuição de empregados </w:t>
      </w:r>
      <w:r w:rsidR="00FB7DD3">
        <w:rPr>
          <w:rFonts w:asciiTheme="minorHAnsi" w:hAnsiTheme="minorHAnsi" w:cstheme="minorHAnsi"/>
          <w:sz w:val="20"/>
          <w:szCs w:val="20"/>
        </w:rPr>
        <w:t>por etnia</w:t>
      </w:r>
      <w:bookmarkEnd w:id="275"/>
    </w:p>
    <w:p w14:paraId="538020D0" w14:textId="77777777" w:rsidR="00A41DBB" w:rsidRPr="00252D7B" w:rsidRDefault="00A41DBB" w:rsidP="00A41DBB">
      <w:pPr>
        <w:keepNext/>
        <w:spacing w:before="120" w:after="120"/>
        <w:jc w:val="center"/>
        <w:rPr>
          <w:rFonts w:asciiTheme="minorHAnsi" w:hAnsiTheme="minorHAnsi" w:cstheme="minorHAnsi"/>
        </w:rPr>
      </w:pPr>
      <w:bookmarkStart w:id="276" w:name="_Toc94012526"/>
      <w:bookmarkStart w:id="277" w:name="_Toc95830262"/>
      <w:r w:rsidRPr="00252D7B">
        <w:rPr>
          <w:rFonts w:asciiTheme="minorHAnsi" w:hAnsiTheme="minorHAnsi" w:cstheme="minorHAnsi"/>
          <w:noProof/>
        </w:rPr>
        <w:drawing>
          <wp:inline distT="0" distB="0" distL="0" distR="0" wp14:anchorId="043ECFA3" wp14:editId="78B0406E">
            <wp:extent cx="2585677" cy="2117023"/>
            <wp:effectExtent l="0" t="0" r="5715" b="0"/>
            <wp:docPr id="1130522002" name="Picture 1130522002" descr="Gráfico, Gráfico de explosão sola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522002" name="Picture 1130522002" descr="Gráfico, Gráfico de explosão solar&#10;&#10;Descrição gerada automaticamente"/>
                    <pic:cNvPicPr/>
                  </pic:nvPicPr>
                  <pic:blipFill>
                    <a:blip r:embed="rId71">
                      <a:extLst>
                        <a:ext uri="{28A0092B-C50C-407E-A947-70E740481C1C}">
                          <a14:useLocalDpi xmlns:a14="http://schemas.microsoft.com/office/drawing/2010/main" val="0"/>
                        </a:ext>
                      </a:extLst>
                    </a:blip>
                    <a:stretch>
                      <a:fillRect/>
                    </a:stretch>
                  </pic:blipFill>
                  <pic:spPr>
                    <a:xfrm>
                      <a:off x="0" y="0"/>
                      <a:ext cx="2597980" cy="2127096"/>
                    </a:xfrm>
                    <a:prstGeom prst="rect">
                      <a:avLst/>
                    </a:prstGeom>
                  </pic:spPr>
                </pic:pic>
              </a:graphicData>
            </a:graphic>
          </wp:inline>
        </w:drawing>
      </w:r>
    </w:p>
    <w:p w14:paraId="7A7ACB6E" w14:textId="22318D49" w:rsidR="00F541DF" w:rsidRPr="00252D7B" w:rsidRDefault="00F541DF">
      <w:pPr>
        <w:widowControl/>
        <w:autoSpaceDE/>
        <w:autoSpaceDN/>
        <w:spacing w:after="160" w:line="259" w:lineRule="auto"/>
        <w:rPr>
          <w:rFonts w:asciiTheme="minorHAnsi" w:hAnsiTheme="minorHAnsi" w:cstheme="minorHAnsi"/>
        </w:rPr>
      </w:pPr>
      <w:r w:rsidRPr="00252D7B">
        <w:rPr>
          <w:rFonts w:asciiTheme="minorHAnsi" w:hAnsiTheme="minorHAnsi" w:cstheme="minorHAnsi"/>
        </w:rPr>
        <w:br w:type="page"/>
      </w:r>
    </w:p>
    <w:p w14:paraId="0B3944C6" w14:textId="77777777" w:rsidR="00A41DBB" w:rsidRPr="00252D7B" w:rsidRDefault="00A41DBB" w:rsidP="00A41DBB">
      <w:pPr>
        <w:pStyle w:val="Ttulo4"/>
        <w:spacing w:before="120"/>
        <w:rPr>
          <w:rFonts w:asciiTheme="minorHAnsi" w:hAnsiTheme="minorHAnsi" w:cstheme="minorHAnsi"/>
        </w:rPr>
      </w:pPr>
      <w:bookmarkStart w:id="278" w:name="_Toc97215834"/>
      <w:bookmarkStart w:id="279" w:name="_Toc103680559"/>
      <w:r w:rsidRPr="00252D7B">
        <w:rPr>
          <w:rFonts w:asciiTheme="minorHAnsi" w:hAnsiTheme="minorHAnsi" w:cstheme="minorHAnsi"/>
        </w:rPr>
        <w:lastRenderedPageBreak/>
        <w:t>Por faixa etária</w:t>
      </w:r>
      <w:bookmarkEnd w:id="276"/>
      <w:bookmarkEnd w:id="277"/>
      <w:bookmarkEnd w:id="278"/>
      <w:bookmarkEnd w:id="279"/>
    </w:p>
    <w:p w14:paraId="0484AE0C" w14:textId="77777777" w:rsidR="00EB150C" w:rsidRPr="00252D7B" w:rsidRDefault="00EB150C" w:rsidP="00893F5A">
      <w:pPr>
        <w:rPr>
          <w:rFonts w:asciiTheme="minorHAnsi" w:hAnsiTheme="minorHAnsi" w:cstheme="minorHAnsi"/>
          <w:sz w:val="20"/>
          <w:szCs w:val="20"/>
        </w:rPr>
      </w:pPr>
    </w:p>
    <w:p w14:paraId="2F10108F" w14:textId="03735998" w:rsidR="00A41DBB" w:rsidRPr="00252D7B" w:rsidRDefault="00A41DBB" w:rsidP="00A41DBB">
      <w:pPr>
        <w:pStyle w:val="Legenda"/>
        <w:keepNext/>
        <w:spacing w:before="120" w:after="120"/>
        <w:jc w:val="center"/>
        <w:rPr>
          <w:rFonts w:asciiTheme="minorHAnsi" w:hAnsiTheme="minorHAnsi" w:cstheme="minorHAnsi"/>
          <w:sz w:val="20"/>
          <w:szCs w:val="20"/>
        </w:rPr>
      </w:pPr>
      <w:bookmarkStart w:id="280" w:name="_Toc103680775"/>
      <w:r w:rsidRPr="00252D7B">
        <w:rPr>
          <w:rFonts w:asciiTheme="minorHAnsi" w:hAnsiTheme="minorHAnsi" w:cstheme="minorHAnsi"/>
          <w:sz w:val="20"/>
          <w:szCs w:val="20"/>
        </w:rPr>
        <w:t xml:space="preserve">Gráfico </w:t>
      </w:r>
      <w:r w:rsidRPr="00252D7B">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Gráfico \* ARABIC </w:instrText>
      </w:r>
      <w:r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10</w:t>
      </w:r>
      <w:r w:rsidRPr="00252D7B">
        <w:rPr>
          <w:rFonts w:asciiTheme="minorHAnsi" w:hAnsiTheme="minorHAnsi" w:cstheme="minorHAnsi"/>
          <w:sz w:val="20"/>
          <w:szCs w:val="20"/>
        </w:rPr>
        <w:fldChar w:fldCharType="end"/>
      </w:r>
      <w:r w:rsidRPr="00252D7B">
        <w:rPr>
          <w:rFonts w:asciiTheme="minorHAnsi" w:hAnsiTheme="minorHAnsi" w:cstheme="minorHAnsi"/>
          <w:sz w:val="20"/>
          <w:szCs w:val="20"/>
        </w:rPr>
        <w:t xml:space="preserve"> – Faixa etária dos empregados atuantes na Valec</w:t>
      </w:r>
      <w:bookmarkEnd w:id="280"/>
    </w:p>
    <w:p w14:paraId="1658135F" w14:textId="77777777" w:rsidR="00A41DBB" w:rsidRPr="00252D7B" w:rsidRDefault="00A41DBB" w:rsidP="00A41DBB">
      <w:pPr>
        <w:spacing w:before="120" w:after="120"/>
        <w:jc w:val="center"/>
        <w:rPr>
          <w:rFonts w:asciiTheme="minorHAnsi" w:hAnsiTheme="minorHAnsi" w:cstheme="minorHAnsi"/>
          <w:b/>
        </w:rPr>
      </w:pPr>
      <w:bookmarkStart w:id="281" w:name="_Toc94012527"/>
      <w:bookmarkStart w:id="282" w:name="_Toc95830263"/>
      <w:r w:rsidRPr="00252D7B">
        <w:rPr>
          <w:rFonts w:asciiTheme="minorHAnsi" w:hAnsiTheme="minorHAnsi" w:cstheme="minorHAnsi"/>
          <w:noProof/>
        </w:rPr>
        <w:drawing>
          <wp:inline distT="0" distB="0" distL="0" distR="0" wp14:anchorId="1CA4C036" wp14:editId="776817F4">
            <wp:extent cx="3580476" cy="2150668"/>
            <wp:effectExtent l="0" t="0" r="1270" b="2540"/>
            <wp:docPr id="1130521993" name="Imagem 1130521993" descr="Gráfico, Gráfico de fun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descr="Gráfico, Gráfico de funil&#10;&#10;Descrição gerada automaticament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14972" cy="2171388"/>
                    </a:xfrm>
                    <a:prstGeom prst="rect">
                      <a:avLst/>
                    </a:prstGeom>
                    <a:noFill/>
                  </pic:spPr>
                </pic:pic>
              </a:graphicData>
            </a:graphic>
          </wp:inline>
        </w:drawing>
      </w:r>
      <w:r w:rsidRPr="00252D7B">
        <w:rPr>
          <w:rFonts w:asciiTheme="minorHAnsi" w:hAnsiTheme="minorHAnsi" w:cstheme="minorHAnsi"/>
          <w:b/>
        </w:rPr>
        <w:t>.</w:t>
      </w:r>
    </w:p>
    <w:p w14:paraId="151A2FD4" w14:textId="77777777" w:rsidR="00EB150C" w:rsidRPr="00252D7B" w:rsidRDefault="00EB150C" w:rsidP="00893F5A">
      <w:pPr>
        <w:rPr>
          <w:rFonts w:asciiTheme="minorHAnsi" w:hAnsiTheme="minorHAnsi" w:cstheme="minorHAnsi"/>
          <w:sz w:val="20"/>
          <w:szCs w:val="20"/>
        </w:rPr>
      </w:pPr>
    </w:p>
    <w:p w14:paraId="4BEBD9AF" w14:textId="6C5CA1ED" w:rsidR="00A41DBB" w:rsidRPr="00252D7B" w:rsidRDefault="00A41DBB" w:rsidP="00A41DBB">
      <w:pPr>
        <w:pStyle w:val="Legenda"/>
        <w:keepNext/>
        <w:spacing w:before="120" w:after="120"/>
        <w:jc w:val="center"/>
        <w:rPr>
          <w:rFonts w:asciiTheme="minorHAnsi" w:hAnsiTheme="minorHAnsi" w:cstheme="minorHAnsi"/>
          <w:sz w:val="20"/>
          <w:szCs w:val="20"/>
        </w:rPr>
      </w:pPr>
      <w:bookmarkStart w:id="283" w:name="_Toc103680776"/>
      <w:r w:rsidRPr="00252D7B">
        <w:rPr>
          <w:rFonts w:asciiTheme="minorHAnsi" w:hAnsiTheme="minorHAnsi" w:cstheme="minorHAnsi"/>
          <w:sz w:val="20"/>
          <w:szCs w:val="20"/>
        </w:rPr>
        <w:t xml:space="preserve">Gráfico </w:t>
      </w:r>
      <w:r w:rsidRPr="00252D7B">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Gráfico \* ARABIC </w:instrText>
      </w:r>
      <w:r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11</w:t>
      </w:r>
      <w:r w:rsidRPr="00252D7B">
        <w:rPr>
          <w:rFonts w:asciiTheme="minorHAnsi" w:hAnsiTheme="minorHAnsi" w:cstheme="minorHAnsi"/>
          <w:sz w:val="20"/>
          <w:szCs w:val="20"/>
        </w:rPr>
        <w:fldChar w:fldCharType="end"/>
      </w:r>
      <w:r w:rsidRPr="00252D7B">
        <w:rPr>
          <w:rFonts w:asciiTheme="minorHAnsi" w:hAnsiTheme="minorHAnsi" w:cstheme="minorHAnsi"/>
          <w:sz w:val="20"/>
          <w:szCs w:val="20"/>
        </w:rPr>
        <w:t xml:space="preserve"> – Faixa etária dos empregados cedidos</w:t>
      </w:r>
      <w:bookmarkEnd w:id="283"/>
    </w:p>
    <w:p w14:paraId="320AF4ED" w14:textId="65A12F54" w:rsidR="00F541DF" w:rsidRPr="00252D7B" w:rsidRDefault="00A41DBB" w:rsidP="00A41DBB">
      <w:pPr>
        <w:spacing w:before="120" w:after="120"/>
        <w:jc w:val="center"/>
        <w:rPr>
          <w:rFonts w:asciiTheme="minorHAnsi" w:hAnsiTheme="minorHAnsi" w:cstheme="minorHAnsi"/>
        </w:rPr>
      </w:pPr>
      <w:r w:rsidRPr="00252D7B">
        <w:rPr>
          <w:rFonts w:asciiTheme="minorHAnsi" w:hAnsiTheme="minorHAnsi" w:cstheme="minorHAnsi"/>
          <w:noProof/>
          <w:sz w:val="20"/>
          <w:szCs w:val="20"/>
        </w:rPr>
        <w:drawing>
          <wp:inline distT="0" distB="0" distL="0" distR="0" wp14:anchorId="6A4A81D1" wp14:editId="47630D43">
            <wp:extent cx="3983542" cy="2392776"/>
            <wp:effectExtent l="0" t="0" r="0" b="7620"/>
            <wp:docPr id="1130521994" name="Imagem 1130521994" descr="Gráfico, Gráfico de fun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Gráfico, Gráfico de funil&#10;&#10;Descrição gerada automaticament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91857" cy="2397771"/>
                    </a:xfrm>
                    <a:prstGeom prst="rect">
                      <a:avLst/>
                    </a:prstGeom>
                    <a:noFill/>
                  </pic:spPr>
                </pic:pic>
              </a:graphicData>
            </a:graphic>
          </wp:inline>
        </w:drawing>
      </w:r>
    </w:p>
    <w:p w14:paraId="73A1A2F9" w14:textId="77777777" w:rsidR="00F541DF" w:rsidRPr="00252D7B" w:rsidRDefault="00F541DF">
      <w:pPr>
        <w:widowControl/>
        <w:autoSpaceDE/>
        <w:autoSpaceDN/>
        <w:spacing w:after="160" w:line="259" w:lineRule="auto"/>
        <w:rPr>
          <w:rFonts w:asciiTheme="minorHAnsi" w:hAnsiTheme="minorHAnsi" w:cstheme="minorHAnsi"/>
        </w:rPr>
      </w:pPr>
      <w:r w:rsidRPr="00252D7B">
        <w:rPr>
          <w:rFonts w:asciiTheme="minorHAnsi" w:hAnsiTheme="minorHAnsi" w:cstheme="minorHAnsi"/>
        </w:rPr>
        <w:br w:type="page"/>
      </w:r>
    </w:p>
    <w:p w14:paraId="041CE789" w14:textId="77777777" w:rsidR="00A41DBB" w:rsidRPr="00252D7B" w:rsidRDefault="00A41DBB" w:rsidP="00A41DBB">
      <w:pPr>
        <w:pStyle w:val="Ttulo4"/>
        <w:spacing w:before="120"/>
        <w:rPr>
          <w:rFonts w:asciiTheme="minorHAnsi" w:hAnsiTheme="minorHAnsi" w:cstheme="minorHAnsi"/>
        </w:rPr>
      </w:pPr>
      <w:bookmarkStart w:id="284" w:name="_Toc97215835"/>
      <w:bookmarkStart w:id="285" w:name="_Toc103680560"/>
      <w:r w:rsidRPr="00252D7B">
        <w:rPr>
          <w:rFonts w:asciiTheme="minorHAnsi" w:hAnsiTheme="minorHAnsi" w:cstheme="minorHAnsi"/>
        </w:rPr>
        <w:lastRenderedPageBreak/>
        <w:t>Por situação funcional</w:t>
      </w:r>
      <w:bookmarkEnd w:id="281"/>
      <w:bookmarkEnd w:id="282"/>
      <w:r w:rsidRPr="00252D7B">
        <w:rPr>
          <w:rFonts w:asciiTheme="minorHAnsi" w:hAnsiTheme="minorHAnsi" w:cstheme="minorHAnsi"/>
        </w:rPr>
        <w:t xml:space="preserve"> e por carreira</w:t>
      </w:r>
      <w:bookmarkEnd w:id="284"/>
      <w:bookmarkEnd w:id="285"/>
    </w:p>
    <w:p w14:paraId="0103304C" w14:textId="77777777" w:rsidR="00EB150C" w:rsidRPr="00252D7B" w:rsidRDefault="00EB150C" w:rsidP="00893F5A">
      <w:pPr>
        <w:rPr>
          <w:rFonts w:asciiTheme="minorHAnsi" w:hAnsiTheme="minorHAnsi" w:cstheme="minorHAnsi"/>
          <w:sz w:val="20"/>
          <w:szCs w:val="20"/>
        </w:rPr>
      </w:pPr>
    </w:p>
    <w:p w14:paraId="63EB31DB" w14:textId="7C4465B4" w:rsidR="00A41DBB" w:rsidRPr="00252D7B" w:rsidRDefault="00A41DBB" w:rsidP="00A41DBB">
      <w:pPr>
        <w:pStyle w:val="Legenda"/>
        <w:spacing w:before="120" w:after="120"/>
        <w:jc w:val="center"/>
        <w:rPr>
          <w:rFonts w:asciiTheme="minorHAnsi" w:hAnsiTheme="minorHAnsi" w:cstheme="minorHAnsi"/>
          <w:sz w:val="20"/>
          <w:szCs w:val="20"/>
        </w:rPr>
      </w:pPr>
      <w:bookmarkStart w:id="286" w:name="_Toc103680675"/>
      <w:r w:rsidRPr="00252D7B">
        <w:rPr>
          <w:rFonts w:asciiTheme="minorHAnsi" w:hAnsiTheme="minorHAnsi" w:cstheme="minorHAnsi"/>
          <w:sz w:val="20"/>
          <w:szCs w:val="20"/>
        </w:rPr>
        <w:t xml:space="preserve">Tabela </w:t>
      </w:r>
      <w:r w:rsidRPr="00252D7B">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Tabela \* ARABIC </w:instrText>
      </w:r>
      <w:r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13</w:t>
      </w:r>
      <w:r w:rsidRPr="00252D7B">
        <w:rPr>
          <w:rFonts w:asciiTheme="minorHAnsi" w:hAnsiTheme="minorHAnsi" w:cstheme="minorHAnsi"/>
          <w:sz w:val="20"/>
          <w:szCs w:val="20"/>
        </w:rPr>
        <w:fldChar w:fldCharType="end"/>
      </w:r>
      <w:r w:rsidRPr="00252D7B">
        <w:rPr>
          <w:rFonts w:asciiTheme="minorHAnsi" w:hAnsiTheme="minorHAnsi" w:cstheme="minorHAnsi"/>
          <w:sz w:val="20"/>
          <w:szCs w:val="20"/>
        </w:rPr>
        <w:t xml:space="preserve"> – Distribuição dos empregados por situação funcional e por carreira</w:t>
      </w:r>
      <w:bookmarkEnd w:id="286"/>
    </w:p>
    <w:p w14:paraId="50E49C83" w14:textId="77777777" w:rsidR="00A41DBB" w:rsidRPr="00252D7B" w:rsidRDefault="00A41DBB" w:rsidP="00A41DBB">
      <w:pPr>
        <w:spacing w:before="120" w:after="120"/>
        <w:jc w:val="center"/>
        <w:rPr>
          <w:rFonts w:asciiTheme="minorHAnsi" w:hAnsiTheme="minorHAnsi" w:cstheme="minorHAnsi"/>
        </w:rPr>
      </w:pPr>
      <w:bookmarkStart w:id="287" w:name="_Toc95830264"/>
      <w:r w:rsidRPr="00252D7B">
        <w:rPr>
          <w:rFonts w:asciiTheme="minorHAnsi" w:hAnsiTheme="minorHAnsi" w:cstheme="minorHAnsi"/>
          <w:noProof/>
        </w:rPr>
        <w:drawing>
          <wp:inline distT="0" distB="0" distL="0" distR="0" wp14:anchorId="3E00911E" wp14:editId="375B42D6">
            <wp:extent cx="6169548" cy="2999232"/>
            <wp:effectExtent l="0" t="0" r="3175" b="0"/>
            <wp:docPr id="1130521995" name="Imagem 1130521995" descr="Uma imagem contend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Uma imagem contendo Tabela&#10;&#10;Descrição gerada automaticament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22117" cy="3024788"/>
                    </a:xfrm>
                    <a:prstGeom prst="rect">
                      <a:avLst/>
                    </a:prstGeom>
                    <a:noFill/>
                    <a:ln>
                      <a:noFill/>
                    </a:ln>
                  </pic:spPr>
                </pic:pic>
              </a:graphicData>
            </a:graphic>
          </wp:inline>
        </w:drawing>
      </w:r>
    </w:p>
    <w:p w14:paraId="6D553464" w14:textId="77777777" w:rsidR="00A41DBB" w:rsidRPr="00252D7B" w:rsidRDefault="00A41DBB" w:rsidP="00A41DBB">
      <w:pPr>
        <w:spacing w:before="120" w:after="120"/>
        <w:rPr>
          <w:rFonts w:asciiTheme="minorHAnsi" w:hAnsiTheme="minorHAnsi" w:cstheme="minorHAnsi"/>
        </w:rPr>
      </w:pPr>
      <w:bookmarkStart w:id="288" w:name="_Toc95830265"/>
      <w:bookmarkEnd w:id="287"/>
    </w:p>
    <w:p w14:paraId="78C7C242" w14:textId="77777777" w:rsidR="00A41DBB" w:rsidRPr="00252D7B" w:rsidRDefault="00A41DBB" w:rsidP="00A41DBB">
      <w:pPr>
        <w:pStyle w:val="Ttulo4"/>
        <w:spacing w:before="120"/>
        <w:rPr>
          <w:rFonts w:asciiTheme="minorHAnsi" w:hAnsiTheme="minorHAnsi" w:cstheme="minorHAnsi"/>
        </w:rPr>
      </w:pPr>
      <w:bookmarkStart w:id="289" w:name="_Toc97215836"/>
      <w:bookmarkStart w:id="290" w:name="_Toc103680561"/>
      <w:r w:rsidRPr="00252D7B">
        <w:rPr>
          <w:rFonts w:asciiTheme="minorHAnsi" w:hAnsiTheme="minorHAnsi" w:cstheme="minorHAnsi"/>
        </w:rPr>
        <w:t>Por local de trabalho</w:t>
      </w:r>
      <w:bookmarkEnd w:id="288"/>
      <w:bookmarkEnd w:id="289"/>
      <w:bookmarkEnd w:id="290"/>
    </w:p>
    <w:p w14:paraId="22744767" w14:textId="77777777" w:rsidR="00A41DBB" w:rsidRPr="00252D7B" w:rsidRDefault="00A41DBB" w:rsidP="00893F5A">
      <w:pPr>
        <w:rPr>
          <w:rFonts w:asciiTheme="minorHAnsi" w:hAnsiTheme="minorHAnsi" w:cstheme="minorHAnsi"/>
        </w:rPr>
      </w:pPr>
    </w:p>
    <w:p w14:paraId="61E403C5" w14:textId="09745F6F" w:rsidR="00A41DBB" w:rsidRPr="00252D7B" w:rsidRDefault="00A41DBB" w:rsidP="00A41DBB">
      <w:pPr>
        <w:pStyle w:val="Legenda"/>
        <w:keepNext/>
        <w:spacing w:before="120" w:after="120"/>
        <w:jc w:val="center"/>
        <w:rPr>
          <w:rFonts w:asciiTheme="minorHAnsi" w:hAnsiTheme="minorHAnsi" w:cstheme="minorHAnsi"/>
          <w:sz w:val="20"/>
          <w:szCs w:val="20"/>
        </w:rPr>
      </w:pPr>
      <w:bookmarkStart w:id="291" w:name="_Toc103680777"/>
      <w:bookmarkStart w:id="292" w:name="_Toc94012530"/>
      <w:bookmarkStart w:id="293" w:name="_Toc95830266"/>
      <w:r w:rsidRPr="00252D7B">
        <w:rPr>
          <w:rFonts w:asciiTheme="minorHAnsi" w:hAnsiTheme="minorHAnsi" w:cstheme="minorHAnsi"/>
          <w:sz w:val="20"/>
          <w:szCs w:val="20"/>
        </w:rPr>
        <w:t xml:space="preserve">Gráfico </w:t>
      </w:r>
      <w:r w:rsidRPr="00252D7B">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Gráfico \* ARABIC </w:instrText>
      </w:r>
      <w:r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12</w:t>
      </w:r>
      <w:r w:rsidRPr="00252D7B">
        <w:rPr>
          <w:rFonts w:asciiTheme="minorHAnsi" w:hAnsiTheme="minorHAnsi" w:cstheme="minorHAnsi"/>
          <w:sz w:val="20"/>
          <w:szCs w:val="20"/>
        </w:rPr>
        <w:fldChar w:fldCharType="end"/>
      </w:r>
      <w:r w:rsidRPr="00252D7B">
        <w:rPr>
          <w:rFonts w:asciiTheme="minorHAnsi" w:hAnsiTheme="minorHAnsi" w:cstheme="minorHAnsi"/>
          <w:sz w:val="20"/>
          <w:szCs w:val="20"/>
        </w:rPr>
        <w:t xml:space="preserve"> – Distribuição dos empregados </w:t>
      </w:r>
      <w:r w:rsidR="00763A0F" w:rsidRPr="00763A0F">
        <w:rPr>
          <w:rFonts w:asciiTheme="minorHAnsi" w:hAnsiTheme="minorHAnsi" w:cstheme="minorHAnsi"/>
          <w:sz w:val="20"/>
          <w:szCs w:val="20"/>
        </w:rPr>
        <w:t>atuantes na Valec</w:t>
      </w:r>
      <w:bookmarkEnd w:id="291"/>
    </w:p>
    <w:p w14:paraId="0371961B" w14:textId="77777777" w:rsidR="00A41DBB" w:rsidRPr="00252D7B" w:rsidRDefault="00A41DBB" w:rsidP="00A41DBB">
      <w:pPr>
        <w:spacing w:before="120" w:after="120"/>
        <w:jc w:val="center"/>
        <w:rPr>
          <w:rFonts w:asciiTheme="minorHAnsi" w:hAnsiTheme="minorHAnsi" w:cstheme="minorHAnsi"/>
        </w:rPr>
      </w:pPr>
      <w:r w:rsidRPr="00252D7B">
        <w:rPr>
          <w:rFonts w:asciiTheme="minorHAnsi" w:hAnsiTheme="minorHAnsi" w:cstheme="minorHAnsi"/>
          <w:noProof/>
        </w:rPr>
        <w:drawing>
          <wp:inline distT="0" distB="0" distL="0" distR="0" wp14:anchorId="49645398" wp14:editId="4A646B94">
            <wp:extent cx="5349620" cy="3218688"/>
            <wp:effectExtent l="0" t="0" r="3810" b="1270"/>
            <wp:docPr id="1130521996" name="Imagem 1130521996"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descr="Gráfico, Gráfico de pizza&#10;&#10;Descrição gerada automaticament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75288" cy="3234131"/>
                    </a:xfrm>
                    <a:prstGeom prst="rect">
                      <a:avLst/>
                    </a:prstGeom>
                    <a:noFill/>
                  </pic:spPr>
                </pic:pic>
              </a:graphicData>
            </a:graphic>
          </wp:inline>
        </w:drawing>
      </w:r>
    </w:p>
    <w:p w14:paraId="7BA12EDF" w14:textId="2C6810CE" w:rsidR="00893F5A" w:rsidRPr="00252D7B" w:rsidRDefault="00893F5A">
      <w:pPr>
        <w:widowControl/>
        <w:autoSpaceDE/>
        <w:autoSpaceDN/>
        <w:spacing w:after="160" w:line="259" w:lineRule="auto"/>
        <w:rPr>
          <w:rFonts w:asciiTheme="minorHAnsi" w:hAnsiTheme="minorHAnsi" w:cstheme="minorHAnsi"/>
        </w:rPr>
      </w:pPr>
      <w:r w:rsidRPr="00252D7B">
        <w:rPr>
          <w:rFonts w:asciiTheme="minorHAnsi" w:hAnsiTheme="minorHAnsi" w:cstheme="minorHAnsi"/>
        </w:rPr>
        <w:br w:type="page"/>
      </w:r>
    </w:p>
    <w:p w14:paraId="37982EC0" w14:textId="0E17B845" w:rsidR="00A41DBB" w:rsidRPr="00252D7B" w:rsidRDefault="00A41DBB" w:rsidP="00A41DBB">
      <w:pPr>
        <w:pStyle w:val="Ttulo4"/>
        <w:spacing w:before="120"/>
        <w:rPr>
          <w:rFonts w:asciiTheme="minorHAnsi" w:hAnsiTheme="minorHAnsi" w:cstheme="minorHAnsi"/>
        </w:rPr>
      </w:pPr>
      <w:bookmarkStart w:id="294" w:name="_Toc97215837"/>
      <w:bookmarkStart w:id="295" w:name="_Toc103680562"/>
      <w:r w:rsidRPr="00252D7B">
        <w:rPr>
          <w:rFonts w:asciiTheme="minorHAnsi" w:hAnsiTheme="minorHAnsi" w:cstheme="minorHAnsi"/>
        </w:rPr>
        <w:lastRenderedPageBreak/>
        <w:t>Por estagiários</w:t>
      </w:r>
      <w:bookmarkEnd w:id="292"/>
      <w:bookmarkEnd w:id="293"/>
      <w:bookmarkEnd w:id="294"/>
      <w:r w:rsidR="00122BB8">
        <w:rPr>
          <w:rFonts w:asciiTheme="minorHAnsi" w:hAnsiTheme="minorHAnsi" w:cstheme="minorHAnsi"/>
        </w:rPr>
        <w:t xml:space="preserve"> </w:t>
      </w:r>
      <w:r w:rsidR="00122BB8" w:rsidRPr="00122BB8">
        <w:rPr>
          <w:rFonts w:asciiTheme="minorHAnsi" w:hAnsiTheme="minorHAnsi" w:cstheme="minorHAnsi"/>
        </w:rPr>
        <w:t>por área</w:t>
      </w:r>
      <w:bookmarkEnd w:id="295"/>
    </w:p>
    <w:p w14:paraId="64464447" w14:textId="76A74740" w:rsidR="00A41DBB" w:rsidRPr="00252D7B" w:rsidRDefault="00A41DBB" w:rsidP="00A41DBB">
      <w:pPr>
        <w:pStyle w:val="Legenda"/>
        <w:spacing w:before="120" w:after="120"/>
        <w:jc w:val="center"/>
        <w:rPr>
          <w:rFonts w:asciiTheme="minorHAnsi" w:hAnsiTheme="minorHAnsi" w:cstheme="minorHAnsi"/>
          <w:sz w:val="20"/>
          <w:szCs w:val="20"/>
        </w:rPr>
      </w:pPr>
      <w:bookmarkStart w:id="296" w:name="_Toc103680676"/>
      <w:r w:rsidRPr="00252D7B">
        <w:rPr>
          <w:rFonts w:asciiTheme="minorHAnsi" w:hAnsiTheme="minorHAnsi" w:cstheme="minorHAnsi"/>
          <w:sz w:val="20"/>
          <w:szCs w:val="20"/>
        </w:rPr>
        <w:t xml:space="preserve">Tabela </w:t>
      </w:r>
      <w:r w:rsidRPr="00252D7B">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Tabela \* ARABIC </w:instrText>
      </w:r>
      <w:r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14</w:t>
      </w:r>
      <w:r w:rsidRPr="00252D7B">
        <w:rPr>
          <w:rFonts w:asciiTheme="minorHAnsi" w:hAnsiTheme="minorHAnsi" w:cstheme="minorHAnsi"/>
          <w:sz w:val="20"/>
          <w:szCs w:val="20"/>
        </w:rPr>
        <w:fldChar w:fldCharType="end"/>
      </w:r>
      <w:r w:rsidRPr="00252D7B">
        <w:rPr>
          <w:rFonts w:asciiTheme="minorHAnsi" w:hAnsiTheme="minorHAnsi" w:cstheme="minorHAnsi"/>
          <w:sz w:val="20"/>
          <w:szCs w:val="20"/>
        </w:rPr>
        <w:t xml:space="preserve"> – Distribuição dos estagiários por área</w:t>
      </w:r>
      <w:bookmarkEnd w:id="296"/>
    </w:p>
    <w:tbl>
      <w:tblPr>
        <w:tblStyle w:val="Tabelacomgrade"/>
        <w:tblW w:w="3958" w:type="dxa"/>
        <w:jc w:val="center"/>
        <w:tblLook w:val="04A0" w:firstRow="1" w:lastRow="0" w:firstColumn="1" w:lastColumn="0" w:noHBand="0" w:noVBand="1"/>
      </w:tblPr>
      <w:tblGrid>
        <w:gridCol w:w="1979"/>
        <w:gridCol w:w="1979"/>
      </w:tblGrid>
      <w:tr w:rsidR="00D25780" w:rsidRPr="00252D7B" w14:paraId="3C84E92C" w14:textId="77777777" w:rsidTr="00E03684">
        <w:trPr>
          <w:trHeight w:val="369"/>
          <w:tblHeader/>
          <w:jc w:val="center"/>
        </w:trPr>
        <w:tc>
          <w:tcPr>
            <w:tcW w:w="1979" w:type="dxa"/>
            <w:tcBorders>
              <w:left w:val="nil"/>
            </w:tcBorders>
            <w:shd w:val="clear" w:color="auto" w:fill="D9D9D9"/>
            <w:vAlign w:val="center"/>
            <w:hideMark/>
          </w:tcPr>
          <w:p w14:paraId="7B9AC825" w14:textId="51C3615A" w:rsidR="00D25780" w:rsidRPr="00252D7B" w:rsidRDefault="00D25780" w:rsidP="00A94BF4">
            <w:pPr>
              <w:widowControl/>
              <w:autoSpaceDE/>
              <w:autoSpaceDN/>
              <w:jc w:val="center"/>
              <w:rPr>
                <w:rFonts w:asciiTheme="minorHAnsi" w:eastAsia="Times New Roman" w:hAnsiTheme="minorHAnsi" w:cstheme="minorHAnsi"/>
                <w:b/>
                <w:bCs/>
                <w:color w:val="000000"/>
                <w:sz w:val="20"/>
                <w:szCs w:val="20"/>
                <w:lang w:eastAsia="pt-BR" w:bidi="ar-SA"/>
              </w:rPr>
            </w:pPr>
            <w:r w:rsidRPr="00252D7B">
              <w:rPr>
                <w:rFonts w:asciiTheme="minorHAnsi" w:hAnsiTheme="minorHAnsi" w:cstheme="minorHAnsi"/>
                <w:b/>
                <w:bCs/>
                <w:sz w:val="20"/>
                <w:szCs w:val="20"/>
              </w:rPr>
              <w:t>Lotação</w:t>
            </w:r>
          </w:p>
        </w:tc>
        <w:tc>
          <w:tcPr>
            <w:tcW w:w="1979" w:type="dxa"/>
            <w:tcBorders>
              <w:right w:val="nil"/>
            </w:tcBorders>
            <w:shd w:val="clear" w:color="auto" w:fill="D9D9D9" w:themeFill="background1" w:themeFillShade="D9"/>
            <w:vAlign w:val="center"/>
            <w:hideMark/>
          </w:tcPr>
          <w:p w14:paraId="7BFD391C" w14:textId="2F85BD65" w:rsidR="00D25780" w:rsidRPr="00252D7B" w:rsidRDefault="00D25780" w:rsidP="00A94BF4">
            <w:pPr>
              <w:widowControl/>
              <w:autoSpaceDE/>
              <w:autoSpaceDN/>
              <w:jc w:val="center"/>
              <w:rPr>
                <w:rFonts w:asciiTheme="minorHAnsi" w:eastAsia="Times New Roman" w:hAnsiTheme="minorHAnsi" w:cstheme="minorHAnsi"/>
                <w:b/>
                <w:bCs/>
                <w:color w:val="000000"/>
                <w:sz w:val="20"/>
                <w:szCs w:val="20"/>
                <w:lang w:eastAsia="pt-BR" w:bidi="ar-SA"/>
              </w:rPr>
            </w:pPr>
            <w:r w:rsidRPr="00252D7B">
              <w:rPr>
                <w:rFonts w:asciiTheme="minorHAnsi" w:hAnsiTheme="minorHAnsi" w:cstheme="minorHAnsi"/>
                <w:b/>
                <w:bCs/>
                <w:sz w:val="20"/>
                <w:szCs w:val="20"/>
              </w:rPr>
              <w:t>Quantidade</w:t>
            </w:r>
          </w:p>
        </w:tc>
      </w:tr>
      <w:tr w:rsidR="00D25780" w:rsidRPr="00252D7B" w14:paraId="4B16AF3B" w14:textId="77777777" w:rsidTr="00E03684">
        <w:trPr>
          <w:trHeight w:val="369"/>
          <w:jc w:val="center"/>
        </w:trPr>
        <w:tc>
          <w:tcPr>
            <w:tcW w:w="1979" w:type="dxa"/>
            <w:tcBorders>
              <w:left w:val="nil"/>
            </w:tcBorders>
            <w:vAlign w:val="center"/>
          </w:tcPr>
          <w:p w14:paraId="51F21C84" w14:textId="2B75D95A" w:rsidR="00D25780" w:rsidRPr="00252D7B" w:rsidRDefault="00D25780" w:rsidP="00E03684">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Arial Nova Cond" w:hAnsiTheme="minorHAnsi" w:cstheme="minorHAnsi"/>
                <w:b/>
                <w:bCs/>
                <w:color w:val="000000" w:themeColor="text1"/>
                <w:sz w:val="20"/>
                <w:szCs w:val="20"/>
              </w:rPr>
              <w:t>ADMIN</w:t>
            </w:r>
          </w:p>
        </w:tc>
        <w:tc>
          <w:tcPr>
            <w:tcW w:w="1979" w:type="dxa"/>
            <w:tcBorders>
              <w:right w:val="nil"/>
            </w:tcBorders>
            <w:vAlign w:val="center"/>
          </w:tcPr>
          <w:p w14:paraId="503CE47F" w14:textId="632027F0" w:rsidR="00D25780" w:rsidRPr="00252D7B" w:rsidRDefault="00D25780" w:rsidP="00A94BF4">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Arial Nova Cond" w:hAnsiTheme="minorHAnsi" w:cstheme="minorHAnsi"/>
                <w:color w:val="000000" w:themeColor="text1"/>
                <w:sz w:val="20"/>
                <w:szCs w:val="20"/>
              </w:rPr>
              <w:t>1</w:t>
            </w:r>
          </w:p>
        </w:tc>
      </w:tr>
      <w:tr w:rsidR="00D25780" w:rsidRPr="00252D7B" w14:paraId="1803E73D" w14:textId="77777777" w:rsidTr="00E03684">
        <w:trPr>
          <w:trHeight w:val="369"/>
          <w:jc w:val="center"/>
        </w:trPr>
        <w:tc>
          <w:tcPr>
            <w:tcW w:w="1979" w:type="dxa"/>
            <w:tcBorders>
              <w:left w:val="nil"/>
            </w:tcBorders>
            <w:vAlign w:val="center"/>
          </w:tcPr>
          <w:p w14:paraId="404D5522" w14:textId="63A8FEA6" w:rsidR="00D25780" w:rsidRPr="00252D7B" w:rsidRDefault="00D25780" w:rsidP="00E03684">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Arial Nova Cond" w:hAnsiTheme="minorHAnsi" w:cstheme="minorHAnsi"/>
                <w:b/>
                <w:bCs/>
                <w:color w:val="000000" w:themeColor="text1"/>
                <w:sz w:val="20"/>
                <w:szCs w:val="20"/>
              </w:rPr>
              <w:t>ASCOM</w:t>
            </w:r>
          </w:p>
        </w:tc>
        <w:tc>
          <w:tcPr>
            <w:tcW w:w="1979" w:type="dxa"/>
            <w:tcBorders>
              <w:right w:val="nil"/>
            </w:tcBorders>
            <w:vAlign w:val="center"/>
          </w:tcPr>
          <w:p w14:paraId="71C7C600" w14:textId="653E05B0" w:rsidR="00D25780" w:rsidRPr="00252D7B" w:rsidRDefault="00D25780" w:rsidP="00A94BF4">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Arial Nova Cond" w:hAnsiTheme="minorHAnsi" w:cstheme="minorHAnsi"/>
                <w:color w:val="000000" w:themeColor="text1"/>
                <w:sz w:val="20"/>
                <w:szCs w:val="20"/>
              </w:rPr>
              <w:t>4</w:t>
            </w:r>
          </w:p>
        </w:tc>
      </w:tr>
      <w:tr w:rsidR="00D25780" w:rsidRPr="00252D7B" w14:paraId="4F09338A" w14:textId="77777777" w:rsidTr="00E03684">
        <w:trPr>
          <w:trHeight w:val="369"/>
          <w:jc w:val="center"/>
        </w:trPr>
        <w:tc>
          <w:tcPr>
            <w:tcW w:w="1979" w:type="dxa"/>
            <w:tcBorders>
              <w:left w:val="nil"/>
            </w:tcBorders>
            <w:vAlign w:val="center"/>
          </w:tcPr>
          <w:p w14:paraId="68CABEBD" w14:textId="176D138C" w:rsidR="00D25780" w:rsidRPr="00252D7B" w:rsidRDefault="00D25780" w:rsidP="00E03684">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Arial Nova Cond" w:hAnsiTheme="minorHAnsi" w:cstheme="minorHAnsi"/>
                <w:b/>
                <w:bCs/>
                <w:color w:val="000000" w:themeColor="text1"/>
                <w:sz w:val="20"/>
                <w:szCs w:val="20"/>
              </w:rPr>
              <w:t>ASCOR</w:t>
            </w:r>
          </w:p>
        </w:tc>
        <w:tc>
          <w:tcPr>
            <w:tcW w:w="1979" w:type="dxa"/>
            <w:tcBorders>
              <w:right w:val="nil"/>
            </w:tcBorders>
            <w:vAlign w:val="center"/>
          </w:tcPr>
          <w:p w14:paraId="45043F9D" w14:textId="4E9396D5" w:rsidR="00D25780" w:rsidRPr="00252D7B" w:rsidRDefault="00D25780" w:rsidP="00A94BF4">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Arial Nova Cond" w:hAnsiTheme="minorHAnsi" w:cstheme="minorHAnsi"/>
                <w:color w:val="000000" w:themeColor="text1"/>
                <w:sz w:val="20"/>
                <w:szCs w:val="20"/>
              </w:rPr>
              <w:t>4</w:t>
            </w:r>
          </w:p>
        </w:tc>
      </w:tr>
      <w:tr w:rsidR="00D25780" w:rsidRPr="00252D7B" w14:paraId="410642C6" w14:textId="77777777" w:rsidTr="00E03684">
        <w:trPr>
          <w:trHeight w:val="369"/>
          <w:jc w:val="center"/>
        </w:trPr>
        <w:tc>
          <w:tcPr>
            <w:tcW w:w="1979" w:type="dxa"/>
            <w:tcBorders>
              <w:left w:val="nil"/>
            </w:tcBorders>
            <w:vAlign w:val="center"/>
          </w:tcPr>
          <w:p w14:paraId="2F0B163E" w14:textId="0F0E5355" w:rsidR="00D25780" w:rsidRPr="00252D7B" w:rsidRDefault="00D25780" w:rsidP="00E03684">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Arial Nova Cond" w:hAnsiTheme="minorHAnsi" w:cstheme="minorHAnsi"/>
                <w:b/>
                <w:bCs/>
                <w:color w:val="000000" w:themeColor="text1"/>
                <w:sz w:val="20"/>
                <w:szCs w:val="20"/>
              </w:rPr>
              <w:t>DIRAF</w:t>
            </w:r>
          </w:p>
        </w:tc>
        <w:tc>
          <w:tcPr>
            <w:tcW w:w="1979" w:type="dxa"/>
            <w:tcBorders>
              <w:right w:val="nil"/>
            </w:tcBorders>
            <w:vAlign w:val="center"/>
          </w:tcPr>
          <w:p w14:paraId="57610B95" w14:textId="339F9136" w:rsidR="00D25780" w:rsidRPr="00252D7B" w:rsidRDefault="00D25780" w:rsidP="00A94BF4">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Arial Nova Cond" w:hAnsiTheme="minorHAnsi" w:cstheme="minorHAnsi"/>
                <w:color w:val="000000" w:themeColor="text1"/>
                <w:sz w:val="20"/>
                <w:szCs w:val="20"/>
              </w:rPr>
              <w:t>1</w:t>
            </w:r>
          </w:p>
        </w:tc>
      </w:tr>
      <w:tr w:rsidR="00D25780" w:rsidRPr="00252D7B" w14:paraId="5E950773" w14:textId="77777777" w:rsidTr="00E03684">
        <w:trPr>
          <w:trHeight w:val="369"/>
          <w:jc w:val="center"/>
        </w:trPr>
        <w:tc>
          <w:tcPr>
            <w:tcW w:w="1979" w:type="dxa"/>
            <w:tcBorders>
              <w:left w:val="nil"/>
            </w:tcBorders>
            <w:vAlign w:val="center"/>
          </w:tcPr>
          <w:p w14:paraId="283C7222" w14:textId="0B929A57" w:rsidR="00D25780" w:rsidRPr="00252D7B" w:rsidRDefault="00D25780" w:rsidP="00E03684">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Arial Nova Cond" w:hAnsiTheme="minorHAnsi" w:cstheme="minorHAnsi"/>
                <w:b/>
                <w:bCs/>
                <w:color w:val="000000" w:themeColor="text1"/>
                <w:sz w:val="20"/>
                <w:szCs w:val="20"/>
              </w:rPr>
              <w:t>DIREM</w:t>
            </w:r>
          </w:p>
        </w:tc>
        <w:tc>
          <w:tcPr>
            <w:tcW w:w="1979" w:type="dxa"/>
            <w:tcBorders>
              <w:right w:val="nil"/>
            </w:tcBorders>
            <w:vAlign w:val="center"/>
          </w:tcPr>
          <w:p w14:paraId="31F351C7" w14:textId="1237A74B" w:rsidR="00D25780" w:rsidRPr="00252D7B" w:rsidRDefault="00D25780" w:rsidP="00A94BF4">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Arial Nova Cond" w:hAnsiTheme="minorHAnsi" w:cstheme="minorHAnsi"/>
                <w:color w:val="000000" w:themeColor="text1"/>
                <w:sz w:val="20"/>
                <w:szCs w:val="20"/>
              </w:rPr>
              <w:t>2</w:t>
            </w:r>
          </w:p>
        </w:tc>
      </w:tr>
      <w:tr w:rsidR="00D25780" w:rsidRPr="00252D7B" w14:paraId="6F655969" w14:textId="77777777" w:rsidTr="00E03684">
        <w:trPr>
          <w:trHeight w:val="369"/>
          <w:jc w:val="center"/>
        </w:trPr>
        <w:tc>
          <w:tcPr>
            <w:tcW w:w="1979" w:type="dxa"/>
            <w:tcBorders>
              <w:left w:val="nil"/>
            </w:tcBorders>
            <w:vAlign w:val="center"/>
          </w:tcPr>
          <w:p w14:paraId="164B9D8C" w14:textId="7C1997BF" w:rsidR="00D25780" w:rsidRPr="00252D7B" w:rsidRDefault="00D25780" w:rsidP="00E03684">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Arial Nova Cond" w:hAnsiTheme="minorHAnsi" w:cstheme="minorHAnsi"/>
                <w:b/>
                <w:bCs/>
                <w:color w:val="000000" w:themeColor="text1"/>
                <w:sz w:val="20"/>
                <w:szCs w:val="20"/>
              </w:rPr>
              <w:t>PRESI</w:t>
            </w:r>
          </w:p>
        </w:tc>
        <w:tc>
          <w:tcPr>
            <w:tcW w:w="1979" w:type="dxa"/>
            <w:tcBorders>
              <w:right w:val="nil"/>
            </w:tcBorders>
            <w:vAlign w:val="center"/>
          </w:tcPr>
          <w:p w14:paraId="6DE7C45F" w14:textId="7CDF80BB" w:rsidR="00D25780" w:rsidRPr="00252D7B" w:rsidRDefault="00D25780" w:rsidP="00A94BF4">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Arial Nova Cond" w:hAnsiTheme="minorHAnsi" w:cstheme="minorHAnsi"/>
                <w:color w:val="000000" w:themeColor="text1"/>
                <w:sz w:val="20"/>
                <w:szCs w:val="20"/>
              </w:rPr>
              <w:t>1</w:t>
            </w:r>
          </w:p>
        </w:tc>
      </w:tr>
      <w:tr w:rsidR="00D25780" w:rsidRPr="00252D7B" w14:paraId="3C59D7FC" w14:textId="77777777" w:rsidTr="00E03684">
        <w:trPr>
          <w:trHeight w:val="369"/>
          <w:jc w:val="center"/>
        </w:trPr>
        <w:tc>
          <w:tcPr>
            <w:tcW w:w="1979" w:type="dxa"/>
            <w:tcBorders>
              <w:left w:val="nil"/>
            </w:tcBorders>
            <w:vAlign w:val="center"/>
          </w:tcPr>
          <w:p w14:paraId="1E23F660" w14:textId="255A7A00" w:rsidR="00D25780" w:rsidRPr="00252D7B" w:rsidRDefault="00D25780" w:rsidP="00E03684">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Arial Nova Cond" w:hAnsiTheme="minorHAnsi" w:cstheme="minorHAnsi"/>
                <w:b/>
                <w:bCs/>
                <w:color w:val="000000" w:themeColor="text1"/>
                <w:sz w:val="20"/>
                <w:szCs w:val="20"/>
              </w:rPr>
              <w:t>PROJUR</w:t>
            </w:r>
          </w:p>
        </w:tc>
        <w:tc>
          <w:tcPr>
            <w:tcW w:w="1979" w:type="dxa"/>
            <w:tcBorders>
              <w:right w:val="nil"/>
            </w:tcBorders>
            <w:vAlign w:val="center"/>
          </w:tcPr>
          <w:p w14:paraId="64AF83A2" w14:textId="1B07136A" w:rsidR="00D25780" w:rsidRPr="00252D7B" w:rsidRDefault="00D25780" w:rsidP="00A94BF4">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Arial Nova Cond" w:hAnsiTheme="minorHAnsi" w:cstheme="minorHAnsi"/>
                <w:color w:val="000000" w:themeColor="text1"/>
                <w:sz w:val="20"/>
                <w:szCs w:val="20"/>
              </w:rPr>
              <w:t>4</w:t>
            </w:r>
          </w:p>
        </w:tc>
      </w:tr>
      <w:tr w:rsidR="00D25780" w:rsidRPr="00252D7B" w14:paraId="5BCE2173" w14:textId="77777777" w:rsidTr="00E03684">
        <w:trPr>
          <w:trHeight w:val="369"/>
          <w:jc w:val="center"/>
        </w:trPr>
        <w:tc>
          <w:tcPr>
            <w:tcW w:w="1979" w:type="dxa"/>
            <w:tcBorders>
              <w:left w:val="nil"/>
            </w:tcBorders>
            <w:vAlign w:val="center"/>
          </w:tcPr>
          <w:p w14:paraId="5DBFBB3B" w14:textId="798092EF" w:rsidR="00D25780" w:rsidRPr="00252D7B" w:rsidRDefault="00D25780" w:rsidP="00E03684">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Arial Nova Cond" w:hAnsiTheme="minorHAnsi" w:cstheme="minorHAnsi"/>
                <w:b/>
                <w:bCs/>
                <w:color w:val="000000" w:themeColor="text1"/>
                <w:sz w:val="20"/>
                <w:szCs w:val="20"/>
              </w:rPr>
              <w:t>SUADM</w:t>
            </w:r>
          </w:p>
        </w:tc>
        <w:tc>
          <w:tcPr>
            <w:tcW w:w="1979" w:type="dxa"/>
            <w:tcBorders>
              <w:right w:val="nil"/>
            </w:tcBorders>
            <w:vAlign w:val="center"/>
          </w:tcPr>
          <w:p w14:paraId="1F7EBABA" w14:textId="5491DB53" w:rsidR="00D25780" w:rsidRPr="00252D7B" w:rsidRDefault="00D25780" w:rsidP="00A94BF4">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Arial Nova Cond" w:hAnsiTheme="minorHAnsi" w:cstheme="minorHAnsi"/>
                <w:color w:val="000000" w:themeColor="text1"/>
                <w:sz w:val="20"/>
                <w:szCs w:val="20"/>
              </w:rPr>
              <w:t>2</w:t>
            </w:r>
          </w:p>
        </w:tc>
      </w:tr>
      <w:tr w:rsidR="00D25780" w:rsidRPr="00252D7B" w14:paraId="28BA4B1A" w14:textId="77777777" w:rsidTr="00E03684">
        <w:trPr>
          <w:trHeight w:val="369"/>
          <w:jc w:val="center"/>
        </w:trPr>
        <w:tc>
          <w:tcPr>
            <w:tcW w:w="1979" w:type="dxa"/>
            <w:tcBorders>
              <w:left w:val="nil"/>
            </w:tcBorders>
            <w:vAlign w:val="center"/>
          </w:tcPr>
          <w:p w14:paraId="0DE6153E" w14:textId="7A97ECC5" w:rsidR="00D25780" w:rsidRPr="00252D7B" w:rsidRDefault="00D25780" w:rsidP="00E03684">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Arial Nova Cond" w:hAnsiTheme="minorHAnsi" w:cstheme="minorHAnsi"/>
                <w:b/>
                <w:bCs/>
                <w:color w:val="000000" w:themeColor="text1"/>
                <w:sz w:val="20"/>
                <w:szCs w:val="20"/>
              </w:rPr>
              <w:t>SUDEM</w:t>
            </w:r>
          </w:p>
        </w:tc>
        <w:tc>
          <w:tcPr>
            <w:tcW w:w="1979" w:type="dxa"/>
            <w:tcBorders>
              <w:right w:val="nil"/>
            </w:tcBorders>
            <w:vAlign w:val="center"/>
          </w:tcPr>
          <w:p w14:paraId="4EC9A48B" w14:textId="316337CE" w:rsidR="00D25780" w:rsidRPr="00252D7B" w:rsidRDefault="00D25780" w:rsidP="00A94BF4">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Arial Nova Cond" w:hAnsiTheme="minorHAnsi" w:cstheme="minorHAnsi"/>
                <w:color w:val="000000" w:themeColor="text1"/>
                <w:sz w:val="20"/>
                <w:szCs w:val="20"/>
              </w:rPr>
              <w:t>2</w:t>
            </w:r>
          </w:p>
        </w:tc>
      </w:tr>
      <w:tr w:rsidR="00D25780" w:rsidRPr="00252D7B" w14:paraId="5C665F01" w14:textId="77777777" w:rsidTr="00E03684">
        <w:trPr>
          <w:trHeight w:val="369"/>
          <w:jc w:val="center"/>
        </w:trPr>
        <w:tc>
          <w:tcPr>
            <w:tcW w:w="1979" w:type="dxa"/>
            <w:tcBorders>
              <w:left w:val="nil"/>
            </w:tcBorders>
            <w:vAlign w:val="center"/>
          </w:tcPr>
          <w:p w14:paraId="0DDFFFC9" w14:textId="4660A597" w:rsidR="00D25780" w:rsidRPr="00252D7B" w:rsidRDefault="00D25780" w:rsidP="00E03684">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Arial Nova Cond" w:hAnsiTheme="minorHAnsi" w:cstheme="minorHAnsi"/>
                <w:b/>
                <w:bCs/>
                <w:color w:val="000000" w:themeColor="text1"/>
                <w:sz w:val="20"/>
                <w:szCs w:val="20"/>
              </w:rPr>
              <w:t>SUGAT</w:t>
            </w:r>
          </w:p>
        </w:tc>
        <w:tc>
          <w:tcPr>
            <w:tcW w:w="1979" w:type="dxa"/>
            <w:tcBorders>
              <w:right w:val="nil"/>
            </w:tcBorders>
            <w:vAlign w:val="center"/>
          </w:tcPr>
          <w:p w14:paraId="6564859A" w14:textId="04BD5DD6" w:rsidR="00D25780" w:rsidRPr="00252D7B" w:rsidRDefault="00D25780" w:rsidP="00A94BF4">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Arial Nova Cond" w:hAnsiTheme="minorHAnsi" w:cstheme="minorHAnsi"/>
                <w:color w:val="000000" w:themeColor="text1"/>
                <w:sz w:val="20"/>
                <w:szCs w:val="20"/>
              </w:rPr>
              <w:t>3</w:t>
            </w:r>
          </w:p>
        </w:tc>
      </w:tr>
      <w:tr w:rsidR="00D25780" w:rsidRPr="00252D7B" w14:paraId="3B1334B7" w14:textId="77777777" w:rsidTr="00E03684">
        <w:trPr>
          <w:trHeight w:val="369"/>
          <w:jc w:val="center"/>
        </w:trPr>
        <w:tc>
          <w:tcPr>
            <w:tcW w:w="1979" w:type="dxa"/>
            <w:tcBorders>
              <w:left w:val="nil"/>
            </w:tcBorders>
            <w:vAlign w:val="center"/>
          </w:tcPr>
          <w:p w14:paraId="5E577F14" w14:textId="6FC59542" w:rsidR="00D25780" w:rsidRPr="00252D7B" w:rsidRDefault="00D25780" w:rsidP="00E03684">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Arial Nova Cond" w:hAnsiTheme="minorHAnsi" w:cstheme="minorHAnsi"/>
                <w:b/>
                <w:bCs/>
                <w:color w:val="000000" w:themeColor="text1"/>
                <w:sz w:val="20"/>
                <w:szCs w:val="20"/>
              </w:rPr>
              <w:t>SUGEP</w:t>
            </w:r>
          </w:p>
        </w:tc>
        <w:tc>
          <w:tcPr>
            <w:tcW w:w="1979" w:type="dxa"/>
            <w:tcBorders>
              <w:right w:val="nil"/>
            </w:tcBorders>
            <w:vAlign w:val="center"/>
          </w:tcPr>
          <w:p w14:paraId="5DB31AAD" w14:textId="09FBFFDD" w:rsidR="00D25780" w:rsidRPr="00252D7B" w:rsidRDefault="00D25780" w:rsidP="00A94BF4">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Arial Nova Cond" w:hAnsiTheme="minorHAnsi" w:cstheme="minorHAnsi"/>
                <w:color w:val="000000" w:themeColor="text1"/>
                <w:sz w:val="20"/>
                <w:szCs w:val="20"/>
              </w:rPr>
              <w:t>2</w:t>
            </w:r>
          </w:p>
        </w:tc>
      </w:tr>
      <w:tr w:rsidR="00D25780" w:rsidRPr="00252D7B" w14:paraId="4C1A3C4A" w14:textId="77777777" w:rsidTr="00E03684">
        <w:trPr>
          <w:trHeight w:val="369"/>
          <w:jc w:val="center"/>
        </w:trPr>
        <w:tc>
          <w:tcPr>
            <w:tcW w:w="1979" w:type="dxa"/>
            <w:tcBorders>
              <w:left w:val="nil"/>
            </w:tcBorders>
            <w:vAlign w:val="center"/>
          </w:tcPr>
          <w:p w14:paraId="6ADA3076" w14:textId="23937091" w:rsidR="00D25780" w:rsidRPr="00252D7B" w:rsidRDefault="00D25780" w:rsidP="00E03684">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Arial Nova Cond" w:hAnsiTheme="minorHAnsi" w:cstheme="minorHAnsi"/>
                <w:b/>
                <w:bCs/>
                <w:color w:val="000000" w:themeColor="text1"/>
                <w:sz w:val="20"/>
                <w:szCs w:val="20"/>
              </w:rPr>
              <w:t>SUGOP</w:t>
            </w:r>
          </w:p>
        </w:tc>
        <w:tc>
          <w:tcPr>
            <w:tcW w:w="1979" w:type="dxa"/>
            <w:tcBorders>
              <w:right w:val="nil"/>
            </w:tcBorders>
            <w:vAlign w:val="center"/>
          </w:tcPr>
          <w:p w14:paraId="4F8212DB" w14:textId="6A5235C0" w:rsidR="00D25780" w:rsidRPr="00252D7B" w:rsidRDefault="00D25780" w:rsidP="00A94BF4">
            <w:pPr>
              <w:widowControl/>
              <w:autoSpaceDE/>
              <w:autoSpaceDN/>
              <w:spacing w:before="100" w:beforeAutospacing="1" w:after="100" w:afterAutospacing="1"/>
              <w:jc w:val="center"/>
              <w:rPr>
                <w:rFonts w:asciiTheme="minorHAnsi" w:eastAsia="Times New Roman" w:hAnsiTheme="minorHAnsi" w:cstheme="minorHAnsi"/>
                <w:b/>
                <w:bCs/>
                <w:color w:val="000000"/>
                <w:sz w:val="20"/>
                <w:szCs w:val="20"/>
                <w:lang w:eastAsia="pt-BR" w:bidi="ar-SA"/>
              </w:rPr>
            </w:pPr>
            <w:r w:rsidRPr="00252D7B">
              <w:rPr>
                <w:rFonts w:asciiTheme="minorHAnsi" w:eastAsia="Arial Nova Cond" w:hAnsiTheme="minorHAnsi" w:cstheme="minorHAnsi"/>
                <w:color w:val="000000" w:themeColor="text1"/>
                <w:sz w:val="20"/>
                <w:szCs w:val="20"/>
              </w:rPr>
              <w:t>1</w:t>
            </w:r>
          </w:p>
        </w:tc>
      </w:tr>
      <w:tr w:rsidR="00D25780" w:rsidRPr="00252D7B" w14:paraId="46E6C93F" w14:textId="77777777" w:rsidTr="00E03684">
        <w:trPr>
          <w:trHeight w:val="369"/>
          <w:jc w:val="center"/>
        </w:trPr>
        <w:tc>
          <w:tcPr>
            <w:tcW w:w="1979" w:type="dxa"/>
            <w:tcBorders>
              <w:left w:val="nil"/>
            </w:tcBorders>
            <w:shd w:val="clear" w:color="auto" w:fill="auto"/>
            <w:vAlign w:val="center"/>
          </w:tcPr>
          <w:p w14:paraId="2587CFD5" w14:textId="6EE5071A" w:rsidR="00D25780" w:rsidRPr="00252D7B" w:rsidRDefault="00D25780" w:rsidP="00E03684">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Arial Nova Cond" w:hAnsiTheme="minorHAnsi" w:cstheme="minorHAnsi"/>
                <w:b/>
                <w:bCs/>
                <w:color w:val="000000" w:themeColor="text1"/>
                <w:sz w:val="20"/>
                <w:szCs w:val="20"/>
              </w:rPr>
              <w:t>SUINP</w:t>
            </w:r>
          </w:p>
        </w:tc>
        <w:tc>
          <w:tcPr>
            <w:tcW w:w="1979" w:type="dxa"/>
            <w:tcBorders>
              <w:right w:val="nil"/>
            </w:tcBorders>
            <w:shd w:val="clear" w:color="auto" w:fill="auto"/>
            <w:vAlign w:val="center"/>
          </w:tcPr>
          <w:p w14:paraId="663CD5E6" w14:textId="634E500D" w:rsidR="00D25780" w:rsidRPr="00252D7B" w:rsidRDefault="00D25780" w:rsidP="00A94BF4">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Arial Nova Cond" w:hAnsiTheme="minorHAnsi" w:cstheme="minorHAnsi"/>
                <w:color w:val="000000" w:themeColor="text1"/>
                <w:sz w:val="20"/>
                <w:szCs w:val="20"/>
              </w:rPr>
              <w:t>3</w:t>
            </w:r>
          </w:p>
        </w:tc>
      </w:tr>
      <w:tr w:rsidR="00D25780" w:rsidRPr="00252D7B" w14:paraId="27382D6B" w14:textId="77777777" w:rsidTr="00E03684">
        <w:trPr>
          <w:trHeight w:val="369"/>
          <w:jc w:val="center"/>
        </w:trPr>
        <w:tc>
          <w:tcPr>
            <w:tcW w:w="1979" w:type="dxa"/>
            <w:tcBorders>
              <w:left w:val="nil"/>
            </w:tcBorders>
            <w:shd w:val="clear" w:color="auto" w:fill="auto"/>
            <w:vAlign w:val="center"/>
          </w:tcPr>
          <w:p w14:paraId="1EC356EC" w14:textId="4E61FA3C" w:rsidR="00D25780" w:rsidRPr="00252D7B" w:rsidRDefault="00D25780" w:rsidP="00E03684">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Arial Nova Cond" w:hAnsiTheme="minorHAnsi" w:cstheme="minorHAnsi"/>
                <w:b/>
                <w:bCs/>
                <w:color w:val="000000" w:themeColor="text1"/>
                <w:sz w:val="20"/>
                <w:szCs w:val="20"/>
              </w:rPr>
              <w:t>SULIC</w:t>
            </w:r>
          </w:p>
        </w:tc>
        <w:tc>
          <w:tcPr>
            <w:tcW w:w="1979" w:type="dxa"/>
            <w:tcBorders>
              <w:right w:val="nil"/>
            </w:tcBorders>
            <w:shd w:val="clear" w:color="auto" w:fill="auto"/>
            <w:vAlign w:val="center"/>
          </w:tcPr>
          <w:p w14:paraId="46EA57D4" w14:textId="1FC99EC6" w:rsidR="00D25780" w:rsidRPr="00252D7B" w:rsidRDefault="00D25780" w:rsidP="00A94BF4">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Arial Nova Cond" w:hAnsiTheme="minorHAnsi" w:cstheme="minorHAnsi"/>
                <w:color w:val="000000" w:themeColor="text1"/>
                <w:sz w:val="20"/>
                <w:szCs w:val="20"/>
              </w:rPr>
              <w:t>2</w:t>
            </w:r>
          </w:p>
        </w:tc>
      </w:tr>
      <w:tr w:rsidR="00D25780" w:rsidRPr="00252D7B" w14:paraId="577E7338" w14:textId="77777777" w:rsidTr="00E03684">
        <w:trPr>
          <w:trHeight w:val="369"/>
          <w:jc w:val="center"/>
        </w:trPr>
        <w:tc>
          <w:tcPr>
            <w:tcW w:w="1979" w:type="dxa"/>
            <w:tcBorders>
              <w:left w:val="nil"/>
            </w:tcBorders>
            <w:shd w:val="clear" w:color="auto" w:fill="auto"/>
            <w:vAlign w:val="center"/>
          </w:tcPr>
          <w:p w14:paraId="31332DB3" w14:textId="14DCD6A4" w:rsidR="00D25780" w:rsidRPr="00252D7B" w:rsidRDefault="00D25780" w:rsidP="00E03684">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Arial Nova Cond" w:hAnsiTheme="minorHAnsi" w:cstheme="minorHAnsi"/>
                <w:b/>
                <w:bCs/>
                <w:color w:val="000000" w:themeColor="text1"/>
                <w:sz w:val="20"/>
                <w:szCs w:val="20"/>
              </w:rPr>
              <w:t>SUNEG</w:t>
            </w:r>
          </w:p>
        </w:tc>
        <w:tc>
          <w:tcPr>
            <w:tcW w:w="1979" w:type="dxa"/>
            <w:tcBorders>
              <w:right w:val="nil"/>
            </w:tcBorders>
            <w:shd w:val="clear" w:color="auto" w:fill="auto"/>
            <w:vAlign w:val="center"/>
          </w:tcPr>
          <w:p w14:paraId="136CFEFA" w14:textId="77231AB5" w:rsidR="00D25780" w:rsidRPr="00252D7B" w:rsidRDefault="00D25780" w:rsidP="00A94BF4">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Arial Nova Cond" w:hAnsiTheme="minorHAnsi" w:cstheme="minorHAnsi"/>
                <w:color w:val="000000" w:themeColor="text1"/>
                <w:sz w:val="20"/>
                <w:szCs w:val="20"/>
              </w:rPr>
              <w:t>1</w:t>
            </w:r>
          </w:p>
        </w:tc>
      </w:tr>
      <w:tr w:rsidR="00D25780" w:rsidRPr="00252D7B" w14:paraId="72A504FD" w14:textId="77777777" w:rsidTr="00E03684">
        <w:trPr>
          <w:trHeight w:val="369"/>
          <w:jc w:val="center"/>
        </w:trPr>
        <w:tc>
          <w:tcPr>
            <w:tcW w:w="1979" w:type="dxa"/>
            <w:tcBorders>
              <w:left w:val="nil"/>
            </w:tcBorders>
            <w:shd w:val="clear" w:color="auto" w:fill="auto"/>
            <w:vAlign w:val="center"/>
          </w:tcPr>
          <w:p w14:paraId="2917003D" w14:textId="18C47663" w:rsidR="00D25780" w:rsidRPr="00252D7B" w:rsidRDefault="00D25780" w:rsidP="00E03684">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Arial Nova Cond" w:hAnsiTheme="minorHAnsi" w:cstheme="minorHAnsi"/>
                <w:b/>
                <w:bCs/>
                <w:color w:val="000000" w:themeColor="text1"/>
                <w:sz w:val="20"/>
                <w:szCs w:val="20"/>
              </w:rPr>
              <w:t>SUPOF</w:t>
            </w:r>
          </w:p>
        </w:tc>
        <w:tc>
          <w:tcPr>
            <w:tcW w:w="1979" w:type="dxa"/>
            <w:tcBorders>
              <w:right w:val="nil"/>
            </w:tcBorders>
            <w:shd w:val="clear" w:color="auto" w:fill="auto"/>
            <w:vAlign w:val="center"/>
          </w:tcPr>
          <w:p w14:paraId="7270F647" w14:textId="43FE6558" w:rsidR="00D25780" w:rsidRPr="00252D7B" w:rsidRDefault="00D25780" w:rsidP="00A94BF4">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Arial Nova Cond" w:hAnsiTheme="minorHAnsi" w:cstheme="minorHAnsi"/>
                <w:color w:val="000000" w:themeColor="text1"/>
                <w:sz w:val="20"/>
                <w:szCs w:val="20"/>
              </w:rPr>
              <w:t>3</w:t>
            </w:r>
          </w:p>
        </w:tc>
      </w:tr>
      <w:tr w:rsidR="00D25780" w:rsidRPr="00252D7B" w14:paraId="08584F75" w14:textId="77777777" w:rsidTr="00E03684">
        <w:trPr>
          <w:trHeight w:val="369"/>
          <w:jc w:val="center"/>
        </w:trPr>
        <w:tc>
          <w:tcPr>
            <w:tcW w:w="1979" w:type="dxa"/>
            <w:tcBorders>
              <w:left w:val="nil"/>
            </w:tcBorders>
            <w:shd w:val="clear" w:color="auto" w:fill="auto"/>
            <w:vAlign w:val="center"/>
          </w:tcPr>
          <w:p w14:paraId="3FBD6036" w14:textId="1182AF59" w:rsidR="00D25780" w:rsidRPr="00252D7B" w:rsidRDefault="00D25780" w:rsidP="00E03684">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Arial Nova Cond" w:hAnsiTheme="minorHAnsi" w:cstheme="minorHAnsi"/>
                <w:b/>
                <w:bCs/>
                <w:color w:val="000000" w:themeColor="text1"/>
                <w:sz w:val="20"/>
                <w:szCs w:val="20"/>
              </w:rPr>
              <w:t>SUPTI</w:t>
            </w:r>
          </w:p>
        </w:tc>
        <w:tc>
          <w:tcPr>
            <w:tcW w:w="1979" w:type="dxa"/>
            <w:tcBorders>
              <w:right w:val="nil"/>
            </w:tcBorders>
            <w:shd w:val="clear" w:color="auto" w:fill="auto"/>
            <w:vAlign w:val="center"/>
          </w:tcPr>
          <w:p w14:paraId="5F20CCA9" w14:textId="5D8D9CA8" w:rsidR="00D25780" w:rsidRPr="00252D7B" w:rsidRDefault="00D25780" w:rsidP="00A94BF4">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252D7B">
              <w:rPr>
                <w:rFonts w:asciiTheme="minorHAnsi" w:eastAsia="Arial Nova Cond" w:hAnsiTheme="minorHAnsi" w:cstheme="minorHAnsi"/>
                <w:color w:val="000000" w:themeColor="text1"/>
                <w:sz w:val="20"/>
                <w:szCs w:val="20"/>
              </w:rPr>
              <w:t>4</w:t>
            </w:r>
          </w:p>
        </w:tc>
      </w:tr>
    </w:tbl>
    <w:p w14:paraId="46B56A06" w14:textId="77777777" w:rsidR="00D25780" w:rsidRPr="00252D7B" w:rsidRDefault="00D25780" w:rsidP="00D25780">
      <w:pPr>
        <w:rPr>
          <w:rFonts w:asciiTheme="minorHAnsi" w:hAnsiTheme="minorHAnsi" w:cstheme="minorHAnsi"/>
        </w:rPr>
      </w:pPr>
    </w:p>
    <w:p w14:paraId="1FCCD92A" w14:textId="77777777" w:rsidR="00A41DBB" w:rsidRPr="00252D7B" w:rsidRDefault="00A41DBB" w:rsidP="00A41DBB">
      <w:pPr>
        <w:pStyle w:val="Ttulo4"/>
        <w:spacing w:before="120"/>
        <w:rPr>
          <w:rFonts w:asciiTheme="minorHAnsi" w:hAnsiTheme="minorHAnsi" w:cstheme="minorHAnsi"/>
        </w:rPr>
      </w:pPr>
      <w:bookmarkStart w:id="297" w:name="_Toc94012531"/>
      <w:bookmarkStart w:id="298" w:name="_Toc95830267"/>
      <w:bookmarkStart w:id="299" w:name="_Toc97215838"/>
      <w:bookmarkStart w:id="300" w:name="_Toc103680563"/>
      <w:r w:rsidRPr="00252D7B">
        <w:rPr>
          <w:rFonts w:asciiTheme="minorHAnsi" w:hAnsiTheme="minorHAnsi" w:cstheme="minorHAnsi"/>
        </w:rPr>
        <w:t>Lotação por diretoria</w:t>
      </w:r>
      <w:bookmarkEnd w:id="297"/>
      <w:bookmarkEnd w:id="298"/>
      <w:bookmarkEnd w:id="299"/>
      <w:bookmarkEnd w:id="300"/>
    </w:p>
    <w:p w14:paraId="5A936312" w14:textId="77777777" w:rsidR="00A94BF4" w:rsidRPr="00252D7B" w:rsidRDefault="00A94BF4" w:rsidP="00893F5A">
      <w:pPr>
        <w:rPr>
          <w:rFonts w:asciiTheme="minorHAnsi" w:hAnsiTheme="minorHAnsi" w:cstheme="minorHAnsi"/>
          <w:sz w:val="20"/>
          <w:szCs w:val="20"/>
        </w:rPr>
      </w:pPr>
    </w:p>
    <w:p w14:paraId="10B3F41B" w14:textId="1E0D879F" w:rsidR="00A41DBB" w:rsidRPr="00252D7B" w:rsidRDefault="00A41DBB" w:rsidP="00A41DBB">
      <w:pPr>
        <w:pStyle w:val="Legenda"/>
        <w:keepNext/>
        <w:spacing w:before="120" w:after="120"/>
        <w:jc w:val="center"/>
        <w:rPr>
          <w:rFonts w:asciiTheme="minorHAnsi" w:hAnsiTheme="minorHAnsi" w:cstheme="minorHAnsi"/>
          <w:sz w:val="20"/>
          <w:szCs w:val="20"/>
        </w:rPr>
      </w:pPr>
      <w:bookmarkStart w:id="301" w:name="_Toc103680778"/>
      <w:r w:rsidRPr="00252D7B">
        <w:rPr>
          <w:rFonts w:asciiTheme="minorHAnsi" w:hAnsiTheme="minorHAnsi" w:cstheme="minorHAnsi"/>
          <w:sz w:val="20"/>
          <w:szCs w:val="20"/>
        </w:rPr>
        <w:t xml:space="preserve">Gráfico </w:t>
      </w:r>
      <w:r w:rsidRPr="00252D7B">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Gráfico \* ARABIC </w:instrText>
      </w:r>
      <w:r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13</w:t>
      </w:r>
      <w:r w:rsidRPr="00252D7B">
        <w:rPr>
          <w:rFonts w:asciiTheme="minorHAnsi" w:hAnsiTheme="minorHAnsi" w:cstheme="minorHAnsi"/>
          <w:sz w:val="20"/>
          <w:szCs w:val="20"/>
        </w:rPr>
        <w:fldChar w:fldCharType="end"/>
      </w:r>
      <w:r w:rsidRPr="00252D7B">
        <w:rPr>
          <w:rFonts w:asciiTheme="minorHAnsi" w:hAnsiTheme="minorHAnsi" w:cstheme="minorHAnsi"/>
          <w:sz w:val="20"/>
          <w:szCs w:val="20"/>
        </w:rPr>
        <w:t xml:space="preserve"> – Distribuição dos empregados por diretoria</w:t>
      </w:r>
      <w:bookmarkEnd w:id="301"/>
    </w:p>
    <w:p w14:paraId="62A86D19" w14:textId="77777777" w:rsidR="00A41DBB" w:rsidRPr="00252D7B" w:rsidRDefault="00A41DBB" w:rsidP="00A41DBB">
      <w:pPr>
        <w:spacing w:before="120" w:after="120"/>
        <w:jc w:val="center"/>
        <w:rPr>
          <w:rFonts w:asciiTheme="minorHAnsi" w:hAnsiTheme="minorHAnsi" w:cstheme="minorHAnsi"/>
        </w:rPr>
      </w:pPr>
      <w:r w:rsidRPr="00252D7B">
        <w:rPr>
          <w:rFonts w:asciiTheme="minorHAnsi" w:hAnsiTheme="minorHAnsi" w:cstheme="minorHAnsi"/>
          <w:noProof/>
        </w:rPr>
        <w:drawing>
          <wp:inline distT="0" distB="0" distL="0" distR="0" wp14:anchorId="5FAAB0D8" wp14:editId="50CB6EE5">
            <wp:extent cx="4630521" cy="2781394"/>
            <wp:effectExtent l="0" t="0" r="0" b="0"/>
            <wp:docPr id="1130521997" name="Imagem 1130521997" descr="Gráfico, Gráfico de mapa de árvor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descr="Gráfico, Gráfico de mapa de árvore&#10;&#10;Descrição gerada automaticament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37212" cy="2785413"/>
                    </a:xfrm>
                    <a:prstGeom prst="rect">
                      <a:avLst/>
                    </a:prstGeom>
                    <a:noFill/>
                  </pic:spPr>
                </pic:pic>
              </a:graphicData>
            </a:graphic>
          </wp:inline>
        </w:drawing>
      </w:r>
      <w:r w:rsidRPr="00252D7B">
        <w:rPr>
          <w:rFonts w:asciiTheme="minorHAnsi" w:hAnsiTheme="minorHAnsi" w:cstheme="minorHAnsi"/>
        </w:rPr>
        <w:t xml:space="preserve"> </w:t>
      </w:r>
    </w:p>
    <w:p w14:paraId="42403E97" w14:textId="77777777" w:rsidR="00A41DBB" w:rsidRPr="00252D7B" w:rsidRDefault="00A41DBB" w:rsidP="00A41DBB">
      <w:pPr>
        <w:pStyle w:val="Ttulo3"/>
        <w:spacing w:before="120" w:after="120"/>
        <w:rPr>
          <w:rFonts w:asciiTheme="minorHAnsi" w:hAnsiTheme="minorHAnsi" w:cstheme="minorHAnsi"/>
        </w:rPr>
      </w:pPr>
      <w:bookmarkStart w:id="302" w:name="_Toc94012532"/>
      <w:bookmarkStart w:id="303" w:name="_Toc95830268"/>
      <w:bookmarkStart w:id="304" w:name="_Toc95906796"/>
      <w:bookmarkStart w:id="305" w:name="_Toc97215839"/>
      <w:bookmarkStart w:id="306" w:name="_Toc103680564"/>
      <w:r w:rsidRPr="00252D7B">
        <w:rPr>
          <w:rFonts w:asciiTheme="minorHAnsi" w:hAnsiTheme="minorHAnsi" w:cstheme="minorHAnsi"/>
        </w:rPr>
        <w:lastRenderedPageBreak/>
        <w:t>Estratégia de recrutamento e alocação de pessoas</w:t>
      </w:r>
      <w:bookmarkEnd w:id="302"/>
      <w:bookmarkEnd w:id="303"/>
      <w:r w:rsidRPr="00252D7B">
        <w:rPr>
          <w:rFonts w:asciiTheme="minorHAnsi" w:hAnsiTheme="minorHAnsi" w:cstheme="minorHAnsi"/>
        </w:rPr>
        <w:t>, situação de servidores com condições de aposentadoria;</w:t>
      </w:r>
      <w:bookmarkEnd w:id="304"/>
      <w:bookmarkEnd w:id="305"/>
      <w:bookmarkEnd w:id="306"/>
    </w:p>
    <w:p w14:paraId="35ADF1A3" w14:textId="7F5A8F4B" w:rsidR="00A41DBB" w:rsidRPr="00252D7B" w:rsidRDefault="00A41DBB" w:rsidP="00A41DBB">
      <w:pPr>
        <w:widowControl/>
        <w:shd w:val="clear" w:color="auto" w:fill="FFFFFF"/>
        <w:autoSpaceDE/>
        <w:autoSpaceDN/>
        <w:spacing w:before="120" w:after="120"/>
        <w:jc w:val="both"/>
        <w:rPr>
          <w:rFonts w:asciiTheme="minorHAnsi" w:eastAsia="Times New Roman" w:hAnsiTheme="minorHAnsi" w:cstheme="minorHAnsi"/>
          <w:color w:val="242424"/>
          <w:sz w:val="24"/>
          <w:szCs w:val="24"/>
          <w:lang w:eastAsia="pt-BR" w:bidi="ar-SA"/>
        </w:rPr>
      </w:pPr>
      <w:bookmarkStart w:id="307" w:name="_Toc64571538"/>
      <w:bookmarkStart w:id="308" w:name="_Toc94012533"/>
      <w:bookmarkStart w:id="309" w:name="_Toc95830269"/>
      <w:r w:rsidRPr="00252D7B">
        <w:rPr>
          <w:rFonts w:asciiTheme="minorHAnsi" w:eastAsia="Times New Roman" w:hAnsiTheme="minorHAnsi" w:cstheme="minorHAnsi"/>
          <w:color w:val="242424"/>
          <w:sz w:val="24"/>
          <w:szCs w:val="24"/>
          <w:lang w:eastAsia="pt-BR" w:bidi="ar-SA"/>
        </w:rPr>
        <w:t xml:space="preserve">O provimento dos cargos efetivos na </w:t>
      </w:r>
      <w:r w:rsidR="00610C91" w:rsidRPr="00252D7B">
        <w:rPr>
          <w:rFonts w:asciiTheme="minorHAnsi" w:eastAsia="Times New Roman" w:hAnsiTheme="minorHAnsi" w:cstheme="minorHAnsi"/>
          <w:color w:val="242424"/>
          <w:sz w:val="24"/>
          <w:szCs w:val="24"/>
          <w:lang w:eastAsia="pt-BR" w:bidi="ar-SA"/>
        </w:rPr>
        <w:t>Valec</w:t>
      </w:r>
      <w:r w:rsidRPr="00252D7B">
        <w:rPr>
          <w:rFonts w:asciiTheme="minorHAnsi" w:eastAsia="Times New Roman" w:hAnsiTheme="minorHAnsi" w:cstheme="minorHAnsi"/>
          <w:color w:val="242424"/>
          <w:sz w:val="24"/>
          <w:szCs w:val="24"/>
          <w:lang w:eastAsia="pt-BR" w:bidi="ar-SA"/>
        </w:rPr>
        <w:t xml:space="preserve"> ocorre por meio de Concurso Público, nos moldes previstos na Constituição Federal de 1988.</w:t>
      </w:r>
    </w:p>
    <w:p w14:paraId="6D1BB854" w14:textId="18D52470" w:rsidR="00A41DBB" w:rsidRPr="00252D7B" w:rsidRDefault="00A41DBB" w:rsidP="00A41DBB">
      <w:pPr>
        <w:widowControl/>
        <w:shd w:val="clear" w:color="auto" w:fill="FFFFFF"/>
        <w:autoSpaceDE/>
        <w:autoSpaceDN/>
        <w:spacing w:before="120" w:after="120"/>
        <w:jc w:val="both"/>
        <w:rPr>
          <w:rFonts w:asciiTheme="minorHAnsi" w:eastAsia="Times New Roman" w:hAnsiTheme="minorHAnsi" w:cstheme="minorHAnsi"/>
          <w:color w:val="242424"/>
          <w:sz w:val="24"/>
          <w:szCs w:val="24"/>
          <w:lang w:eastAsia="pt-BR" w:bidi="ar-SA"/>
        </w:rPr>
      </w:pPr>
      <w:r w:rsidRPr="00252D7B">
        <w:rPr>
          <w:rFonts w:asciiTheme="minorHAnsi" w:eastAsia="Times New Roman" w:hAnsiTheme="minorHAnsi" w:cstheme="minorHAnsi"/>
          <w:color w:val="242424"/>
          <w:sz w:val="24"/>
          <w:szCs w:val="24"/>
          <w:lang w:eastAsia="pt-BR" w:bidi="ar-SA"/>
        </w:rPr>
        <w:t xml:space="preserve">Até a presente data a </w:t>
      </w:r>
      <w:r w:rsidR="00610C91" w:rsidRPr="00252D7B">
        <w:rPr>
          <w:rFonts w:asciiTheme="minorHAnsi" w:eastAsia="Times New Roman" w:hAnsiTheme="minorHAnsi" w:cstheme="minorHAnsi"/>
          <w:color w:val="242424"/>
          <w:sz w:val="24"/>
          <w:szCs w:val="24"/>
          <w:lang w:eastAsia="pt-BR" w:bidi="ar-SA"/>
        </w:rPr>
        <w:t>Valec</w:t>
      </w:r>
      <w:r w:rsidRPr="00252D7B">
        <w:rPr>
          <w:rFonts w:asciiTheme="minorHAnsi" w:eastAsia="Times New Roman" w:hAnsiTheme="minorHAnsi" w:cstheme="minorHAnsi"/>
          <w:color w:val="242424"/>
          <w:sz w:val="24"/>
          <w:szCs w:val="24"/>
          <w:lang w:eastAsia="pt-BR" w:bidi="ar-SA"/>
        </w:rPr>
        <w:t xml:space="preserve"> só realizou um Concurso Público, acontecido em 2012, e que teve sua validade vencida em outubro de 2016.</w:t>
      </w:r>
    </w:p>
    <w:p w14:paraId="5B7B5E9B" w14:textId="77777777" w:rsidR="00A41DBB" w:rsidRPr="00252D7B" w:rsidRDefault="00A41DBB" w:rsidP="00A41DBB">
      <w:pPr>
        <w:widowControl/>
        <w:shd w:val="clear" w:color="auto" w:fill="FFFFFF"/>
        <w:autoSpaceDE/>
        <w:autoSpaceDN/>
        <w:spacing w:before="120" w:after="120"/>
        <w:jc w:val="both"/>
        <w:rPr>
          <w:rFonts w:asciiTheme="minorHAnsi" w:eastAsia="Times New Roman" w:hAnsiTheme="minorHAnsi" w:cstheme="minorHAnsi"/>
          <w:color w:val="242424"/>
          <w:sz w:val="24"/>
          <w:szCs w:val="24"/>
          <w:lang w:eastAsia="pt-BR" w:bidi="ar-SA"/>
        </w:rPr>
      </w:pPr>
      <w:r w:rsidRPr="00252D7B">
        <w:rPr>
          <w:rFonts w:asciiTheme="minorHAnsi" w:eastAsia="Times New Roman" w:hAnsiTheme="minorHAnsi" w:cstheme="minorHAnsi"/>
          <w:color w:val="242424"/>
          <w:sz w:val="24"/>
          <w:szCs w:val="24"/>
          <w:lang w:eastAsia="pt-BR" w:bidi="ar-SA"/>
        </w:rPr>
        <w:t>Por não haver ingresso de novos empregados há muito tempo, visando tornar mais eficiente a distribuição dos empregados nas unidades administrativas, fez-se um estudo em fevereiro de 2021 e editou-se a Portaria de Lotação Mínima (Portaria nº 80, de 24 de fevereiro de 2021).</w:t>
      </w:r>
    </w:p>
    <w:p w14:paraId="26E95653" w14:textId="0E043714" w:rsidR="00A41DBB" w:rsidRPr="00252D7B" w:rsidRDefault="00A41DBB" w:rsidP="00A41DBB">
      <w:pPr>
        <w:widowControl/>
        <w:shd w:val="clear" w:color="auto" w:fill="FFFFFF"/>
        <w:autoSpaceDE/>
        <w:autoSpaceDN/>
        <w:spacing w:before="120" w:after="120"/>
        <w:jc w:val="both"/>
        <w:rPr>
          <w:rFonts w:asciiTheme="minorHAnsi" w:eastAsia="Times New Roman" w:hAnsiTheme="minorHAnsi" w:cstheme="minorHAnsi"/>
          <w:color w:val="242424"/>
          <w:sz w:val="24"/>
          <w:szCs w:val="24"/>
          <w:lang w:eastAsia="pt-BR" w:bidi="ar-SA"/>
        </w:rPr>
      </w:pPr>
      <w:r w:rsidRPr="00252D7B">
        <w:rPr>
          <w:rFonts w:asciiTheme="minorHAnsi" w:eastAsia="Times New Roman" w:hAnsiTheme="minorHAnsi" w:cstheme="minorHAnsi"/>
          <w:color w:val="242424"/>
          <w:sz w:val="24"/>
          <w:szCs w:val="24"/>
          <w:lang w:eastAsia="pt-BR" w:bidi="ar-SA"/>
        </w:rPr>
        <w:t xml:space="preserve">Esta aprovou e disciplinou a lotação mínima de pessoal de cada unidade no âmbito </w:t>
      </w:r>
      <w:r w:rsidR="00610C91" w:rsidRPr="00252D7B">
        <w:rPr>
          <w:rFonts w:asciiTheme="minorHAnsi" w:eastAsia="Times New Roman" w:hAnsiTheme="minorHAnsi" w:cstheme="minorHAnsi"/>
          <w:color w:val="242424"/>
          <w:sz w:val="24"/>
          <w:szCs w:val="24"/>
          <w:lang w:eastAsia="pt-BR" w:bidi="ar-SA"/>
        </w:rPr>
        <w:t>Valec</w:t>
      </w:r>
      <w:r w:rsidRPr="00252D7B">
        <w:rPr>
          <w:rFonts w:asciiTheme="minorHAnsi" w:eastAsia="Times New Roman" w:hAnsiTheme="minorHAnsi" w:cstheme="minorHAnsi"/>
          <w:color w:val="242424"/>
          <w:sz w:val="24"/>
          <w:szCs w:val="24"/>
          <w:lang w:eastAsia="pt-BR" w:bidi="ar-SA"/>
        </w:rPr>
        <w:t>, bem como, as necessidades de pessoal identificadas pelo parâmetro estabelecido, de forma a efetivar a gestão de pessoas com foco em competência e meritocracia.</w:t>
      </w:r>
    </w:p>
    <w:p w14:paraId="60A164D9" w14:textId="3307245A" w:rsidR="00A41DBB" w:rsidRPr="00252D7B" w:rsidRDefault="00A41DBB" w:rsidP="00A41DBB">
      <w:pPr>
        <w:widowControl/>
        <w:shd w:val="clear" w:color="auto" w:fill="FFFFFF"/>
        <w:autoSpaceDE/>
        <w:autoSpaceDN/>
        <w:spacing w:before="120" w:after="120"/>
        <w:jc w:val="both"/>
        <w:rPr>
          <w:rFonts w:asciiTheme="minorHAnsi" w:eastAsia="Times New Roman" w:hAnsiTheme="minorHAnsi" w:cstheme="minorHAnsi"/>
          <w:color w:val="242424"/>
          <w:sz w:val="24"/>
          <w:szCs w:val="24"/>
          <w:lang w:eastAsia="pt-BR" w:bidi="ar-SA"/>
        </w:rPr>
      </w:pPr>
      <w:r w:rsidRPr="00252D7B">
        <w:rPr>
          <w:rFonts w:asciiTheme="minorHAnsi" w:eastAsia="Times New Roman" w:hAnsiTheme="minorHAnsi" w:cstheme="minorHAnsi"/>
          <w:color w:val="242424"/>
          <w:sz w:val="24"/>
          <w:szCs w:val="24"/>
          <w:lang w:eastAsia="pt-BR" w:bidi="ar-SA"/>
        </w:rPr>
        <w:t xml:space="preserve">Também são praticados processos seletivos, chamamentos internos, sucessão gerencial, realocação e desligamentos de forma estratégica e planejada, tais como programas de desligamento voluntário (PDV), </w:t>
      </w:r>
      <w:r w:rsidR="00142284">
        <w:rPr>
          <w:rFonts w:asciiTheme="minorHAnsi" w:eastAsia="Times New Roman" w:hAnsiTheme="minorHAnsi" w:cstheme="minorHAnsi"/>
          <w:color w:val="242424"/>
          <w:sz w:val="24"/>
          <w:szCs w:val="24"/>
          <w:lang w:eastAsia="pt-BR" w:bidi="ar-SA"/>
        </w:rPr>
        <w:t>que</w:t>
      </w:r>
      <w:r w:rsidRPr="00252D7B">
        <w:rPr>
          <w:rFonts w:asciiTheme="minorHAnsi" w:eastAsia="Times New Roman" w:hAnsiTheme="minorHAnsi" w:cstheme="minorHAnsi"/>
          <w:color w:val="242424"/>
          <w:sz w:val="24"/>
          <w:szCs w:val="24"/>
          <w:lang w:eastAsia="pt-BR" w:bidi="ar-SA"/>
        </w:rPr>
        <w:t xml:space="preserve"> </w:t>
      </w:r>
      <w:r w:rsidR="00D60B3E" w:rsidRPr="00252D7B">
        <w:rPr>
          <w:rFonts w:asciiTheme="minorHAnsi" w:eastAsia="Times New Roman" w:hAnsiTheme="minorHAnsi" w:cstheme="minorHAnsi"/>
          <w:color w:val="242424"/>
          <w:sz w:val="24"/>
          <w:szCs w:val="24"/>
          <w:lang w:eastAsia="pt-BR" w:bidi="ar-SA"/>
        </w:rPr>
        <w:t>se pretende</w:t>
      </w:r>
      <w:r w:rsidRPr="00252D7B">
        <w:rPr>
          <w:rFonts w:asciiTheme="minorHAnsi" w:eastAsia="Times New Roman" w:hAnsiTheme="minorHAnsi" w:cstheme="minorHAnsi"/>
          <w:color w:val="242424"/>
          <w:sz w:val="24"/>
          <w:szCs w:val="24"/>
          <w:lang w:eastAsia="pt-BR" w:bidi="ar-SA"/>
        </w:rPr>
        <w:t xml:space="preserve"> realizar em 2022.</w:t>
      </w:r>
    </w:p>
    <w:p w14:paraId="2AA6C99A" w14:textId="6A3ECEB0" w:rsidR="00A41DBB" w:rsidRPr="00252D7B" w:rsidRDefault="00A41DBB" w:rsidP="00A41DBB">
      <w:pPr>
        <w:widowControl/>
        <w:shd w:val="clear" w:color="auto" w:fill="FFFFFF"/>
        <w:autoSpaceDE/>
        <w:autoSpaceDN/>
        <w:spacing w:before="120" w:after="120"/>
        <w:jc w:val="both"/>
        <w:rPr>
          <w:rFonts w:asciiTheme="minorHAnsi" w:eastAsia="Times New Roman" w:hAnsiTheme="minorHAnsi" w:cstheme="minorHAnsi"/>
          <w:color w:val="242424"/>
          <w:sz w:val="24"/>
          <w:szCs w:val="24"/>
          <w:lang w:eastAsia="pt-BR" w:bidi="ar-SA"/>
        </w:rPr>
      </w:pPr>
      <w:r w:rsidRPr="00252D7B">
        <w:rPr>
          <w:rFonts w:asciiTheme="minorHAnsi" w:eastAsia="Times New Roman" w:hAnsiTheme="minorHAnsi" w:cstheme="minorHAnsi"/>
          <w:color w:val="242424"/>
          <w:sz w:val="24"/>
          <w:szCs w:val="24"/>
          <w:lang w:eastAsia="pt-BR" w:bidi="ar-SA"/>
        </w:rPr>
        <w:t xml:space="preserve">E conforme consta da já citada </w:t>
      </w:r>
      <w:r w:rsidRPr="00252D7B">
        <w:rPr>
          <w:rFonts w:asciiTheme="minorHAnsi" w:eastAsia="Times New Roman" w:hAnsiTheme="minorHAnsi" w:cstheme="minorHAnsi"/>
          <w:sz w:val="24"/>
          <w:szCs w:val="24"/>
        </w:rPr>
        <w:t xml:space="preserve">Portaria </w:t>
      </w:r>
      <w:r w:rsidR="00610C91" w:rsidRPr="00252D7B">
        <w:rPr>
          <w:rFonts w:asciiTheme="minorHAnsi" w:eastAsia="Times New Roman" w:hAnsiTheme="minorHAnsi" w:cstheme="minorHAnsi"/>
          <w:sz w:val="24"/>
          <w:szCs w:val="24"/>
        </w:rPr>
        <w:t>Valec</w:t>
      </w:r>
      <w:r w:rsidRPr="00252D7B">
        <w:rPr>
          <w:rFonts w:asciiTheme="minorHAnsi" w:eastAsia="Times New Roman" w:hAnsiTheme="minorHAnsi" w:cstheme="minorHAnsi"/>
          <w:sz w:val="24"/>
          <w:szCs w:val="24"/>
        </w:rPr>
        <w:t xml:space="preserve"> nº 741/2019 os cargos comissionados são providos após habilitação junto ao MINFRA e desde o final de 2020 vem sendo implementada uma cultura de prover os cargos comissionados por meio de processos seletivos internos, priorizando a seleção de empregados ocupantes de cargo efetivo e, quando não encontrado o profissional com as competências necessárias ao desempenho do cargo, parte-se para o recrutamento externo.</w:t>
      </w:r>
    </w:p>
    <w:p w14:paraId="5B90DA95" w14:textId="77777777" w:rsidR="00A41DBB" w:rsidRPr="00252D7B" w:rsidRDefault="00A41DBB" w:rsidP="00A41DBB">
      <w:pPr>
        <w:spacing w:before="120" w:after="120"/>
        <w:rPr>
          <w:rFonts w:asciiTheme="minorHAnsi" w:hAnsiTheme="minorHAnsi" w:cstheme="minorHAnsi"/>
          <w:sz w:val="24"/>
          <w:szCs w:val="24"/>
        </w:rPr>
      </w:pPr>
      <w:r w:rsidRPr="00252D7B">
        <w:rPr>
          <w:rFonts w:asciiTheme="minorHAnsi" w:hAnsiTheme="minorHAnsi" w:cstheme="minorHAnsi"/>
          <w:sz w:val="24"/>
          <w:szCs w:val="24"/>
        </w:rPr>
        <w:t xml:space="preserve"> </w:t>
      </w:r>
    </w:p>
    <w:p w14:paraId="5F1E6476" w14:textId="77777777" w:rsidR="00A41DBB" w:rsidRPr="00252D7B" w:rsidRDefault="00A41DBB" w:rsidP="00A41DBB">
      <w:pPr>
        <w:spacing w:before="120" w:after="120"/>
        <w:rPr>
          <w:rFonts w:asciiTheme="minorHAnsi" w:hAnsiTheme="minorHAnsi" w:cstheme="minorHAnsi"/>
        </w:rPr>
        <w:sectPr w:rsidR="00A41DBB" w:rsidRPr="00252D7B" w:rsidSect="001C35E0">
          <w:pgSz w:w="11906" w:h="16838" w:code="9"/>
          <w:pgMar w:top="1440" w:right="1077" w:bottom="1440" w:left="1077" w:header="0" w:footer="714" w:gutter="0"/>
          <w:cols w:space="720"/>
          <w:docGrid w:linePitch="299"/>
        </w:sectPr>
      </w:pPr>
      <w:r w:rsidRPr="00252D7B">
        <w:rPr>
          <w:rFonts w:asciiTheme="minorHAnsi" w:hAnsiTheme="minorHAnsi" w:cstheme="minorHAnsi"/>
        </w:rPr>
        <w:br w:type="page"/>
      </w:r>
    </w:p>
    <w:p w14:paraId="2C00F702" w14:textId="77777777" w:rsidR="00A41DBB" w:rsidRPr="00252D7B" w:rsidRDefault="00A41DBB" w:rsidP="00A41DBB">
      <w:pPr>
        <w:pStyle w:val="Ttulo3"/>
        <w:spacing w:before="120" w:after="120"/>
        <w:rPr>
          <w:rFonts w:asciiTheme="minorHAnsi" w:hAnsiTheme="minorHAnsi" w:cstheme="minorHAnsi"/>
        </w:rPr>
      </w:pPr>
      <w:bookmarkStart w:id="310" w:name="_Toc95906797"/>
      <w:bookmarkStart w:id="311" w:name="_Toc97215840"/>
      <w:bookmarkStart w:id="312" w:name="_Toc103680565"/>
      <w:r w:rsidRPr="00252D7B">
        <w:rPr>
          <w:rFonts w:asciiTheme="minorHAnsi" w:hAnsiTheme="minorHAnsi" w:cstheme="minorHAnsi"/>
        </w:rPr>
        <w:lastRenderedPageBreak/>
        <w:t>Detalhamento da despesa de pessoal</w:t>
      </w:r>
      <w:bookmarkEnd w:id="307"/>
      <w:bookmarkEnd w:id="308"/>
      <w:bookmarkEnd w:id="309"/>
      <w:r w:rsidRPr="00252D7B">
        <w:rPr>
          <w:rFonts w:asciiTheme="minorHAnsi" w:hAnsiTheme="minorHAnsi" w:cstheme="minorHAnsi"/>
        </w:rPr>
        <w:t xml:space="preserve"> (ativo, inativo e pensionista), evolução dos últimos anos e justificativa para o aumento/a diminuição.</w:t>
      </w:r>
      <w:bookmarkEnd w:id="310"/>
      <w:bookmarkEnd w:id="311"/>
      <w:bookmarkEnd w:id="312"/>
    </w:p>
    <w:p w14:paraId="5D2A269D" w14:textId="77777777" w:rsidR="00CE238B" w:rsidRPr="00252D7B" w:rsidRDefault="00CE238B" w:rsidP="00CE238B">
      <w:pPr>
        <w:pStyle w:val="Legenda"/>
        <w:spacing w:before="120" w:after="0"/>
        <w:jc w:val="center"/>
        <w:rPr>
          <w:rFonts w:asciiTheme="minorHAnsi" w:hAnsiTheme="minorHAnsi" w:cstheme="minorHAnsi"/>
          <w:sz w:val="8"/>
          <w:szCs w:val="8"/>
        </w:rPr>
      </w:pPr>
    </w:p>
    <w:p w14:paraId="3C10D008" w14:textId="77777777" w:rsidR="00A41DBB" w:rsidRPr="00252D7B" w:rsidRDefault="00A41DBB" w:rsidP="00A41DBB">
      <w:pPr>
        <w:pStyle w:val="Ttulo4"/>
        <w:spacing w:before="120"/>
        <w:rPr>
          <w:rFonts w:asciiTheme="minorHAnsi" w:hAnsiTheme="minorHAnsi" w:cstheme="minorHAnsi"/>
        </w:rPr>
      </w:pPr>
      <w:bookmarkStart w:id="313" w:name="_Toc97215841"/>
      <w:bookmarkStart w:id="314" w:name="_Toc103680566"/>
      <w:bookmarkStart w:id="315" w:name="_Toc64571541"/>
      <w:bookmarkStart w:id="316" w:name="_Toc94012534"/>
      <w:bookmarkStart w:id="317" w:name="_Toc95830270"/>
      <w:r w:rsidRPr="00252D7B">
        <w:rPr>
          <w:rFonts w:asciiTheme="minorHAnsi" w:hAnsiTheme="minorHAnsi" w:cstheme="minorHAnsi"/>
        </w:rPr>
        <w:t>Demonstrativo das Despesas com Pessoal</w:t>
      </w:r>
      <w:bookmarkEnd w:id="313"/>
      <w:bookmarkEnd w:id="314"/>
    </w:p>
    <w:p w14:paraId="741824A9" w14:textId="77777777" w:rsidR="00CE238B" w:rsidRPr="00252D7B" w:rsidRDefault="00CE238B" w:rsidP="00CE238B">
      <w:pPr>
        <w:pStyle w:val="Legenda"/>
        <w:spacing w:before="120" w:after="0"/>
        <w:jc w:val="center"/>
        <w:rPr>
          <w:rFonts w:asciiTheme="minorHAnsi" w:hAnsiTheme="minorHAnsi" w:cstheme="minorHAnsi"/>
          <w:sz w:val="10"/>
          <w:szCs w:val="10"/>
        </w:rPr>
      </w:pPr>
    </w:p>
    <w:p w14:paraId="6C09A79C" w14:textId="1DA806EC" w:rsidR="00A41DBB" w:rsidRPr="00252D7B" w:rsidRDefault="00A41DBB" w:rsidP="008F412E">
      <w:pPr>
        <w:pStyle w:val="Legenda"/>
        <w:spacing w:after="0"/>
        <w:jc w:val="center"/>
        <w:rPr>
          <w:rFonts w:asciiTheme="minorHAnsi" w:hAnsiTheme="minorHAnsi" w:cstheme="minorHAnsi"/>
          <w:b/>
          <w:sz w:val="20"/>
          <w:szCs w:val="20"/>
        </w:rPr>
      </w:pPr>
      <w:bookmarkStart w:id="318" w:name="_Toc103680677"/>
      <w:r w:rsidRPr="00252D7B">
        <w:rPr>
          <w:rFonts w:asciiTheme="minorHAnsi" w:hAnsiTheme="minorHAnsi" w:cstheme="minorHAnsi"/>
          <w:sz w:val="20"/>
          <w:szCs w:val="20"/>
        </w:rPr>
        <w:t xml:space="preserve">Tabela </w:t>
      </w:r>
      <w:r w:rsidRPr="00252D7B">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Tabela \* ARABIC </w:instrText>
      </w:r>
      <w:r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15</w:t>
      </w:r>
      <w:r w:rsidRPr="00252D7B">
        <w:rPr>
          <w:rFonts w:asciiTheme="minorHAnsi" w:hAnsiTheme="minorHAnsi" w:cstheme="minorHAnsi"/>
          <w:sz w:val="20"/>
          <w:szCs w:val="20"/>
        </w:rPr>
        <w:fldChar w:fldCharType="end"/>
      </w:r>
      <w:r w:rsidRPr="00252D7B">
        <w:rPr>
          <w:rFonts w:asciiTheme="minorHAnsi" w:hAnsiTheme="minorHAnsi" w:cstheme="minorHAnsi"/>
          <w:sz w:val="20"/>
          <w:szCs w:val="20"/>
        </w:rPr>
        <w:t xml:space="preserve"> – Despesas do pessoal: 31/12/2021</w:t>
      </w:r>
      <w:r w:rsidRPr="00252D7B">
        <w:rPr>
          <w:rFonts w:asciiTheme="minorHAnsi" w:hAnsiTheme="minorHAnsi" w:cstheme="minorHAnsi"/>
          <w:b/>
          <w:sz w:val="20"/>
          <w:szCs w:val="20"/>
        </w:rPr>
        <w:t>.</w:t>
      </w:r>
      <w:bookmarkEnd w:id="318"/>
    </w:p>
    <w:p w14:paraId="67E1F322" w14:textId="77777777" w:rsidR="00D631EF" w:rsidRPr="00252D7B" w:rsidRDefault="00D631EF" w:rsidP="00D631EF">
      <w:pPr>
        <w:rPr>
          <w:rFonts w:asciiTheme="minorHAnsi" w:hAnsiTheme="minorHAnsi" w:cstheme="minorHAnsi"/>
          <w:sz w:val="10"/>
          <w:szCs w:val="10"/>
        </w:rPr>
      </w:pPr>
    </w:p>
    <w:tbl>
      <w:tblPr>
        <w:tblStyle w:val="Tabelacomgrade10"/>
        <w:tblW w:w="15593" w:type="dxa"/>
        <w:tblInd w:w="-851" w:type="dxa"/>
        <w:tblLayout w:type="fixed"/>
        <w:tblLook w:val="04A0" w:firstRow="1" w:lastRow="0" w:firstColumn="1" w:lastColumn="0" w:noHBand="0" w:noVBand="1"/>
      </w:tblPr>
      <w:tblGrid>
        <w:gridCol w:w="1300"/>
        <w:gridCol w:w="969"/>
        <w:gridCol w:w="1631"/>
        <w:gridCol w:w="1300"/>
        <w:gridCol w:w="1300"/>
        <w:gridCol w:w="1299"/>
        <w:gridCol w:w="990"/>
        <w:gridCol w:w="1608"/>
        <w:gridCol w:w="1086"/>
        <w:gridCol w:w="1275"/>
        <w:gridCol w:w="1418"/>
        <w:gridCol w:w="1417"/>
      </w:tblGrid>
      <w:tr w:rsidR="00A41DBB" w:rsidRPr="00E03684" w14:paraId="5F2698B8" w14:textId="77777777" w:rsidTr="008F412E">
        <w:trPr>
          <w:trHeight w:val="113"/>
        </w:trPr>
        <w:tc>
          <w:tcPr>
            <w:tcW w:w="2269" w:type="dxa"/>
            <w:gridSpan w:val="2"/>
            <w:vMerge w:val="restart"/>
            <w:tcBorders>
              <w:left w:val="nil"/>
            </w:tcBorders>
            <w:shd w:val="clear" w:color="auto" w:fill="D9D9D9"/>
            <w:noWrap/>
            <w:vAlign w:val="center"/>
            <w:hideMark/>
          </w:tcPr>
          <w:p w14:paraId="496FEA4E" w14:textId="77777777" w:rsidR="00A41DBB" w:rsidRPr="00E03684" w:rsidRDefault="00A41DBB" w:rsidP="008F412E">
            <w:pPr>
              <w:widowControl/>
              <w:autoSpaceDE/>
              <w:autoSpaceDN/>
              <w:jc w:val="center"/>
              <w:rPr>
                <w:rFonts w:asciiTheme="minorHAnsi" w:eastAsia="Times New Roman" w:hAnsiTheme="minorHAnsi" w:cstheme="minorHAnsi"/>
                <w:b/>
                <w:bCs/>
                <w:color w:val="000000"/>
                <w:lang w:bidi="ar-SA"/>
              </w:rPr>
            </w:pPr>
            <w:r w:rsidRPr="00E03684">
              <w:rPr>
                <w:rFonts w:asciiTheme="minorHAnsi" w:eastAsia="Times New Roman" w:hAnsiTheme="minorHAnsi" w:cstheme="minorHAnsi"/>
                <w:b/>
                <w:bCs/>
                <w:color w:val="000000"/>
                <w:lang w:bidi="ar-SA"/>
              </w:rPr>
              <w:t>Tipologias/ Exercícios</w:t>
            </w:r>
          </w:p>
        </w:tc>
        <w:tc>
          <w:tcPr>
            <w:tcW w:w="1631" w:type="dxa"/>
            <w:vMerge w:val="restart"/>
            <w:shd w:val="clear" w:color="auto" w:fill="D9D9D9"/>
            <w:vAlign w:val="center"/>
            <w:hideMark/>
          </w:tcPr>
          <w:p w14:paraId="657C9C0F" w14:textId="5B834E33" w:rsidR="00A41DBB" w:rsidRPr="00E03684" w:rsidRDefault="00A41DBB" w:rsidP="008F412E">
            <w:pPr>
              <w:widowControl/>
              <w:autoSpaceDE/>
              <w:autoSpaceDN/>
              <w:jc w:val="center"/>
              <w:rPr>
                <w:rFonts w:asciiTheme="minorHAnsi" w:eastAsia="Times New Roman" w:hAnsiTheme="minorHAnsi" w:cstheme="minorHAnsi"/>
                <w:b/>
                <w:bCs/>
                <w:color w:val="000000"/>
                <w:lang w:bidi="ar-SA"/>
              </w:rPr>
            </w:pPr>
            <w:r w:rsidRPr="00E03684">
              <w:rPr>
                <w:rFonts w:asciiTheme="minorHAnsi" w:eastAsia="Times New Roman" w:hAnsiTheme="minorHAnsi" w:cstheme="minorHAnsi"/>
                <w:b/>
                <w:bCs/>
                <w:color w:val="000000"/>
                <w:lang w:bidi="ar-SA"/>
              </w:rPr>
              <w:t>Vencimentos e Vantagens Fixas</w:t>
            </w:r>
          </w:p>
        </w:tc>
        <w:tc>
          <w:tcPr>
            <w:tcW w:w="7583" w:type="dxa"/>
            <w:gridSpan w:val="6"/>
            <w:shd w:val="clear" w:color="auto" w:fill="D9D9D9"/>
            <w:vAlign w:val="center"/>
            <w:hideMark/>
          </w:tcPr>
          <w:p w14:paraId="787BD099" w14:textId="77777777" w:rsidR="00A41DBB" w:rsidRPr="00E03684" w:rsidRDefault="00A41DBB" w:rsidP="008F412E">
            <w:pPr>
              <w:widowControl/>
              <w:autoSpaceDE/>
              <w:autoSpaceDN/>
              <w:jc w:val="center"/>
              <w:rPr>
                <w:rFonts w:asciiTheme="minorHAnsi" w:eastAsia="Times New Roman" w:hAnsiTheme="minorHAnsi" w:cstheme="minorHAnsi"/>
                <w:b/>
                <w:bCs/>
                <w:color w:val="000000"/>
                <w:lang w:bidi="ar-SA"/>
              </w:rPr>
            </w:pPr>
            <w:r w:rsidRPr="00E03684">
              <w:rPr>
                <w:rFonts w:asciiTheme="minorHAnsi" w:eastAsia="Times New Roman" w:hAnsiTheme="minorHAnsi" w:cstheme="minorHAnsi"/>
                <w:b/>
                <w:bCs/>
                <w:color w:val="000000"/>
                <w:lang w:bidi="ar-SA"/>
              </w:rPr>
              <w:t>Despesas Variáveis</w:t>
            </w:r>
          </w:p>
        </w:tc>
        <w:tc>
          <w:tcPr>
            <w:tcW w:w="1275" w:type="dxa"/>
            <w:vMerge w:val="restart"/>
            <w:shd w:val="clear" w:color="auto" w:fill="D9D9D9"/>
            <w:vAlign w:val="center"/>
            <w:hideMark/>
          </w:tcPr>
          <w:p w14:paraId="40FE8607" w14:textId="77777777" w:rsidR="00A41DBB" w:rsidRPr="00E03684" w:rsidRDefault="00A41DBB" w:rsidP="008F412E">
            <w:pPr>
              <w:widowControl/>
              <w:autoSpaceDE/>
              <w:autoSpaceDN/>
              <w:jc w:val="center"/>
              <w:rPr>
                <w:rFonts w:asciiTheme="minorHAnsi" w:eastAsia="Times New Roman" w:hAnsiTheme="minorHAnsi" w:cstheme="minorHAnsi"/>
                <w:b/>
                <w:bCs/>
                <w:color w:val="000000"/>
                <w:lang w:bidi="ar-SA"/>
              </w:rPr>
            </w:pPr>
            <w:r w:rsidRPr="00E03684">
              <w:rPr>
                <w:rFonts w:asciiTheme="minorHAnsi" w:eastAsia="Times New Roman" w:hAnsiTheme="minorHAnsi" w:cstheme="minorHAnsi"/>
                <w:b/>
                <w:bCs/>
                <w:color w:val="000000"/>
                <w:lang w:bidi="ar-SA"/>
              </w:rPr>
              <w:t>Despesas de Exercícios Anteriores</w:t>
            </w:r>
          </w:p>
        </w:tc>
        <w:tc>
          <w:tcPr>
            <w:tcW w:w="1418" w:type="dxa"/>
            <w:vMerge w:val="restart"/>
            <w:shd w:val="clear" w:color="auto" w:fill="D9D9D9"/>
            <w:vAlign w:val="center"/>
            <w:hideMark/>
          </w:tcPr>
          <w:p w14:paraId="7F688B89" w14:textId="77777777" w:rsidR="00A41DBB" w:rsidRPr="00E03684" w:rsidRDefault="00A41DBB" w:rsidP="008F412E">
            <w:pPr>
              <w:widowControl/>
              <w:autoSpaceDE/>
              <w:autoSpaceDN/>
              <w:jc w:val="center"/>
              <w:rPr>
                <w:rFonts w:asciiTheme="minorHAnsi" w:eastAsia="Times New Roman" w:hAnsiTheme="minorHAnsi" w:cstheme="minorHAnsi"/>
                <w:b/>
                <w:bCs/>
                <w:color w:val="000000"/>
                <w:lang w:bidi="ar-SA"/>
              </w:rPr>
            </w:pPr>
            <w:r w:rsidRPr="00E03684">
              <w:rPr>
                <w:rFonts w:asciiTheme="minorHAnsi" w:eastAsia="Times New Roman" w:hAnsiTheme="minorHAnsi" w:cstheme="minorHAnsi"/>
                <w:b/>
                <w:bCs/>
                <w:color w:val="000000"/>
                <w:lang w:bidi="ar-SA"/>
              </w:rPr>
              <w:t>Decisões Judiciais</w:t>
            </w:r>
          </w:p>
        </w:tc>
        <w:tc>
          <w:tcPr>
            <w:tcW w:w="1417" w:type="dxa"/>
            <w:vMerge w:val="restart"/>
            <w:tcBorders>
              <w:right w:val="nil"/>
            </w:tcBorders>
            <w:shd w:val="clear" w:color="auto" w:fill="D9D9D9"/>
            <w:vAlign w:val="center"/>
            <w:hideMark/>
          </w:tcPr>
          <w:p w14:paraId="68BE1488" w14:textId="77777777" w:rsidR="00A41DBB" w:rsidRPr="00E03684" w:rsidRDefault="00A41DBB" w:rsidP="008F412E">
            <w:pPr>
              <w:widowControl/>
              <w:autoSpaceDE/>
              <w:autoSpaceDN/>
              <w:jc w:val="center"/>
              <w:rPr>
                <w:rFonts w:asciiTheme="minorHAnsi" w:eastAsia="Times New Roman" w:hAnsiTheme="minorHAnsi" w:cstheme="minorHAnsi"/>
                <w:b/>
                <w:bCs/>
                <w:color w:val="000000"/>
                <w:lang w:bidi="ar-SA"/>
              </w:rPr>
            </w:pPr>
            <w:r w:rsidRPr="00E03684">
              <w:rPr>
                <w:rFonts w:asciiTheme="minorHAnsi" w:eastAsia="Times New Roman" w:hAnsiTheme="minorHAnsi" w:cstheme="minorHAnsi"/>
                <w:b/>
                <w:bCs/>
                <w:color w:val="000000"/>
                <w:lang w:bidi="ar-SA"/>
              </w:rPr>
              <w:t>Total</w:t>
            </w:r>
          </w:p>
        </w:tc>
      </w:tr>
      <w:tr w:rsidR="00453D98" w:rsidRPr="00E03684" w14:paraId="3C4F23FA" w14:textId="77777777" w:rsidTr="008F412E">
        <w:trPr>
          <w:trHeight w:val="113"/>
        </w:trPr>
        <w:tc>
          <w:tcPr>
            <w:tcW w:w="2269" w:type="dxa"/>
            <w:gridSpan w:val="2"/>
            <w:vMerge/>
            <w:tcBorders>
              <w:left w:val="nil"/>
            </w:tcBorders>
            <w:shd w:val="clear" w:color="auto" w:fill="D9D9D9"/>
            <w:hideMark/>
          </w:tcPr>
          <w:p w14:paraId="66BDB996" w14:textId="77777777" w:rsidR="00A41DBB" w:rsidRPr="00E03684" w:rsidRDefault="00A41DBB" w:rsidP="008F412E">
            <w:pPr>
              <w:widowControl/>
              <w:autoSpaceDE/>
              <w:autoSpaceDN/>
              <w:jc w:val="center"/>
              <w:rPr>
                <w:rFonts w:asciiTheme="minorHAnsi" w:eastAsia="Times New Roman" w:hAnsiTheme="minorHAnsi" w:cstheme="minorHAnsi"/>
                <w:b/>
                <w:bCs/>
                <w:color w:val="000000"/>
                <w:lang w:bidi="ar-SA"/>
              </w:rPr>
            </w:pPr>
          </w:p>
        </w:tc>
        <w:tc>
          <w:tcPr>
            <w:tcW w:w="1631" w:type="dxa"/>
            <w:vMerge/>
            <w:shd w:val="clear" w:color="auto" w:fill="D9D9D9"/>
            <w:hideMark/>
          </w:tcPr>
          <w:p w14:paraId="17859B2B" w14:textId="77777777" w:rsidR="00A41DBB" w:rsidRPr="00E03684" w:rsidRDefault="00A41DBB" w:rsidP="008F412E">
            <w:pPr>
              <w:widowControl/>
              <w:autoSpaceDE/>
              <w:autoSpaceDN/>
              <w:jc w:val="center"/>
              <w:rPr>
                <w:rFonts w:asciiTheme="minorHAnsi" w:eastAsia="Times New Roman" w:hAnsiTheme="minorHAnsi" w:cstheme="minorHAnsi"/>
                <w:b/>
                <w:bCs/>
                <w:color w:val="000000"/>
                <w:lang w:bidi="ar-SA"/>
              </w:rPr>
            </w:pPr>
          </w:p>
        </w:tc>
        <w:tc>
          <w:tcPr>
            <w:tcW w:w="1300" w:type="dxa"/>
            <w:shd w:val="clear" w:color="auto" w:fill="D9D9D9"/>
            <w:vAlign w:val="center"/>
            <w:hideMark/>
          </w:tcPr>
          <w:p w14:paraId="7B9E74C5" w14:textId="575BCE99" w:rsidR="00A41DBB" w:rsidRPr="00E03684" w:rsidRDefault="00A41DBB" w:rsidP="008F412E">
            <w:pPr>
              <w:widowControl/>
              <w:autoSpaceDE/>
              <w:autoSpaceDN/>
              <w:jc w:val="center"/>
              <w:rPr>
                <w:rFonts w:asciiTheme="minorHAnsi" w:eastAsia="Times New Roman" w:hAnsiTheme="minorHAnsi" w:cstheme="minorHAnsi"/>
                <w:b/>
                <w:bCs/>
                <w:color w:val="000000"/>
                <w:lang w:bidi="ar-SA"/>
              </w:rPr>
            </w:pPr>
            <w:r w:rsidRPr="00E03684">
              <w:rPr>
                <w:rFonts w:asciiTheme="minorHAnsi" w:eastAsia="Times New Roman" w:hAnsiTheme="minorHAnsi" w:cstheme="minorHAnsi"/>
                <w:b/>
                <w:bCs/>
                <w:color w:val="000000"/>
                <w:lang w:bidi="ar-SA"/>
              </w:rPr>
              <w:t>Retribuições</w:t>
            </w:r>
          </w:p>
        </w:tc>
        <w:tc>
          <w:tcPr>
            <w:tcW w:w="1300" w:type="dxa"/>
            <w:shd w:val="clear" w:color="auto" w:fill="D9D9D9"/>
            <w:vAlign w:val="center"/>
            <w:hideMark/>
          </w:tcPr>
          <w:p w14:paraId="08F29398" w14:textId="77777777" w:rsidR="00A41DBB" w:rsidRPr="00E03684" w:rsidRDefault="00A41DBB" w:rsidP="008F412E">
            <w:pPr>
              <w:widowControl/>
              <w:autoSpaceDE/>
              <w:autoSpaceDN/>
              <w:jc w:val="center"/>
              <w:rPr>
                <w:rFonts w:asciiTheme="minorHAnsi" w:eastAsia="Times New Roman" w:hAnsiTheme="minorHAnsi" w:cstheme="minorHAnsi"/>
                <w:b/>
                <w:bCs/>
                <w:color w:val="000000"/>
                <w:lang w:bidi="ar-SA"/>
              </w:rPr>
            </w:pPr>
            <w:r w:rsidRPr="00E03684">
              <w:rPr>
                <w:rFonts w:asciiTheme="minorHAnsi" w:eastAsia="Times New Roman" w:hAnsiTheme="minorHAnsi" w:cstheme="minorHAnsi"/>
                <w:b/>
                <w:bCs/>
                <w:color w:val="000000"/>
                <w:lang w:bidi="ar-SA"/>
              </w:rPr>
              <w:t>Gratificações</w:t>
            </w:r>
          </w:p>
        </w:tc>
        <w:tc>
          <w:tcPr>
            <w:tcW w:w="1299" w:type="dxa"/>
            <w:shd w:val="clear" w:color="auto" w:fill="D9D9D9"/>
            <w:vAlign w:val="center"/>
            <w:hideMark/>
          </w:tcPr>
          <w:p w14:paraId="5D14E298" w14:textId="77777777" w:rsidR="00A41DBB" w:rsidRPr="00E03684" w:rsidRDefault="00A41DBB" w:rsidP="008F412E">
            <w:pPr>
              <w:widowControl/>
              <w:autoSpaceDE/>
              <w:autoSpaceDN/>
              <w:jc w:val="center"/>
              <w:rPr>
                <w:rFonts w:asciiTheme="minorHAnsi" w:eastAsia="Times New Roman" w:hAnsiTheme="minorHAnsi" w:cstheme="minorHAnsi"/>
                <w:b/>
                <w:bCs/>
                <w:color w:val="000000"/>
                <w:lang w:bidi="ar-SA"/>
              </w:rPr>
            </w:pPr>
            <w:r w:rsidRPr="00E03684">
              <w:rPr>
                <w:rFonts w:asciiTheme="minorHAnsi" w:eastAsia="Times New Roman" w:hAnsiTheme="minorHAnsi" w:cstheme="minorHAnsi"/>
                <w:b/>
                <w:bCs/>
                <w:color w:val="000000"/>
                <w:lang w:bidi="ar-SA"/>
              </w:rPr>
              <w:t>Adicionais</w:t>
            </w:r>
          </w:p>
        </w:tc>
        <w:tc>
          <w:tcPr>
            <w:tcW w:w="990" w:type="dxa"/>
            <w:shd w:val="clear" w:color="auto" w:fill="D9D9D9"/>
            <w:vAlign w:val="center"/>
            <w:hideMark/>
          </w:tcPr>
          <w:p w14:paraId="0545B9CA" w14:textId="77777777" w:rsidR="00A41DBB" w:rsidRPr="00E03684" w:rsidRDefault="00A41DBB" w:rsidP="008F412E">
            <w:pPr>
              <w:widowControl/>
              <w:autoSpaceDE/>
              <w:autoSpaceDN/>
              <w:jc w:val="center"/>
              <w:rPr>
                <w:rFonts w:asciiTheme="minorHAnsi" w:eastAsia="Times New Roman" w:hAnsiTheme="minorHAnsi" w:cstheme="minorHAnsi"/>
                <w:b/>
                <w:bCs/>
                <w:color w:val="000000"/>
                <w:lang w:bidi="ar-SA"/>
              </w:rPr>
            </w:pPr>
            <w:r w:rsidRPr="00E03684">
              <w:rPr>
                <w:rFonts w:asciiTheme="minorHAnsi" w:eastAsia="Times New Roman" w:hAnsiTheme="minorHAnsi" w:cstheme="minorHAnsi"/>
                <w:b/>
                <w:bCs/>
                <w:color w:val="000000"/>
                <w:lang w:bidi="ar-SA"/>
              </w:rPr>
              <w:t>Indenizações</w:t>
            </w:r>
          </w:p>
        </w:tc>
        <w:tc>
          <w:tcPr>
            <w:tcW w:w="1608" w:type="dxa"/>
            <w:shd w:val="clear" w:color="auto" w:fill="D9D9D9"/>
            <w:vAlign w:val="center"/>
            <w:hideMark/>
          </w:tcPr>
          <w:p w14:paraId="5EF52251" w14:textId="77777777" w:rsidR="00A41DBB" w:rsidRPr="00E03684" w:rsidRDefault="00A41DBB" w:rsidP="008F412E">
            <w:pPr>
              <w:widowControl/>
              <w:autoSpaceDE/>
              <w:autoSpaceDN/>
              <w:jc w:val="center"/>
              <w:rPr>
                <w:rFonts w:asciiTheme="minorHAnsi" w:eastAsia="Times New Roman" w:hAnsiTheme="minorHAnsi" w:cstheme="minorHAnsi"/>
                <w:b/>
                <w:bCs/>
                <w:color w:val="000000"/>
                <w:lang w:bidi="ar-SA"/>
              </w:rPr>
            </w:pPr>
            <w:r w:rsidRPr="00E03684">
              <w:rPr>
                <w:rFonts w:asciiTheme="minorHAnsi" w:eastAsia="Times New Roman" w:hAnsiTheme="minorHAnsi" w:cstheme="minorHAnsi"/>
                <w:b/>
                <w:bCs/>
                <w:color w:val="000000"/>
                <w:lang w:bidi="ar-SA"/>
              </w:rPr>
              <w:t>Benefícios Assistenciais e Previdenciários</w:t>
            </w:r>
          </w:p>
        </w:tc>
        <w:tc>
          <w:tcPr>
            <w:tcW w:w="1086" w:type="dxa"/>
            <w:shd w:val="clear" w:color="auto" w:fill="D9D9D9"/>
            <w:vAlign w:val="center"/>
            <w:hideMark/>
          </w:tcPr>
          <w:p w14:paraId="7D327682" w14:textId="77777777" w:rsidR="00A41DBB" w:rsidRPr="00E03684" w:rsidRDefault="00A41DBB" w:rsidP="008F412E">
            <w:pPr>
              <w:widowControl/>
              <w:autoSpaceDE/>
              <w:autoSpaceDN/>
              <w:jc w:val="center"/>
              <w:rPr>
                <w:rFonts w:asciiTheme="minorHAnsi" w:eastAsia="Times New Roman" w:hAnsiTheme="minorHAnsi" w:cstheme="minorHAnsi"/>
                <w:b/>
                <w:bCs/>
                <w:color w:val="000000"/>
                <w:lang w:bidi="ar-SA"/>
              </w:rPr>
            </w:pPr>
            <w:r w:rsidRPr="00E03684">
              <w:rPr>
                <w:rFonts w:asciiTheme="minorHAnsi" w:eastAsia="Times New Roman" w:hAnsiTheme="minorHAnsi" w:cstheme="minorHAnsi"/>
                <w:b/>
                <w:bCs/>
                <w:color w:val="000000"/>
                <w:lang w:bidi="ar-SA"/>
              </w:rPr>
              <w:t>Demais Despesas Variáveis</w:t>
            </w:r>
          </w:p>
        </w:tc>
        <w:tc>
          <w:tcPr>
            <w:tcW w:w="1275" w:type="dxa"/>
            <w:vMerge/>
            <w:shd w:val="clear" w:color="auto" w:fill="D9D9D9"/>
            <w:hideMark/>
          </w:tcPr>
          <w:p w14:paraId="13F94773" w14:textId="77777777" w:rsidR="00A41DBB" w:rsidRPr="00E03684" w:rsidRDefault="00A41DBB" w:rsidP="008F412E">
            <w:pPr>
              <w:widowControl/>
              <w:autoSpaceDE/>
              <w:autoSpaceDN/>
              <w:jc w:val="center"/>
              <w:rPr>
                <w:rFonts w:asciiTheme="minorHAnsi" w:eastAsia="Times New Roman" w:hAnsiTheme="minorHAnsi" w:cstheme="minorHAnsi"/>
                <w:b/>
                <w:bCs/>
                <w:color w:val="000000"/>
                <w:lang w:bidi="ar-SA"/>
              </w:rPr>
            </w:pPr>
          </w:p>
        </w:tc>
        <w:tc>
          <w:tcPr>
            <w:tcW w:w="1418" w:type="dxa"/>
            <w:vMerge/>
            <w:shd w:val="clear" w:color="auto" w:fill="D9D9D9"/>
            <w:hideMark/>
          </w:tcPr>
          <w:p w14:paraId="5D36C1BF" w14:textId="77777777" w:rsidR="00A41DBB" w:rsidRPr="00E03684" w:rsidRDefault="00A41DBB" w:rsidP="008F412E">
            <w:pPr>
              <w:widowControl/>
              <w:autoSpaceDE/>
              <w:autoSpaceDN/>
              <w:jc w:val="center"/>
              <w:rPr>
                <w:rFonts w:asciiTheme="minorHAnsi" w:eastAsia="Times New Roman" w:hAnsiTheme="minorHAnsi" w:cstheme="minorHAnsi"/>
                <w:b/>
                <w:bCs/>
                <w:color w:val="000000"/>
                <w:lang w:bidi="ar-SA"/>
              </w:rPr>
            </w:pPr>
          </w:p>
        </w:tc>
        <w:tc>
          <w:tcPr>
            <w:tcW w:w="1417" w:type="dxa"/>
            <w:vMerge/>
            <w:tcBorders>
              <w:right w:val="nil"/>
            </w:tcBorders>
            <w:shd w:val="clear" w:color="auto" w:fill="D9D9D9"/>
            <w:hideMark/>
          </w:tcPr>
          <w:p w14:paraId="18B3945B" w14:textId="77777777" w:rsidR="00A41DBB" w:rsidRPr="00E03684" w:rsidRDefault="00A41DBB" w:rsidP="008F412E">
            <w:pPr>
              <w:widowControl/>
              <w:autoSpaceDE/>
              <w:autoSpaceDN/>
              <w:jc w:val="center"/>
              <w:rPr>
                <w:rFonts w:asciiTheme="minorHAnsi" w:eastAsia="Times New Roman" w:hAnsiTheme="minorHAnsi" w:cstheme="minorHAnsi"/>
                <w:b/>
                <w:bCs/>
                <w:color w:val="000000"/>
                <w:lang w:bidi="ar-SA"/>
              </w:rPr>
            </w:pPr>
          </w:p>
        </w:tc>
      </w:tr>
      <w:tr w:rsidR="00A41DBB" w:rsidRPr="00E03684" w14:paraId="5666A5AA" w14:textId="77777777" w:rsidTr="008F412E">
        <w:trPr>
          <w:trHeight w:val="113"/>
        </w:trPr>
        <w:tc>
          <w:tcPr>
            <w:tcW w:w="15593" w:type="dxa"/>
            <w:gridSpan w:val="12"/>
            <w:tcBorders>
              <w:left w:val="nil"/>
              <w:right w:val="nil"/>
            </w:tcBorders>
            <w:noWrap/>
            <w:hideMark/>
          </w:tcPr>
          <w:p w14:paraId="4323FB25" w14:textId="77777777" w:rsidR="00A41DBB" w:rsidRPr="00E03684" w:rsidRDefault="00A41DBB" w:rsidP="008F412E">
            <w:pPr>
              <w:widowControl/>
              <w:autoSpaceDE/>
              <w:autoSpaceDN/>
              <w:jc w:val="center"/>
              <w:rPr>
                <w:rFonts w:asciiTheme="minorHAnsi" w:eastAsia="Times New Roman" w:hAnsiTheme="minorHAnsi" w:cstheme="minorHAnsi"/>
                <w:b/>
                <w:bCs/>
                <w:color w:val="000000"/>
                <w:lang w:bidi="ar-SA"/>
              </w:rPr>
            </w:pPr>
            <w:r w:rsidRPr="00E03684">
              <w:rPr>
                <w:rFonts w:asciiTheme="minorHAnsi" w:eastAsia="Times New Roman" w:hAnsiTheme="minorHAnsi" w:cstheme="minorHAnsi"/>
                <w:b/>
                <w:bCs/>
                <w:color w:val="000000"/>
                <w:lang w:bidi="ar-SA"/>
              </w:rPr>
              <w:t>Membros de poder e agentes políticos</w:t>
            </w:r>
          </w:p>
        </w:tc>
      </w:tr>
      <w:tr w:rsidR="00A41DBB" w:rsidRPr="00E03684" w14:paraId="2DA7B55A" w14:textId="77777777" w:rsidTr="008F412E">
        <w:trPr>
          <w:trHeight w:val="113"/>
        </w:trPr>
        <w:tc>
          <w:tcPr>
            <w:tcW w:w="1300" w:type="dxa"/>
            <w:vMerge w:val="restart"/>
            <w:tcBorders>
              <w:left w:val="nil"/>
            </w:tcBorders>
            <w:noWrap/>
            <w:vAlign w:val="center"/>
            <w:hideMark/>
          </w:tcPr>
          <w:p w14:paraId="3AEE41D3" w14:textId="77777777" w:rsidR="00A41DBB" w:rsidRPr="00E03684" w:rsidRDefault="00A41DBB" w:rsidP="008F412E">
            <w:pPr>
              <w:widowControl/>
              <w:autoSpaceDE/>
              <w:autoSpaceDN/>
              <w:jc w:val="center"/>
              <w:rPr>
                <w:rFonts w:asciiTheme="minorHAnsi" w:eastAsia="Times New Roman" w:hAnsiTheme="minorHAnsi" w:cstheme="minorHAnsi"/>
                <w:b/>
                <w:bCs/>
                <w:color w:val="000000"/>
                <w:lang w:bidi="ar-SA"/>
              </w:rPr>
            </w:pPr>
            <w:r w:rsidRPr="00E03684">
              <w:rPr>
                <w:rFonts w:asciiTheme="minorHAnsi" w:eastAsia="Times New Roman" w:hAnsiTheme="minorHAnsi" w:cstheme="minorHAnsi"/>
                <w:b/>
                <w:bCs/>
                <w:color w:val="000000"/>
                <w:lang w:bidi="ar-SA"/>
              </w:rPr>
              <w:t>Exercícios</w:t>
            </w:r>
          </w:p>
        </w:tc>
        <w:tc>
          <w:tcPr>
            <w:tcW w:w="969" w:type="dxa"/>
            <w:vAlign w:val="center"/>
            <w:hideMark/>
          </w:tcPr>
          <w:p w14:paraId="6160180A" w14:textId="77777777" w:rsidR="00A41DBB" w:rsidRPr="00E03684" w:rsidRDefault="00A41DBB" w:rsidP="008F412E">
            <w:pPr>
              <w:widowControl/>
              <w:autoSpaceDE/>
              <w:autoSpaceDN/>
              <w:jc w:val="center"/>
              <w:rPr>
                <w:rFonts w:asciiTheme="minorHAnsi" w:eastAsia="Times New Roman" w:hAnsiTheme="minorHAnsi" w:cstheme="minorHAnsi"/>
                <w:b/>
                <w:bCs/>
                <w:color w:val="000000"/>
                <w:lang w:bidi="ar-SA"/>
              </w:rPr>
            </w:pPr>
            <w:r w:rsidRPr="00E03684">
              <w:rPr>
                <w:rFonts w:asciiTheme="minorHAnsi" w:eastAsia="Times New Roman" w:hAnsiTheme="minorHAnsi" w:cstheme="minorHAnsi"/>
                <w:b/>
                <w:bCs/>
                <w:color w:val="000000"/>
                <w:lang w:bidi="ar-SA"/>
              </w:rPr>
              <w:t>2021</w:t>
            </w:r>
          </w:p>
        </w:tc>
        <w:tc>
          <w:tcPr>
            <w:tcW w:w="1631" w:type="dxa"/>
            <w:hideMark/>
          </w:tcPr>
          <w:p w14:paraId="3E87100C"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p>
        </w:tc>
        <w:tc>
          <w:tcPr>
            <w:tcW w:w="1300" w:type="dxa"/>
            <w:hideMark/>
          </w:tcPr>
          <w:p w14:paraId="5E7F8316"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p>
        </w:tc>
        <w:tc>
          <w:tcPr>
            <w:tcW w:w="1300" w:type="dxa"/>
            <w:hideMark/>
          </w:tcPr>
          <w:p w14:paraId="5CD4BDF4"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p>
        </w:tc>
        <w:tc>
          <w:tcPr>
            <w:tcW w:w="1299" w:type="dxa"/>
            <w:hideMark/>
          </w:tcPr>
          <w:p w14:paraId="6888271C"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p>
        </w:tc>
        <w:tc>
          <w:tcPr>
            <w:tcW w:w="990" w:type="dxa"/>
            <w:hideMark/>
          </w:tcPr>
          <w:p w14:paraId="4A514579"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p>
        </w:tc>
        <w:tc>
          <w:tcPr>
            <w:tcW w:w="1608" w:type="dxa"/>
            <w:hideMark/>
          </w:tcPr>
          <w:p w14:paraId="2AE306CE"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p>
        </w:tc>
        <w:tc>
          <w:tcPr>
            <w:tcW w:w="1086" w:type="dxa"/>
            <w:hideMark/>
          </w:tcPr>
          <w:p w14:paraId="6288CA20"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p>
        </w:tc>
        <w:tc>
          <w:tcPr>
            <w:tcW w:w="1275" w:type="dxa"/>
            <w:hideMark/>
          </w:tcPr>
          <w:p w14:paraId="34BF1DCB"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p>
        </w:tc>
        <w:tc>
          <w:tcPr>
            <w:tcW w:w="1418" w:type="dxa"/>
            <w:hideMark/>
          </w:tcPr>
          <w:p w14:paraId="22E6CB5E"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p>
        </w:tc>
        <w:tc>
          <w:tcPr>
            <w:tcW w:w="1417" w:type="dxa"/>
            <w:tcBorders>
              <w:right w:val="nil"/>
            </w:tcBorders>
            <w:hideMark/>
          </w:tcPr>
          <w:p w14:paraId="0B1487BB"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p>
        </w:tc>
      </w:tr>
      <w:tr w:rsidR="00A41DBB" w:rsidRPr="00E03684" w14:paraId="329B3EC4" w14:textId="77777777" w:rsidTr="008F412E">
        <w:trPr>
          <w:trHeight w:val="113"/>
        </w:trPr>
        <w:tc>
          <w:tcPr>
            <w:tcW w:w="1300" w:type="dxa"/>
            <w:vMerge/>
            <w:tcBorders>
              <w:left w:val="nil"/>
            </w:tcBorders>
            <w:vAlign w:val="center"/>
            <w:hideMark/>
          </w:tcPr>
          <w:p w14:paraId="15E4FBD0" w14:textId="77777777" w:rsidR="00A41DBB" w:rsidRPr="00E03684" w:rsidRDefault="00A41DBB" w:rsidP="008F412E">
            <w:pPr>
              <w:widowControl/>
              <w:autoSpaceDE/>
              <w:autoSpaceDN/>
              <w:jc w:val="center"/>
              <w:rPr>
                <w:rFonts w:asciiTheme="minorHAnsi" w:eastAsia="Times New Roman" w:hAnsiTheme="minorHAnsi" w:cstheme="minorHAnsi"/>
                <w:b/>
                <w:bCs/>
                <w:color w:val="000000"/>
                <w:lang w:bidi="ar-SA"/>
              </w:rPr>
            </w:pPr>
          </w:p>
        </w:tc>
        <w:tc>
          <w:tcPr>
            <w:tcW w:w="969" w:type="dxa"/>
            <w:vAlign w:val="center"/>
            <w:hideMark/>
          </w:tcPr>
          <w:p w14:paraId="0C9D244C" w14:textId="77777777" w:rsidR="00A41DBB" w:rsidRPr="00E03684" w:rsidRDefault="00A41DBB" w:rsidP="008F412E">
            <w:pPr>
              <w:widowControl/>
              <w:autoSpaceDE/>
              <w:autoSpaceDN/>
              <w:jc w:val="center"/>
              <w:rPr>
                <w:rFonts w:asciiTheme="minorHAnsi" w:eastAsia="Times New Roman" w:hAnsiTheme="minorHAnsi" w:cstheme="minorHAnsi"/>
                <w:b/>
                <w:bCs/>
                <w:color w:val="000000"/>
                <w:lang w:bidi="ar-SA"/>
              </w:rPr>
            </w:pPr>
            <w:r w:rsidRPr="00E03684">
              <w:rPr>
                <w:rFonts w:asciiTheme="minorHAnsi" w:eastAsia="Times New Roman" w:hAnsiTheme="minorHAnsi" w:cstheme="minorHAnsi"/>
                <w:b/>
                <w:bCs/>
                <w:color w:val="000000"/>
                <w:lang w:bidi="ar-SA"/>
              </w:rPr>
              <w:t>2020</w:t>
            </w:r>
          </w:p>
        </w:tc>
        <w:tc>
          <w:tcPr>
            <w:tcW w:w="1631" w:type="dxa"/>
            <w:hideMark/>
          </w:tcPr>
          <w:p w14:paraId="038620E6"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p>
        </w:tc>
        <w:tc>
          <w:tcPr>
            <w:tcW w:w="1300" w:type="dxa"/>
            <w:hideMark/>
          </w:tcPr>
          <w:p w14:paraId="4BA8CE41"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p>
        </w:tc>
        <w:tc>
          <w:tcPr>
            <w:tcW w:w="1300" w:type="dxa"/>
            <w:hideMark/>
          </w:tcPr>
          <w:p w14:paraId="25FD5E05"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p>
        </w:tc>
        <w:tc>
          <w:tcPr>
            <w:tcW w:w="1299" w:type="dxa"/>
            <w:hideMark/>
          </w:tcPr>
          <w:p w14:paraId="040CA775"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p>
        </w:tc>
        <w:tc>
          <w:tcPr>
            <w:tcW w:w="990" w:type="dxa"/>
            <w:hideMark/>
          </w:tcPr>
          <w:p w14:paraId="7480EB79"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p>
        </w:tc>
        <w:tc>
          <w:tcPr>
            <w:tcW w:w="1608" w:type="dxa"/>
            <w:hideMark/>
          </w:tcPr>
          <w:p w14:paraId="10D67519"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p>
        </w:tc>
        <w:tc>
          <w:tcPr>
            <w:tcW w:w="1086" w:type="dxa"/>
            <w:hideMark/>
          </w:tcPr>
          <w:p w14:paraId="0E57088B"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p>
        </w:tc>
        <w:tc>
          <w:tcPr>
            <w:tcW w:w="1275" w:type="dxa"/>
            <w:hideMark/>
          </w:tcPr>
          <w:p w14:paraId="3BEF6269"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p>
        </w:tc>
        <w:tc>
          <w:tcPr>
            <w:tcW w:w="1418" w:type="dxa"/>
            <w:hideMark/>
          </w:tcPr>
          <w:p w14:paraId="699F2C89"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p>
        </w:tc>
        <w:tc>
          <w:tcPr>
            <w:tcW w:w="1417" w:type="dxa"/>
            <w:tcBorders>
              <w:right w:val="nil"/>
            </w:tcBorders>
            <w:hideMark/>
          </w:tcPr>
          <w:p w14:paraId="1A7C6E2C"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p>
        </w:tc>
      </w:tr>
      <w:tr w:rsidR="00A41DBB" w:rsidRPr="00E03684" w14:paraId="54322C75" w14:textId="77777777" w:rsidTr="008F412E">
        <w:trPr>
          <w:trHeight w:val="113"/>
        </w:trPr>
        <w:tc>
          <w:tcPr>
            <w:tcW w:w="15593" w:type="dxa"/>
            <w:gridSpan w:val="12"/>
            <w:tcBorders>
              <w:left w:val="nil"/>
              <w:right w:val="nil"/>
            </w:tcBorders>
            <w:noWrap/>
            <w:vAlign w:val="center"/>
            <w:hideMark/>
          </w:tcPr>
          <w:p w14:paraId="08C3A233" w14:textId="77777777" w:rsidR="00A41DBB" w:rsidRPr="00E03684" w:rsidRDefault="00A41DBB" w:rsidP="008F412E">
            <w:pPr>
              <w:widowControl/>
              <w:autoSpaceDE/>
              <w:autoSpaceDN/>
              <w:jc w:val="center"/>
              <w:rPr>
                <w:rFonts w:asciiTheme="minorHAnsi" w:eastAsia="Times New Roman" w:hAnsiTheme="minorHAnsi" w:cstheme="minorHAnsi"/>
                <w:b/>
                <w:bCs/>
                <w:color w:val="000000"/>
                <w:lang w:bidi="ar-SA"/>
              </w:rPr>
            </w:pPr>
            <w:r w:rsidRPr="00E03684">
              <w:rPr>
                <w:rFonts w:asciiTheme="minorHAnsi" w:eastAsia="Times New Roman" w:hAnsiTheme="minorHAnsi" w:cstheme="minorHAnsi"/>
                <w:b/>
                <w:bCs/>
                <w:color w:val="000000"/>
                <w:lang w:bidi="ar-SA"/>
              </w:rPr>
              <w:t>Servidores de carreira vinculados ao órgão da unidade</w:t>
            </w:r>
          </w:p>
        </w:tc>
      </w:tr>
      <w:tr w:rsidR="00A41DBB" w:rsidRPr="00E03684" w14:paraId="5CA79EF4" w14:textId="77777777" w:rsidTr="008F412E">
        <w:trPr>
          <w:trHeight w:val="113"/>
        </w:trPr>
        <w:tc>
          <w:tcPr>
            <w:tcW w:w="1300" w:type="dxa"/>
            <w:vMerge w:val="restart"/>
            <w:tcBorders>
              <w:left w:val="nil"/>
            </w:tcBorders>
            <w:noWrap/>
            <w:vAlign w:val="center"/>
            <w:hideMark/>
          </w:tcPr>
          <w:p w14:paraId="23E06B9B" w14:textId="77777777" w:rsidR="00A41DBB" w:rsidRPr="00E03684" w:rsidRDefault="00A41DBB" w:rsidP="008F412E">
            <w:pPr>
              <w:widowControl/>
              <w:autoSpaceDE/>
              <w:autoSpaceDN/>
              <w:jc w:val="center"/>
              <w:rPr>
                <w:rFonts w:asciiTheme="minorHAnsi" w:eastAsia="Times New Roman" w:hAnsiTheme="minorHAnsi" w:cstheme="minorHAnsi"/>
                <w:b/>
                <w:bCs/>
                <w:color w:val="000000"/>
                <w:lang w:bidi="ar-SA"/>
              </w:rPr>
            </w:pPr>
            <w:r w:rsidRPr="00E03684">
              <w:rPr>
                <w:rFonts w:asciiTheme="minorHAnsi" w:eastAsia="Times New Roman" w:hAnsiTheme="minorHAnsi" w:cstheme="minorHAnsi"/>
                <w:b/>
                <w:bCs/>
                <w:color w:val="000000"/>
                <w:lang w:bidi="ar-SA"/>
              </w:rPr>
              <w:t>Exercícios</w:t>
            </w:r>
          </w:p>
        </w:tc>
        <w:tc>
          <w:tcPr>
            <w:tcW w:w="969" w:type="dxa"/>
            <w:vAlign w:val="center"/>
            <w:hideMark/>
          </w:tcPr>
          <w:p w14:paraId="738CF0BF" w14:textId="77777777" w:rsidR="00A41DBB" w:rsidRPr="00E03684" w:rsidRDefault="00A41DBB" w:rsidP="008F412E">
            <w:pPr>
              <w:widowControl/>
              <w:autoSpaceDE/>
              <w:autoSpaceDN/>
              <w:jc w:val="center"/>
              <w:rPr>
                <w:rFonts w:asciiTheme="minorHAnsi" w:eastAsia="Times New Roman" w:hAnsiTheme="minorHAnsi" w:cstheme="minorHAnsi"/>
                <w:b/>
                <w:bCs/>
                <w:color w:val="000000"/>
                <w:lang w:bidi="ar-SA"/>
              </w:rPr>
            </w:pPr>
            <w:r w:rsidRPr="00E03684">
              <w:rPr>
                <w:rFonts w:asciiTheme="minorHAnsi" w:eastAsia="Times New Roman" w:hAnsiTheme="minorHAnsi" w:cstheme="minorHAnsi"/>
                <w:b/>
                <w:bCs/>
                <w:color w:val="000000"/>
                <w:lang w:bidi="ar-SA"/>
              </w:rPr>
              <w:t>2021</w:t>
            </w:r>
          </w:p>
        </w:tc>
        <w:tc>
          <w:tcPr>
            <w:tcW w:w="1631" w:type="dxa"/>
            <w:vAlign w:val="center"/>
            <w:hideMark/>
          </w:tcPr>
          <w:p w14:paraId="00FCCE9F" w14:textId="77777777" w:rsidR="00A41DBB" w:rsidRPr="00E03684" w:rsidRDefault="00A41DBB" w:rsidP="008F412E">
            <w:pPr>
              <w:widowControl/>
              <w:autoSpaceDE/>
              <w:autoSpaceDN/>
              <w:jc w:val="right"/>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32.315.324,80</w:t>
            </w:r>
          </w:p>
        </w:tc>
        <w:tc>
          <w:tcPr>
            <w:tcW w:w="1300" w:type="dxa"/>
            <w:vAlign w:val="center"/>
            <w:hideMark/>
          </w:tcPr>
          <w:p w14:paraId="7D8F475B" w14:textId="77777777" w:rsidR="00A41DBB" w:rsidRPr="00E03684" w:rsidRDefault="00A41DBB" w:rsidP="008F412E">
            <w:pPr>
              <w:widowControl/>
              <w:autoSpaceDE/>
              <w:autoSpaceDN/>
              <w:jc w:val="right"/>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7.344.673,70</w:t>
            </w:r>
          </w:p>
        </w:tc>
        <w:tc>
          <w:tcPr>
            <w:tcW w:w="1300" w:type="dxa"/>
            <w:vAlign w:val="center"/>
            <w:hideMark/>
          </w:tcPr>
          <w:p w14:paraId="7CB16498" w14:textId="77777777" w:rsidR="00A41DBB" w:rsidRPr="00E03684" w:rsidRDefault="00A41DBB" w:rsidP="008F412E">
            <w:pPr>
              <w:widowControl/>
              <w:autoSpaceDE/>
              <w:autoSpaceDN/>
              <w:jc w:val="right"/>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3.225.099,10</w:t>
            </w:r>
          </w:p>
        </w:tc>
        <w:tc>
          <w:tcPr>
            <w:tcW w:w="1299" w:type="dxa"/>
            <w:vAlign w:val="center"/>
            <w:hideMark/>
          </w:tcPr>
          <w:p w14:paraId="3C6D0E3C" w14:textId="77777777" w:rsidR="00A41DBB" w:rsidRPr="00E03684" w:rsidRDefault="00A41DBB" w:rsidP="008F412E">
            <w:pPr>
              <w:widowControl/>
              <w:autoSpaceDE/>
              <w:autoSpaceDN/>
              <w:jc w:val="right"/>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3.795.838,56</w:t>
            </w:r>
          </w:p>
        </w:tc>
        <w:tc>
          <w:tcPr>
            <w:tcW w:w="990" w:type="dxa"/>
            <w:vAlign w:val="center"/>
            <w:hideMark/>
          </w:tcPr>
          <w:p w14:paraId="3EC7E6BE" w14:textId="77777777" w:rsidR="00A41DBB" w:rsidRPr="00E03684" w:rsidRDefault="00A41DBB" w:rsidP="008F412E">
            <w:pPr>
              <w:widowControl/>
              <w:autoSpaceDE/>
              <w:autoSpaceDN/>
              <w:jc w:val="right"/>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0,00</w:t>
            </w:r>
          </w:p>
        </w:tc>
        <w:tc>
          <w:tcPr>
            <w:tcW w:w="1608" w:type="dxa"/>
            <w:vAlign w:val="center"/>
            <w:hideMark/>
          </w:tcPr>
          <w:p w14:paraId="15EBE3CA" w14:textId="77777777" w:rsidR="00A41DBB" w:rsidRPr="00E03684" w:rsidRDefault="00A41DBB" w:rsidP="008F412E">
            <w:pPr>
              <w:widowControl/>
              <w:autoSpaceDE/>
              <w:autoSpaceDN/>
              <w:jc w:val="right"/>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0,00</w:t>
            </w:r>
          </w:p>
        </w:tc>
        <w:tc>
          <w:tcPr>
            <w:tcW w:w="1086" w:type="dxa"/>
            <w:vAlign w:val="center"/>
            <w:hideMark/>
          </w:tcPr>
          <w:p w14:paraId="158E6AEB" w14:textId="77777777" w:rsidR="00A41DBB" w:rsidRPr="00E03684" w:rsidRDefault="00A41DBB" w:rsidP="008F412E">
            <w:pPr>
              <w:widowControl/>
              <w:autoSpaceDE/>
              <w:autoSpaceDN/>
              <w:jc w:val="right"/>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0,00</w:t>
            </w:r>
          </w:p>
        </w:tc>
        <w:tc>
          <w:tcPr>
            <w:tcW w:w="1275" w:type="dxa"/>
            <w:vAlign w:val="center"/>
            <w:hideMark/>
          </w:tcPr>
          <w:p w14:paraId="13A86522" w14:textId="77777777" w:rsidR="00A41DBB" w:rsidRPr="00E03684" w:rsidRDefault="00A41DBB" w:rsidP="008F412E">
            <w:pPr>
              <w:widowControl/>
              <w:autoSpaceDE/>
              <w:autoSpaceDN/>
              <w:jc w:val="right"/>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0,00</w:t>
            </w:r>
          </w:p>
        </w:tc>
        <w:tc>
          <w:tcPr>
            <w:tcW w:w="1418" w:type="dxa"/>
            <w:vAlign w:val="center"/>
            <w:hideMark/>
          </w:tcPr>
          <w:p w14:paraId="3E3C7FD3" w14:textId="77777777" w:rsidR="00A41DBB" w:rsidRPr="00E03684" w:rsidRDefault="00A41DBB" w:rsidP="008F412E">
            <w:pPr>
              <w:widowControl/>
              <w:autoSpaceDE/>
              <w:autoSpaceDN/>
              <w:jc w:val="right"/>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136.881,59</w:t>
            </w:r>
          </w:p>
        </w:tc>
        <w:tc>
          <w:tcPr>
            <w:tcW w:w="1417" w:type="dxa"/>
            <w:tcBorders>
              <w:right w:val="nil"/>
            </w:tcBorders>
            <w:vAlign w:val="center"/>
            <w:hideMark/>
          </w:tcPr>
          <w:p w14:paraId="32009D84" w14:textId="77777777" w:rsidR="00A41DBB" w:rsidRPr="00E03684" w:rsidRDefault="00A41DBB" w:rsidP="008F412E">
            <w:pPr>
              <w:widowControl/>
              <w:autoSpaceDE/>
              <w:autoSpaceDN/>
              <w:jc w:val="right"/>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46.817.817,76</w:t>
            </w:r>
          </w:p>
        </w:tc>
      </w:tr>
      <w:tr w:rsidR="00A41DBB" w:rsidRPr="00E03684" w14:paraId="18FFE103" w14:textId="77777777" w:rsidTr="008F412E">
        <w:trPr>
          <w:trHeight w:val="113"/>
        </w:trPr>
        <w:tc>
          <w:tcPr>
            <w:tcW w:w="1300" w:type="dxa"/>
            <w:vMerge/>
            <w:tcBorders>
              <w:left w:val="nil"/>
            </w:tcBorders>
            <w:vAlign w:val="center"/>
            <w:hideMark/>
          </w:tcPr>
          <w:p w14:paraId="2589D3DA" w14:textId="77777777" w:rsidR="00A41DBB" w:rsidRPr="00E03684" w:rsidRDefault="00A41DBB" w:rsidP="008F412E">
            <w:pPr>
              <w:widowControl/>
              <w:autoSpaceDE/>
              <w:autoSpaceDN/>
              <w:jc w:val="center"/>
              <w:rPr>
                <w:rFonts w:asciiTheme="minorHAnsi" w:eastAsia="Times New Roman" w:hAnsiTheme="minorHAnsi" w:cstheme="minorHAnsi"/>
                <w:b/>
                <w:bCs/>
                <w:color w:val="000000"/>
                <w:lang w:bidi="ar-SA"/>
              </w:rPr>
            </w:pPr>
          </w:p>
        </w:tc>
        <w:tc>
          <w:tcPr>
            <w:tcW w:w="969" w:type="dxa"/>
            <w:vAlign w:val="center"/>
            <w:hideMark/>
          </w:tcPr>
          <w:p w14:paraId="33912A89" w14:textId="77777777" w:rsidR="00A41DBB" w:rsidRPr="00E03684" w:rsidRDefault="00A41DBB" w:rsidP="008F412E">
            <w:pPr>
              <w:widowControl/>
              <w:autoSpaceDE/>
              <w:autoSpaceDN/>
              <w:jc w:val="center"/>
              <w:rPr>
                <w:rFonts w:asciiTheme="minorHAnsi" w:eastAsia="Times New Roman" w:hAnsiTheme="minorHAnsi" w:cstheme="minorHAnsi"/>
                <w:b/>
                <w:bCs/>
                <w:color w:val="000000"/>
                <w:lang w:bidi="ar-SA"/>
              </w:rPr>
            </w:pPr>
            <w:r w:rsidRPr="00E03684">
              <w:rPr>
                <w:rFonts w:asciiTheme="minorHAnsi" w:eastAsia="Times New Roman" w:hAnsiTheme="minorHAnsi" w:cstheme="minorHAnsi"/>
                <w:b/>
                <w:bCs/>
                <w:color w:val="000000"/>
                <w:lang w:bidi="ar-SA"/>
              </w:rPr>
              <w:t>2020</w:t>
            </w:r>
          </w:p>
        </w:tc>
        <w:tc>
          <w:tcPr>
            <w:tcW w:w="1631" w:type="dxa"/>
            <w:vAlign w:val="center"/>
            <w:hideMark/>
          </w:tcPr>
          <w:p w14:paraId="6319A987" w14:textId="77777777" w:rsidR="00A41DBB" w:rsidRPr="00E03684" w:rsidRDefault="00A41DBB" w:rsidP="008F412E">
            <w:pPr>
              <w:widowControl/>
              <w:autoSpaceDE/>
              <w:autoSpaceDN/>
              <w:jc w:val="right"/>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31.769.554,00</w:t>
            </w:r>
          </w:p>
        </w:tc>
        <w:tc>
          <w:tcPr>
            <w:tcW w:w="1300" w:type="dxa"/>
            <w:vAlign w:val="center"/>
            <w:hideMark/>
          </w:tcPr>
          <w:p w14:paraId="6A897F20" w14:textId="77777777" w:rsidR="00A41DBB" w:rsidRPr="00E03684" w:rsidRDefault="00A41DBB" w:rsidP="008F412E">
            <w:pPr>
              <w:widowControl/>
              <w:autoSpaceDE/>
              <w:autoSpaceDN/>
              <w:jc w:val="right"/>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6.647.998,39</w:t>
            </w:r>
          </w:p>
        </w:tc>
        <w:tc>
          <w:tcPr>
            <w:tcW w:w="1300" w:type="dxa"/>
            <w:vAlign w:val="center"/>
            <w:hideMark/>
          </w:tcPr>
          <w:p w14:paraId="37DEDBB9" w14:textId="77777777" w:rsidR="00A41DBB" w:rsidRPr="00E03684" w:rsidRDefault="00A41DBB" w:rsidP="008F412E">
            <w:pPr>
              <w:widowControl/>
              <w:autoSpaceDE/>
              <w:autoSpaceDN/>
              <w:jc w:val="right"/>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3.168.093,29</w:t>
            </w:r>
          </w:p>
        </w:tc>
        <w:tc>
          <w:tcPr>
            <w:tcW w:w="1299" w:type="dxa"/>
            <w:vAlign w:val="center"/>
            <w:hideMark/>
          </w:tcPr>
          <w:p w14:paraId="7BA00DAA" w14:textId="77777777" w:rsidR="00A41DBB" w:rsidRPr="00E03684" w:rsidRDefault="00A41DBB" w:rsidP="008F412E">
            <w:pPr>
              <w:widowControl/>
              <w:autoSpaceDE/>
              <w:autoSpaceDN/>
              <w:jc w:val="right"/>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3.299.457,01</w:t>
            </w:r>
          </w:p>
        </w:tc>
        <w:tc>
          <w:tcPr>
            <w:tcW w:w="990" w:type="dxa"/>
            <w:vAlign w:val="center"/>
            <w:hideMark/>
          </w:tcPr>
          <w:p w14:paraId="46391B35" w14:textId="77777777" w:rsidR="00A41DBB" w:rsidRPr="00E03684" w:rsidRDefault="00A41DBB" w:rsidP="008F412E">
            <w:pPr>
              <w:widowControl/>
              <w:autoSpaceDE/>
              <w:autoSpaceDN/>
              <w:jc w:val="right"/>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0,00</w:t>
            </w:r>
          </w:p>
        </w:tc>
        <w:tc>
          <w:tcPr>
            <w:tcW w:w="1608" w:type="dxa"/>
            <w:vAlign w:val="center"/>
            <w:hideMark/>
          </w:tcPr>
          <w:p w14:paraId="17D5A230" w14:textId="77777777" w:rsidR="00A41DBB" w:rsidRPr="00E03684" w:rsidRDefault="00A41DBB" w:rsidP="008F412E">
            <w:pPr>
              <w:widowControl/>
              <w:autoSpaceDE/>
              <w:autoSpaceDN/>
              <w:jc w:val="right"/>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0,00</w:t>
            </w:r>
          </w:p>
        </w:tc>
        <w:tc>
          <w:tcPr>
            <w:tcW w:w="1086" w:type="dxa"/>
            <w:vAlign w:val="center"/>
            <w:hideMark/>
          </w:tcPr>
          <w:p w14:paraId="79BBCE6C" w14:textId="77777777" w:rsidR="00A41DBB" w:rsidRPr="00E03684" w:rsidRDefault="00A41DBB" w:rsidP="008F412E">
            <w:pPr>
              <w:widowControl/>
              <w:autoSpaceDE/>
              <w:autoSpaceDN/>
              <w:jc w:val="right"/>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0,00</w:t>
            </w:r>
          </w:p>
        </w:tc>
        <w:tc>
          <w:tcPr>
            <w:tcW w:w="1275" w:type="dxa"/>
            <w:vAlign w:val="center"/>
            <w:hideMark/>
          </w:tcPr>
          <w:p w14:paraId="34EAEDE9" w14:textId="77777777" w:rsidR="00A41DBB" w:rsidRPr="00E03684" w:rsidRDefault="00A41DBB" w:rsidP="008F412E">
            <w:pPr>
              <w:widowControl/>
              <w:autoSpaceDE/>
              <w:autoSpaceDN/>
              <w:jc w:val="right"/>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0,00</w:t>
            </w:r>
          </w:p>
        </w:tc>
        <w:tc>
          <w:tcPr>
            <w:tcW w:w="1418" w:type="dxa"/>
            <w:vAlign w:val="center"/>
            <w:hideMark/>
          </w:tcPr>
          <w:p w14:paraId="33B5D40B" w14:textId="77777777" w:rsidR="00A41DBB" w:rsidRPr="00E03684" w:rsidRDefault="00A41DBB" w:rsidP="008F412E">
            <w:pPr>
              <w:widowControl/>
              <w:autoSpaceDE/>
              <w:autoSpaceDN/>
              <w:jc w:val="right"/>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286.121,26</w:t>
            </w:r>
          </w:p>
        </w:tc>
        <w:tc>
          <w:tcPr>
            <w:tcW w:w="1417" w:type="dxa"/>
            <w:tcBorders>
              <w:right w:val="nil"/>
            </w:tcBorders>
            <w:vAlign w:val="center"/>
            <w:hideMark/>
          </w:tcPr>
          <w:p w14:paraId="61948003" w14:textId="77777777" w:rsidR="00A41DBB" w:rsidRPr="00E03684" w:rsidRDefault="00A41DBB" w:rsidP="008F412E">
            <w:pPr>
              <w:widowControl/>
              <w:autoSpaceDE/>
              <w:autoSpaceDN/>
              <w:jc w:val="right"/>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45.171.223,95</w:t>
            </w:r>
          </w:p>
        </w:tc>
      </w:tr>
      <w:tr w:rsidR="00A41DBB" w:rsidRPr="00E03684" w14:paraId="4E410470" w14:textId="77777777" w:rsidTr="008F412E">
        <w:trPr>
          <w:trHeight w:val="113"/>
        </w:trPr>
        <w:tc>
          <w:tcPr>
            <w:tcW w:w="15593" w:type="dxa"/>
            <w:gridSpan w:val="12"/>
            <w:tcBorders>
              <w:left w:val="nil"/>
              <w:right w:val="nil"/>
            </w:tcBorders>
            <w:noWrap/>
            <w:vAlign w:val="center"/>
            <w:hideMark/>
          </w:tcPr>
          <w:p w14:paraId="2B67F57A" w14:textId="402AC51B" w:rsidR="00A41DBB" w:rsidRPr="00E03684" w:rsidRDefault="00CE2C2A" w:rsidP="008F412E">
            <w:pPr>
              <w:widowControl/>
              <w:autoSpaceDE/>
              <w:autoSpaceDN/>
              <w:jc w:val="center"/>
              <w:rPr>
                <w:rFonts w:asciiTheme="minorHAnsi" w:eastAsia="Times New Roman" w:hAnsiTheme="minorHAnsi" w:cstheme="minorHAnsi"/>
                <w:b/>
                <w:bCs/>
                <w:color w:val="000000"/>
                <w:lang w:bidi="ar-SA"/>
              </w:rPr>
            </w:pPr>
            <w:r w:rsidRPr="00E03684">
              <w:rPr>
                <w:rFonts w:asciiTheme="minorHAnsi" w:eastAsia="Times New Roman" w:hAnsiTheme="minorHAnsi" w:cstheme="minorHAnsi"/>
                <w:b/>
                <w:bCs/>
                <w:color w:val="000000"/>
                <w:lang w:bidi="ar-SA"/>
              </w:rPr>
              <w:t>Servidores de carreira sem vínculo com o órgão da unidade</w:t>
            </w:r>
            <w:r w:rsidR="00A41DBB" w:rsidRPr="00E03684">
              <w:rPr>
                <w:rFonts w:asciiTheme="minorHAnsi" w:eastAsia="Times New Roman" w:hAnsiTheme="minorHAnsi" w:cstheme="minorHAnsi"/>
                <w:b/>
                <w:bCs/>
                <w:color w:val="000000"/>
                <w:lang w:bidi="ar-SA"/>
              </w:rPr>
              <w:t xml:space="preserve"> (Requisitados)</w:t>
            </w:r>
          </w:p>
        </w:tc>
      </w:tr>
      <w:tr w:rsidR="00A41DBB" w:rsidRPr="00E03684" w14:paraId="71F145F9" w14:textId="77777777" w:rsidTr="008F412E">
        <w:trPr>
          <w:trHeight w:val="113"/>
        </w:trPr>
        <w:tc>
          <w:tcPr>
            <w:tcW w:w="1300" w:type="dxa"/>
            <w:vMerge w:val="restart"/>
            <w:tcBorders>
              <w:left w:val="nil"/>
            </w:tcBorders>
            <w:noWrap/>
            <w:vAlign w:val="center"/>
            <w:hideMark/>
          </w:tcPr>
          <w:p w14:paraId="2F542297" w14:textId="77777777" w:rsidR="00A41DBB" w:rsidRPr="00E03684" w:rsidRDefault="00A41DBB" w:rsidP="008F412E">
            <w:pPr>
              <w:widowControl/>
              <w:autoSpaceDE/>
              <w:autoSpaceDN/>
              <w:jc w:val="center"/>
              <w:rPr>
                <w:rFonts w:asciiTheme="minorHAnsi" w:eastAsia="Times New Roman" w:hAnsiTheme="minorHAnsi" w:cstheme="minorHAnsi"/>
                <w:b/>
                <w:bCs/>
                <w:color w:val="000000"/>
                <w:lang w:bidi="ar-SA"/>
              </w:rPr>
            </w:pPr>
            <w:r w:rsidRPr="00E03684">
              <w:rPr>
                <w:rFonts w:asciiTheme="minorHAnsi" w:eastAsia="Times New Roman" w:hAnsiTheme="minorHAnsi" w:cstheme="minorHAnsi"/>
                <w:b/>
                <w:bCs/>
                <w:color w:val="000000"/>
                <w:lang w:bidi="ar-SA"/>
              </w:rPr>
              <w:t>Exercícios</w:t>
            </w:r>
          </w:p>
        </w:tc>
        <w:tc>
          <w:tcPr>
            <w:tcW w:w="969" w:type="dxa"/>
            <w:vAlign w:val="center"/>
            <w:hideMark/>
          </w:tcPr>
          <w:p w14:paraId="49BFD5E5" w14:textId="77777777" w:rsidR="00A41DBB" w:rsidRPr="00E03684" w:rsidRDefault="00A41DBB" w:rsidP="008F412E">
            <w:pPr>
              <w:widowControl/>
              <w:autoSpaceDE/>
              <w:autoSpaceDN/>
              <w:jc w:val="center"/>
              <w:rPr>
                <w:rFonts w:asciiTheme="minorHAnsi" w:eastAsia="Times New Roman" w:hAnsiTheme="minorHAnsi" w:cstheme="minorHAnsi"/>
                <w:b/>
                <w:bCs/>
                <w:color w:val="000000"/>
                <w:lang w:bidi="ar-SA"/>
              </w:rPr>
            </w:pPr>
            <w:r w:rsidRPr="00E03684">
              <w:rPr>
                <w:rFonts w:asciiTheme="minorHAnsi" w:eastAsia="Times New Roman" w:hAnsiTheme="minorHAnsi" w:cstheme="minorHAnsi"/>
                <w:b/>
                <w:bCs/>
                <w:color w:val="000000"/>
                <w:lang w:bidi="ar-SA"/>
              </w:rPr>
              <w:t>2021</w:t>
            </w:r>
          </w:p>
        </w:tc>
        <w:tc>
          <w:tcPr>
            <w:tcW w:w="1631" w:type="dxa"/>
            <w:vAlign w:val="center"/>
            <w:hideMark/>
          </w:tcPr>
          <w:p w14:paraId="5F7D8044" w14:textId="77777777" w:rsidR="00A41DBB" w:rsidRPr="00E03684" w:rsidRDefault="00A41DBB" w:rsidP="008F412E">
            <w:pPr>
              <w:widowControl/>
              <w:autoSpaceDE/>
              <w:autoSpaceDN/>
              <w:jc w:val="right"/>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0,00</w:t>
            </w:r>
          </w:p>
        </w:tc>
        <w:tc>
          <w:tcPr>
            <w:tcW w:w="1300" w:type="dxa"/>
            <w:vAlign w:val="center"/>
            <w:hideMark/>
          </w:tcPr>
          <w:p w14:paraId="6CAE94E1" w14:textId="77777777" w:rsidR="00A41DBB" w:rsidRPr="00E03684" w:rsidRDefault="00A41DBB" w:rsidP="008F412E">
            <w:pPr>
              <w:widowControl/>
              <w:autoSpaceDE/>
              <w:autoSpaceDN/>
              <w:jc w:val="right"/>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1.068.913,09</w:t>
            </w:r>
          </w:p>
        </w:tc>
        <w:tc>
          <w:tcPr>
            <w:tcW w:w="1300" w:type="dxa"/>
            <w:vAlign w:val="center"/>
            <w:hideMark/>
          </w:tcPr>
          <w:p w14:paraId="00927653" w14:textId="77777777" w:rsidR="00A41DBB" w:rsidRPr="00E03684" w:rsidRDefault="00A41DBB" w:rsidP="008F412E">
            <w:pPr>
              <w:widowControl/>
              <w:autoSpaceDE/>
              <w:autoSpaceDN/>
              <w:jc w:val="right"/>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70.614,75</w:t>
            </w:r>
          </w:p>
        </w:tc>
        <w:tc>
          <w:tcPr>
            <w:tcW w:w="1299" w:type="dxa"/>
            <w:vAlign w:val="center"/>
            <w:hideMark/>
          </w:tcPr>
          <w:p w14:paraId="0DD207ED" w14:textId="77777777" w:rsidR="00A41DBB" w:rsidRPr="00E03684" w:rsidRDefault="00A41DBB" w:rsidP="008F412E">
            <w:pPr>
              <w:widowControl/>
              <w:autoSpaceDE/>
              <w:autoSpaceDN/>
              <w:jc w:val="right"/>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44.660,15</w:t>
            </w:r>
          </w:p>
        </w:tc>
        <w:tc>
          <w:tcPr>
            <w:tcW w:w="990" w:type="dxa"/>
            <w:vAlign w:val="center"/>
            <w:hideMark/>
          </w:tcPr>
          <w:p w14:paraId="4D86C44C" w14:textId="77777777" w:rsidR="00A41DBB" w:rsidRPr="00E03684" w:rsidRDefault="00A41DBB" w:rsidP="008F412E">
            <w:pPr>
              <w:widowControl/>
              <w:autoSpaceDE/>
              <w:autoSpaceDN/>
              <w:jc w:val="right"/>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0,00</w:t>
            </w:r>
          </w:p>
        </w:tc>
        <w:tc>
          <w:tcPr>
            <w:tcW w:w="1608" w:type="dxa"/>
            <w:vAlign w:val="center"/>
            <w:hideMark/>
          </w:tcPr>
          <w:p w14:paraId="46257B9A" w14:textId="77777777" w:rsidR="00A41DBB" w:rsidRPr="00E03684" w:rsidRDefault="00A41DBB" w:rsidP="008F412E">
            <w:pPr>
              <w:widowControl/>
              <w:autoSpaceDE/>
              <w:autoSpaceDN/>
              <w:jc w:val="right"/>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0,00</w:t>
            </w:r>
          </w:p>
        </w:tc>
        <w:tc>
          <w:tcPr>
            <w:tcW w:w="1086" w:type="dxa"/>
            <w:vAlign w:val="center"/>
            <w:hideMark/>
          </w:tcPr>
          <w:p w14:paraId="270398F7" w14:textId="77777777" w:rsidR="00A41DBB" w:rsidRPr="00E03684" w:rsidRDefault="00A41DBB" w:rsidP="008F412E">
            <w:pPr>
              <w:widowControl/>
              <w:autoSpaceDE/>
              <w:autoSpaceDN/>
              <w:jc w:val="right"/>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0,00</w:t>
            </w:r>
          </w:p>
        </w:tc>
        <w:tc>
          <w:tcPr>
            <w:tcW w:w="1275" w:type="dxa"/>
            <w:vAlign w:val="center"/>
            <w:hideMark/>
          </w:tcPr>
          <w:p w14:paraId="50100349" w14:textId="77777777" w:rsidR="00A41DBB" w:rsidRPr="00E03684" w:rsidRDefault="00A41DBB" w:rsidP="008F412E">
            <w:pPr>
              <w:widowControl/>
              <w:autoSpaceDE/>
              <w:autoSpaceDN/>
              <w:jc w:val="right"/>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0,00</w:t>
            </w:r>
          </w:p>
        </w:tc>
        <w:tc>
          <w:tcPr>
            <w:tcW w:w="1418" w:type="dxa"/>
            <w:vAlign w:val="center"/>
            <w:hideMark/>
          </w:tcPr>
          <w:p w14:paraId="115AF345" w14:textId="77777777" w:rsidR="00A41DBB" w:rsidRPr="00E03684" w:rsidRDefault="00A41DBB" w:rsidP="008F412E">
            <w:pPr>
              <w:widowControl/>
              <w:autoSpaceDE/>
              <w:autoSpaceDN/>
              <w:jc w:val="right"/>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0,00</w:t>
            </w:r>
          </w:p>
        </w:tc>
        <w:tc>
          <w:tcPr>
            <w:tcW w:w="1417" w:type="dxa"/>
            <w:tcBorders>
              <w:right w:val="nil"/>
            </w:tcBorders>
            <w:vAlign w:val="center"/>
            <w:hideMark/>
          </w:tcPr>
          <w:p w14:paraId="6933592F" w14:textId="77777777" w:rsidR="00A41DBB" w:rsidRPr="00E03684" w:rsidRDefault="00A41DBB" w:rsidP="008F412E">
            <w:pPr>
              <w:widowControl/>
              <w:autoSpaceDE/>
              <w:autoSpaceDN/>
              <w:jc w:val="right"/>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1.184.187,99</w:t>
            </w:r>
          </w:p>
        </w:tc>
      </w:tr>
      <w:tr w:rsidR="00A41DBB" w:rsidRPr="00E03684" w14:paraId="730BE1C7" w14:textId="77777777" w:rsidTr="008F412E">
        <w:trPr>
          <w:trHeight w:val="113"/>
        </w:trPr>
        <w:tc>
          <w:tcPr>
            <w:tcW w:w="1300" w:type="dxa"/>
            <w:vMerge/>
            <w:tcBorders>
              <w:left w:val="nil"/>
            </w:tcBorders>
            <w:vAlign w:val="center"/>
            <w:hideMark/>
          </w:tcPr>
          <w:p w14:paraId="501662DC" w14:textId="77777777" w:rsidR="00A41DBB" w:rsidRPr="00E03684" w:rsidRDefault="00A41DBB" w:rsidP="008F412E">
            <w:pPr>
              <w:widowControl/>
              <w:autoSpaceDE/>
              <w:autoSpaceDN/>
              <w:jc w:val="center"/>
              <w:rPr>
                <w:rFonts w:asciiTheme="minorHAnsi" w:eastAsia="Times New Roman" w:hAnsiTheme="minorHAnsi" w:cstheme="minorHAnsi"/>
                <w:b/>
                <w:bCs/>
                <w:color w:val="000000"/>
                <w:lang w:bidi="ar-SA"/>
              </w:rPr>
            </w:pPr>
          </w:p>
        </w:tc>
        <w:tc>
          <w:tcPr>
            <w:tcW w:w="969" w:type="dxa"/>
            <w:vAlign w:val="center"/>
            <w:hideMark/>
          </w:tcPr>
          <w:p w14:paraId="05DB6013" w14:textId="77777777" w:rsidR="00A41DBB" w:rsidRPr="00E03684" w:rsidRDefault="00A41DBB" w:rsidP="008F412E">
            <w:pPr>
              <w:widowControl/>
              <w:autoSpaceDE/>
              <w:autoSpaceDN/>
              <w:jc w:val="center"/>
              <w:rPr>
                <w:rFonts w:asciiTheme="minorHAnsi" w:eastAsia="Times New Roman" w:hAnsiTheme="minorHAnsi" w:cstheme="minorHAnsi"/>
                <w:b/>
                <w:bCs/>
                <w:color w:val="000000"/>
                <w:lang w:bidi="ar-SA"/>
              </w:rPr>
            </w:pPr>
            <w:r w:rsidRPr="00E03684">
              <w:rPr>
                <w:rFonts w:asciiTheme="minorHAnsi" w:eastAsia="Times New Roman" w:hAnsiTheme="minorHAnsi" w:cstheme="minorHAnsi"/>
                <w:b/>
                <w:bCs/>
                <w:color w:val="000000"/>
                <w:lang w:bidi="ar-SA"/>
              </w:rPr>
              <w:t>2020</w:t>
            </w:r>
          </w:p>
        </w:tc>
        <w:tc>
          <w:tcPr>
            <w:tcW w:w="1631" w:type="dxa"/>
            <w:vAlign w:val="center"/>
            <w:hideMark/>
          </w:tcPr>
          <w:p w14:paraId="4C017DB0" w14:textId="77777777" w:rsidR="00A41DBB" w:rsidRPr="00E03684" w:rsidRDefault="00A41DBB" w:rsidP="008F412E">
            <w:pPr>
              <w:widowControl/>
              <w:autoSpaceDE/>
              <w:autoSpaceDN/>
              <w:jc w:val="right"/>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0,00</w:t>
            </w:r>
          </w:p>
        </w:tc>
        <w:tc>
          <w:tcPr>
            <w:tcW w:w="1300" w:type="dxa"/>
            <w:noWrap/>
            <w:vAlign w:val="center"/>
            <w:hideMark/>
          </w:tcPr>
          <w:p w14:paraId="703F9909" w14:textId="77777777" w:rsidR="00A41DBB" w:rsidRPr="00E03684" w:rsidRDefault="00A41DBB" w:rsidP="008F412E">
            <w:pPr>
              <w:widowControl/>
              <w:autoSpaceDE/>
              <w:autoSpaceDN/>
              <w:jc w:val="right"/>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949.828,45</w:t>
            </w:r>
          </w:p>
        </w:tc>
        <w:tc>
          <w:tcPr>
            <w:tcW w:w="1300" w:type="dxa"/>
            <w:noWrap/>
            <w:vAlign w:val="center"/>
            <w:hideMark/>
          </w:tcPr>
          <w:p w14:paraId="52DECEC7" w14:textId="77777777" w:rsidR="00A41DBB" w:rsidRPr="00E03684" w:rsidRDefault="00A41DBB" w:rsidP="008F412E">
            <w:pPr>
              <w:widowControl/>
              <w:autoSpaceDE/>
              <w:autoSpaceDN/>
              <w:jc w:val="right"/>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68.693,27</w:t>
            </w:r>
          </w:p>
        </w:tc>
        <w:tc>
          <w:tcPr>
            <w:tcW w:w="1299" w:type="dxa"/>
            <w:vAlign w:val="center"/>
            <w:hideMark/>
          </w:tcPr>
          <w:p w14:paraId="48AF8055" w14:textId="77777777" w:rsidR="00A41DBB" w:rsidRPr="00E03684" w:rsidRDefault="00A41DBB" w:rsidP="008F412E">
            <w:pPr>
              <w:widowControl/>
              <w:autoSpaceDE/>
              <w:autoSpaceDN/>
              <w:jc w:val="right"/>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0,00</w:t>
            </w:r>
          </w:p>
        </w:tc>
        <w:tc>
          <w:tcPr>
            <w:tcW w:w="990" w:type="dxa"/>
            <w:vAlign w:val="center"/>
            <w:hideMark/>
          </w:tcPr>
          <w:p w14:paraId="0FDB2721" w14:textId="77777777" w:rsidR="00A41DBB" w:rsidRPr="00E03684" w:rsidRDefault="00A41DBB" w:rsidP="008F412E">
            <w:pPr>
              <w:widowControl/>
              <w:autoSpaceDE/>
              <w:autoSpaceDN/>
              <w:jc w:val="right"/>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0,00</w:t>
            </w:r>
          </w:p>
        </w:tc>
        <w:tc>
          <w:tcPr>
            <w:tcW w:w="1608" w:type="dxa"/>
            <w:vAlign w:val="center"/>
            <w:hideMark/>
          </w:tcPr>
          <w:p w14:paraId="6578E631" w14:textId="77777777" w:rsidR="00A41DBB" w:rsidRPr="00E03684" w:rsidRDefault="00A41DBB" w:rsidP="008F412E">
            <w:pPr>
              <w:widowControl/>
              <w:autoSpaceDE/>
              <w:autoSpaceDN/>
              <w:jc w:val="right"/>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0,00</w:t>
            </w:r>
          </w:p>
        </w:tc>
        <w:tc>
          <w:tcPr>
            <w:tcW w:w="1086" w:type="dxa"/>
            <w:vAlign w:val="center"/>
            <w:hideMark/>
          </w:tcPr>
          <w:p w14:paraId="6A23D165" w14:textId="77777777" w:rsidR="00A41DBB" w:rsidRPr="00E03684" w:rsidRDefault="00A41DBB" w:rsidP="008F412E">
            <w:pPr>
              <w:widowControl/>
              <w:autoSpaceDE/>
              <w:autoSpaceDN/>
              <w:jc w:val="right"/>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0,00</w:t>
            </w:r>
          </w:p>
        </w:tc>
        <w:tc>
          <w:tcPr>
            <w:tcW w:w="1275" w:type="dxa"/>
            <w:vAlign w:val="center"/>
            <w:hideMark/>
          </w:tcPr>
          <w:p w14:paraId="7B250999" w14:textId="77777777" w:rsidR="00A41DBB" w:rsidRPr="00E03684" w:rsidRDefault="00A41DBB" w:rsidP="008F412E">
            <w:pPr>
              <w:widowControl/>
              <w:autoSpaceDE/>
              <w:autoSpaceDN/>
              <w:jc w:val="right"/>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0,00</w:t>
            </w:r>
          </w:p>
        </w:tc>
        <w:tc>
          <w:tcPr>
            <w:tcW w:w="1418" w:type="dxa"/>
            <w:vAlign w:val="center"/>
            <w:hideMark/>
          </w:tcPr>
          <w:p w14:paraId="56EE20BA" w14:textId="77777777" w:rsidR="00A41DBB" w:rsidRPr="00E03684" w:rsidRDefault="00A41DBB" w:rsidP="008F412E">
            <w:pPr>
              <w:widowControl/>
              <w:autoSpaceDE/>
              <w:autoSpaceDN/>
              <w:jc w:val="right"/>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0,00</w:t>
            </w:r>
          </w:p>
        </w:tc>
        <w:tc>
          <w:tcPr>
            <w:tcW w:w="1417" w:type="dxa"/>
            <w:tcBorders>
              <w:right w:val="nil"/>
            </w:tcBorders>
            <w:vAlign w:val="center"/>
            <w:hideMark/>
          </w:tcPr>
          <w:p w14:paraId="086A5A03" w14:textId="77777777" w:rsidR="00A41DBB" w:rsidRPr="00E03684" w:rsidRDefault="00A41DBB" w:rsidP="008F412E">
            <w:pPr>
              <w:widowControl/>
              <w:autoSpaceDE/>
              <w:autoSpaceDN/>
              <w:jc w:val="right"/>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1.018.521,72</w:t>
            </w:r>
          </w:p>
        </w:tc>
      </w:tr>
      <w:tr w:rsidR="00A41DBB" w:rsidRPr="00E03684" w14:paraId="4E088459" w14:textId="77777777" w:rsidTr="008F412E">
        <w:trPr>
          <w:trHeight w:val="113"/>
        </w:trPr>
        <w:tc>
          <w:tcPr>
            <w:tcW w:w="15593" w:type="dxa"/>
            <w:gridSpan w:val="12"/>
            <w:tcBorders>
              <w:left w:val="nil"/>
              <w:right w:val="nil"/>
            </w:tcBorders>
            <w:noWrap/>
            <w:vAlign w:val="center"/>
            <w:hideMark/>
          </w:tcPr>
          <w:p w14:paraId="29E19471" w14:textId="77777777" w:rsidR="00A41DBB" w:rsidRPr="00E03684" w:rsidRDefault="00A41DBB" w:rsidP="008F412E">
            <w:pPr>
              <w:widowControl/>
              <w:autoSpaceDE/>
              <w:autoSpaceDN/>
              <w:jc w:val="center"/>
              <w:rPr>
                <w:rFonts w:asciiTheme="minorHAnsi" w:eastAsia="Times New Roman" w:hAnsiTheme="minorHAnsi" w:cstheme="minorHAnsi"/>
                <w:b/>
                <w:bCs/>
                <w:color w:val="000000"/>
                <w:lang w:bidi="ar-SA"/>
              </w:rPr>
            </w:pPr>
            <w:r w:rsidRPr="00E03684">
              <w:rPr>
                <w:rFonts w:asciiTheme="minorHAnsi" w:eastAsia="Times New Roman" w:hAnsiTheme="minorHAnsi" w:cstheme="minorHAnsi"/>
                <w:b/>
                <w:bCs/>
                <w:color w:val="000000"/>
                <w:lang w:bidi="ar-SA"/>
              </w:rPr>
              <w:t>Servidores SEM VÍNCULO com a administração pública (exceto temporários)</w:t>
            </w:r>
          </w:p>
        </w:tc>
      </w:tr>
      <w:tr w:rsidR="00A41DBB" w:rsidRPr="00E03684" w14:paraId="4F77A86F" w14:textId="77777777" w:rsidTr="008F412E">
        <w:trPr>
          <w:trHeight w:val="113"/>
        </w:trPr>
        <w:tc>
          <w:tcPr>
            <w:tcW w:w="1300" w:type="dxa"/>
            <w:vMerge w:val="restart"/>
            <w:tcBorders>
              <w:left w:val="nil"/>
            </w:tcBorders>
            <w:noWrap/>
            <w:vAlign w:val="center"/>
            <w:hideMark/>
          </w:tcPr>
          <w:p w14:paraId="37CA273E" w14:textId="77777777" w:rsidR="00A41DBB" w:rsidRPr="00E03684" w:rsidRDefault="00A41DBB" w:rsidP="008F412E">
            <w:pPr>
              <w:widowControl/>
              <w:autoSpaceDE/>
              <w:autoSpaceDN/>
              <w:jc w:val="center"/>
              <w:rPr>
                <w:rFonts w:asciiTheme="minorHAnsi" w:eastAsia="Times New Roman" w:hAnsiTheme="minorHAnsi" w:cstheme="minorHAnsi"/>
                <w:b/>
                <w:bCs/>
                <w:color w:val="000000"/>
                <w:lang w:bidi="ar-SA"/>
              </w:rPr>
            </w:pPr>
            <w:r w:rsidRPr="00E03684">
              <w:rPr>
                <w:rFonts w:asciiTheme="minorHAnsi" w:eastAsia="Times New Roman" w:hAnsiTheme="minorHAnsi" w:cstheme="minorHAnsi"/>
                <w:b/>
                <w:bCs/>
                <w:color w:val="000000"/>
                <w:lang w:bidi="ar-SA"/>
              </w:rPr>
              <w:t>Exercícios</w:t>
            </w:r>
          </w:p>
        </w:tc>
        <w:tc>
          <w:tcPr>
            <w:tcW w:w="969" w:type="dxa"/>
            <w:vAlign w:val="center"/>
            <w:hideMark/>
          </w:tcPr>
          <w:p w14:paraId="6150585A" w14:textId="77777777" w:rsidR="00A41DBB" w:rsidRPr="00E03684" w:rsidRDefault="00A41DBB" w:rsidP="008F412E">
            <w:pPr>
              <w:widowControl/>
              <w:autoSpaceDE/>
              <w:autoSpaceDN/>
              <w:jc w:val="center"/>
              <w:rPr>
                <w:rFonts w:asciiTheme="minorHAnsi" w:eastAsia="Times New Roman" w:hAnsiTheme="minorHAnsi" w:cstheme="minorHAnsi"/>
                <w:b/>
                <w:bCs/>
                <w:color w:val="000000"/>
                <w:lang w:bidi="ar-SA"/>
              </w:rPr>
            </w:pPr>
            <w:r w:rsidRPr="00E03684">
              <w:rPr>
                <w:rFonts w:asciiTheme="minorHAnsi" w:eastAsia="Times New Roman" w:hAnsiTheme="minorHAnsi" w:cstheme="minorHAnsi"/>
                <w:b/>
                <w:bCs/>
                <w:color w:val="000000"/>
                <w:lang w:bidi="ar-SA"/>
              </w:rPr>
              <w:t>2021</w:t>
            </w:r>
          </w:p>
        </w:tc>
        <w:tc>
          <w:tcPr>
            <w:tcW w:w="1631" w:type="dxa"/>
            <w:hideMark/>
          </w:tcPr>
          <w:p w14:paraId="625A64F0"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0,00</w:t>
            </w:r>
          </w:p>
        </w:tc>
        <w:tc>
          <w:tcPr>
            <w:tcW w:w="1300" w:type="dxa"/>
            <w:hideMark/>
          </w:tcPr>
          <w:p w14:paraId="40DF28C6"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4.016.179,82</w:t>
            </w:r>
          </w:p>
        </w:tc>
        <w:tc>
          <w:tcPr>
            <w:tcW w:w="1300" w:type="dxa"/>
            <w:hideMark/>
          </w:tcPr>
          <w:p w14:paraId="4C2C08C0"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239.909,10</w:t>
            </w:r>
          </w:p>
        </w:tc>
        <w:tc>
          <w:tcPr>
            <w:tcW w:w="1299" w:type="dxa"/>
            <w:hideMark/>
          </w:tcPr>
          <w:p w14:paraId="505878E7"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25.695,24</w:t>
            </w:r>
          </w:p>
        </w:tc>
        <w:tc>
          <w:tcPr>
            <w:tcW w:w="990" w:type="dxa"/>
            <w:hideMark/>
          </w:tcPr>
          <w:p w14:paraId="6D2316DF"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0,00</w:t>
            </w:r>
          </w:p>
        </w:tc>
        <w:tc>
          <w:tcPr>
            <w:tcW w:w="1608" w:type="dxa"/>
            <w:hideMark/>
          </w:tcPr>
          <w:p w14:paraId="76316ADC"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0,00</w:t>
            </w:r>
          </w:p>
        </w:tc>
        <w:tc>
          <w:tcPr>
            <w:tcW w:w="1086" w:type="dxa"/>
            <w:hideMark/>
          </w:tcPr>
          <w:p w14:paraId="60DD71E1"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0,00</w:t>
            </w:r>
          </w:p>
        </w:tc>
        <w:tc>
          <w:tcPr>
            <w:tcW w:w="1275" w:type="dxa"/>
            <w:hideMark/>
          </w:tcPr>
          <w:p w14:paraId="2A66BD99"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0,00</w:t>
            </w:r>
          </w:p>
        </w:tc>
        <w:tc>
          <w:tcPr>
            <w:tcW w:w="1418" w:type="dxa"/>
            <w:hideMark/>
          </w:tcPr>
          <w:p w14:paraId="42846FE6"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0,00</w:t>
            </w:r>
          </w:p>
        </w:tc>
        <w:tc>
          <w:tcPr>
            <w:tcW w:w="1417" w:type="dxa"/>
            <w:tcBorders>
              <w:right w:val="nil"/>
            </w:tcBorders>
            <w:hideMark/>
          </w:tcPr>
          <w:p w14:paraId="6DC591CF"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4.281.784,16</w:t>
            </w:r>
          </w:p>
        </w:tc>
      </w:tr>
      <w:tr w:rsidR="00A41DBB" w:rsidRPr="00E03684" w14:paraId="5F1999BB" w14:textId="77777777" w:rsidTr="008F412E">
        <w:trPr>
          <w:trHeight w:val="113"/>
        </w:trPr>
        <w:tc>
          <w:tcPr>
            <w:tcW w:w="1300" w:type="dxa"/>
            <w:vMerge/>
            <w:tcBorders>
              <w:left w:val="nil"/>
            </w:tcBorders>
            <w:vAlign w:val="center"/>
            <w:hideMark/>
          </w:tcPr>
          <w:p w14:paraId="3C859C71" w14:textId="77777777" w:rsidR="00A41DBB" w:rsidRPr="00E03684" w:rsidRDefault="00A41DBB" w:rsidP="008F412E">
            <w:pPr>
              <w:widowControl/>
              <w:autoSpaceDE/>
              <w:autoSpaceDN/>
              <w:jc w:val="center"/>
              <w:rPr>
                <w:rFonts w:asciiTheme="minorHAnsi" w:eastAsia="Times New Roman" w:hAnsiTheme="minorHAnsi" w:cstheme="minorHAnsi"/>
                <w:b/>
                <w:bCs/>
                <w:color w:val="000000"/>
                <w:lang w:bidi="ar-SA"/>
              </w:rPr>
            </w:pPr>
          </w:p>
        </w:tc>
        <w:tc>
          <w:tcPr>
            <w:tcW w:w="969" w:type="dxa"/>
            <w:vAlign w:val="center"/>
            <w:hideMark/>
          </w:tcPr>
          <w:p w14:paraId="6CCF6707" w14:textId="77777777" w:rsidR="00A41DBB" w:rsidRPr="00E03684" w:rsidRDefault="00A41DBB" w:rsidP="008F412E">
            <w:pPr>
              <w:widowControl/>
              <w:autoSpaceDE/>
              <w:autoSpaceDN/>
              <w:jc w:val="center"/>
              <w:rPr>
                <w:rFonts w:asciiTheme="minorHAnsi" w:eastAsia="Times New Roman" w:hAnsiTheme="minorHAnsi" w:cstheme="minorHAnsi"/>
                <w:b/>
                <w:bCs/>
                <w:color w:val="000000"/>
                <w:lang w:bidi="ar-SA"/>
              </w:rPr>
            </w:pPr>
            <w:r w:rsidRPr="00E03684">
              <w:rPr>
                <w:rFonts w:asciiTheme="minorHAnsi" w:eastAsia="Times New Roman" w:hAnsiTheme="minorHAnsi" w:cstheme="minorHAnsi"/>
                <w:b/>
                <w:bCs/>
                <w:color w:val="000000"/>
                <w:lang w:bidi="ar-SA"/>
              </w:rPr>
              <w:t>2020</w:t>
            </w:r>
          </w:p>
        </w:tc>
        <w:tc>
          <w:tcPr>
            <w:tcW w:w="1631" w:type="dxa"/>
            <w:hideMark/>
          </w:tcPr>
          <w:p w14:paraId="6BB0586C"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0,00</w:t>
            </w:r>
          </w:p>
        </w:tc>
        <w:tc>
          <w:tcPr>
            <w:tcW w:w="1300" w:type="dxa"/>
            <w:hideMark/>
          </w:tcPr>
          <w:p w14:paraId="673D2231"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3.815.833,61</w:t>
            </w:r>
          </w:p>
        </w:tc>
        <w:tc>
          <w:tcPr>
            <w:tcW w:w="1300" w:type="dxa"/>
            <w:hideMark/>
          </w:tcPr>
          <w:p w14:paraId="2F558E7D"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234.020,29</w:t>
            </w:r>
          </w:p>
        </w:tc>
        <w:tc>
          <w:tcPr>
            <w:tcW w:w="1299" w:type="dxa"/>
            <w:hideMark/>
          </w:tcPr>
          <w:p w14:paraId="00481F57"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22.577,68</w:t>
            </w:r>
          </w:p>
        </w:tc>
        <w:tc>
          <w:tcPr>
            <w:tcW w:w="990" w:type="dxa"/>
            <w:hideMark/>
          </w:tcPr>
          <w:p w14:paraId="69E6FC7B"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0,00</w:t>
            </w:r>
          </w:p>
        </w:tc>
        <w:tc>
          <w:tcPr>
            <w:tcW w:w="1608" w:type="dxa"/>
            <w:hideMark/>
          </w:tcPr>
          <w:p w14:paraId="5D70FD82"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0,00</w:t>
            </w:r>
          </w:p>
        </w:tc>
        <w:tc>
          <w:tcPr>
            <w:tcW w:w="1086" w:type="dxa"/>
            <w:hideMark/>
          </w:tcPr>
          <w:p w14:paraId="52BA51FF"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0,00</w:t>
            </w:r>
          </w:p>
        </w:tc>
        <w:tc>
          <w:tcPr>
            <w:tcW w:w="1275" w:type="dxa"/>
            <w:hideMark/>
          </w:tcPr>
          <w:p w14:paraId="50E88172"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0,00</w:t>
            </w:r>
          </w:p>
        </w:tc>
        <w:tc>
          <w:tcPr>
            <w:tcW w:w="1418" w:type="dxa"/>
            <w:hideMark/>
          </w:tcPr>
          <w:p w14:paraId="02BADC24"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0,00</w:t>
            </w:r>
          </w:p>
        </w:tc>
        <w:tc>
          <w:tcPr>
            <w:tcW w:w="1417" w:type="dxa"/>
            <w:tcBorders>
              <w:right w:val="nil"/>
            </w:tcBorders>
            <w:hideMark/>
          </w:tcPr>
          <w:p w14:paraId="559C0FDE"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4.072.431,58</w:t>
            </w:r>
          </w:p>
        </w:tc>
      </w:tr>
      <w:tr w:rsidR="00A41DBB" w:rsidRPr="00E03684" w14:paraId="4448094A" w14:textId="77777777" w:rsidTr="008F412E">
        <w:trPr>
          <w:trHeight w:val="113"/>
        </w:trPr>
        <w:tc>
          <w:tcPr>
            <w:tcW w:w="15593" w:type="dxa"/>
            <w:gridSpan w:val="12"/>
            <w:tcBorders>
              <w:left w:val="nil"/>
              <w:right w:val="nil"/>
            </w:tcBorders>
            <w:noWrap/>
            <w:vAlign w:val="center"/>
            <w:hideMark/>
          </w:tcPr>
          <w:p w14:paraId="742B82DB" w14:textId="77777777" w:rsidR="00A41DBB" w:rsidRPr="00E03684" w:rsidRDefault="00A41DBB" w:rsidP="008F412E">
            <w:pPr>
              <w:widowControl/>
              <w:autoSpaceDE/>
              <w:autoSpaceDN/>
              <w:jc w:val="center"/>
              <w:rPr>
                <w:rFonts w:asciiTheme="minorHAnsi" w:eastAsia="Times New Roman" w:hAnsiTheme="minorHAnsi" w:cstheme="minorHAnsi"/>
                <w:b/>
                <w:bCs/>
                <w:color w:val="000000"/>
                <w:lang w:bidi="ar-SA"/>
              </w:rPr>
            </w:pPr>
            <w:r w:rsidRPr="00E03684">
              <w:rPr>
                <w:rFonts w:asciiTheme="minorHAnsi" w:eastAsia="Times New Roman" w:hAnsiTheme="minorHAnsi" w:cstheme="minorHAnsi"/>
                <w:b/>
                <w:bCs/>
                <w:color w:val="000000"/>
                <w:lang w:bidi="ar-SA"/>
              </w:rPr>
              <w:t>Servidores cedidos com ônus</w:t>
            </w:r>
          </w:p>
        </w:tc>
      </w:tr>
      <w:tr w:rsidR="00A41DBB" w:rsidRPr="00E03684" w14:paraId="2CF2CF1A" w14:textId="77777777" w:rsidTr="008F412E">
        <w:trPr>
          <w:trHeight w:val="113"/>
        </w:trPr>
        <w:tc>
          <w:tcPr>
            <w:tcW w:w="1300" w:type="dxa"/>
            <w:vMerge w:val="restart"/>
            <w:tcBorders>
              <w:left w:val="nil"/>
            </w:tcBorders>
            <w:noWrap/>
            <w:vAlign w:val="center"/>
            <w:hideMark/>
          </w:tcPr>
          <w:p w14:paraId="1A992DEF" w14:textId="77777777" w:rsidR="00A41DBB" w:rsidRPr="00E03684" w:rsidRDefault="00A41DBB" w:rsidP="008F412E">
            <w:pPr>
              <w:widowControl/>
              <w:autoSpaceDE/>
              <w:autoSpaceDN/>
              <w:jc w:val="center"/>
              <w:rPr>
                <w:rFonts w:asciiTheme="minorHAnsi" w:eastAsia="Times New Roman" w:hAnsiTheme="minorHAnsi" w:cstheme="minorHAnsi"/>
                <w:b/>
                <w:bCs/>
                <w:color w:val="000000"/>
                <w:lang w:bidi="ar-SA"/>
              </w:rPr>
            </w:pPr>
            <w:r w:rsidRPr="00E03684">
              <w:rPr>
                <w:rFonts w:asciiTheme="minorHAnsi" w:eastAsia="Times New Roman" w:hAnsiTheme="minorHAnsi" w:cstheme="minorHAnsi"/>
                <w:b/>
                <w:bCs/>
                <w:color w:val="000000"/>
                <w:lang w:bidi="ar-SA"/>
              </w:rPr>
              <w:t>Exercícios</w:t>
            </w:r>
          </w:p>
        </w:tc>
        <w:tc>
          <w:tcPr>
            <w:tcW w:w="969" w:type="dxa"/>
            <w:vAlign w:val="center"/>
            <w:hideMark/>
          </w:tcPr>
          <w:p w14:paraId="0183D955" w14:textId="77777777" w:rsidR="00A41DBB" w:rsidRPr="00E03684" w:rsidRDefault="00A41DBB" w:rsidP="008F412E">
            <w:pPr>
              <w:widowControl/>
              <w:autoSpaceDE/>
              <w:autoSpaceDN/>
              <w:jc w:val="center"/>
              <w:rPr>
                <w:rFonts w:asciiTheme="minorHAnsi" w:eastAsia="Times New Roman" w:hAnsiTheme="minorHAnsi" w:cstheme="minorHAnsi"/>
                <w:b/>
                <w:bCs/>
                <w:color w:val="000000"/>
                <w:lang w:bidi="ar-SA"/>
              </w:rPr>
            </w:pPr>
            <w:r w:rsidRPr="00E03684">
              <w:rPr>
                <w:rFonts w:asciiTheme="minorHAnsi" w:eastAsia="Times New Roman" w:hAnsiTheme="minorHAnsi" w:cstheme="minorHAnsi"/>
                <w:b/>
                <w:bCs/>
                <w:color w:val="000000"/>
                <w:lang w:bidi="ar-SA"/>
              </w:rPr>
              <w:t>2021</w:t>
            </w:r>
          </w:p>
        </w:tc>
        <w:tc>
          <w:tcPr>
            <w:tcW w:w="1631" w:type="dxa"/>
            <w:hideMark/>
          </w:tcPr>
          <w:p w14:paraId="3A354B80"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24.841.699,14</w:t>
            </w:r>
          </w:p>
        </w:tc>
        <w:tc>
          <w:tcPr>
            <w:tcW w:w="1300" w:type="dxa"/>
            <w:hideMark/>
          </w:tcPr>
          <w:p w14:paraId="299E3B21"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2.870.436,09</w:t>
            </w:r>
          </w:p>
        </w:tc>
        <w:tc>
          <w:tcPr>
            <w:tcW w:w="1300" w:type="dxa"/>
            <w:hideMark/>
          </w:tcPr>
          <w:p w14:paraId="364F26D3"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2.463.839,17</w:t>
            </w:r>
          </w:p>
        </w:tc>
        <w:tc>
          <w:tcPr>
            <w:tcW w:w="1299" w:type="dxa"/>
            <w:hideMark/>
          </w:tcPr>
          <w:p w14:paraId="15912B38"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4.828.556,75</w:t>
            </w:r>
          </w:p>
        </w:tc>
        <w:tc>
          <w:tcPr>
            <w:tcW w:w="990" w:type="dxa"/>
            <w:hideMark/>
          </w:tcPr>
          <w:p w14:paraId="7D33D084"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0,00</w:t>
            </w:r>
          </w:p>
        </w:tc>
        <w:tc>
          <w:tcPr>
            <w:tcW w:w="1608" w:type="dxa"/>
            <w:hideMark/>
          </w:tcPr>
          <w:p w14:paraId="47D35B9A"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0,00</w:t>
            </w:r>
          </w:p>
        </w:tc>
        <w:tc>
          <w:tcPr>
            <w:tcW w:w="1086" w:type="dxa"/>
            <w:hideMark/>
          </w:tcPr>
          <w:p w14:paraId="126E0255"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0,00</w:t>
            </w:r>
          </w:p>
        </w:tc>
        <w:tc>
          <w:tcPr>
            <w:tcW w:w="1275" w:type="dxa"/>
            <w:hideMark/>
          </w:tcPr>
          <w:p w14:paraId="215C3320"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0,00</w:t>
            </w:r>
          </w:p>
        </w:tc>
        <w:tc>
          <w:tcPr>
            <w:tcW w:w="1418" w:type="dxa"/>
            <w:hideMark/>
          </w:tcPr>
          <w:p w14:paraId="69220799"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1.241.692,47</w:t>
            </w:r>
          </w:p>
        </w:tc>
        <w:tc>
          <w:tcPr>
            <w:tcW w:w="1417" w:type="dxa"/>
            <w:tcBorders>
              <w:right w:val="nil"/>
            </w:tcBorders>
            <w:hideMark/>
          </w:tcPr>
          <w:p w14:paraId="598A6288"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36.246.223,61</w:t>
            </w:r>
          </w:p>
        </w:tc>
      </w:tr>
      <w:tr w:rsidR="00A41DBB" w:rsidRPr="00E03684" w14:paraId="728185C5" w14:textId="77777777" w:rsidTr="008F412E">
        <w:trPr>
          <w:trHeight w:val="113"/>
        </w:trPr>
        <w:tc>
          <w:tcPr>
            <w:tcW w:w="1300" w:type="dxa"/>
            <w:vMerge/>
            <w:tcBorders>
              <w:left w:val="nil"/>
            </w:tcBorders>
            <w:vAlign w:val="center"/>
            <w:hideMark/>
          </w:tcPr>
          <w:p w14:paraId="79FFEE29" w14:textId="77777777" w:rsidR="00A41DBB" w:rsidRPr="00E03684" w:rsidRDefault="00A41DBB" w:rsidP="008F412E">
            <w:pPr>
              <w:widowControl/>
              <w:autoSpaceDE/>
              <w:autoSpaceDN/>
              <w:jc w:val="center"/>
              <w:rPr>
                <w:rFonts w:asciiTheme="minorHAnsi" w:eastAsia="Times New Roman" w:hAnsiTheme="minorHAnsi" w:cstheme="minorHAnsi"/>
                <w:b/>
                <w:bCs/>
                <w:color w:val="000000"/>
                <w:lang w:bidi="ar-SA"/>
              </w:rPr>
            </w:pPr>
          </w:p>
        </w:tc>
        <w:tc>
          <w:tcPr>
            <w:tcW w:w="969" w:type="dxa"/>
            <w:vAlign w:val="center"/>
            <w:hideMark/>
          </w:tcPr>
          <w:p w14:paraId="6A60934D" w14:textId="77777777" w:rsidR="00A41DBB" w:rsidRPr="00E03684" w:rsidRDefault="00A41DBB" w:rsidP="008F412E">
            <w:pPr>
              <w:widowControl/>
              <w:autoSpaceDE/>
              <w:autoSpaceDN/>
              <w:jc w:val="center"/>
              <w:rPr>
                <w:rFonts w:asciiTheme="minorHAnsi" w:eastAsia="Times New Roman" w:hAnsiTheme="minorHAnsi" w:cstheme="minorHAnsi"/>
                <w:b/>
                <w:bCs/>
                <w:color w:val="000000"/>
                <w:lang w:bidi="ar-SA"/>
              </w:rPr>
            </w:pPr>
            <w:r w:rsidRPr="00E03684">
              <w:rPr>
                <w:rFonts w:asciiTheme="minorHAnsi" w:eastAsia="Times New Roman" w:hAnsiTheme="minorHAnsi" w:cstheme="minorHAnsi"/>
                <w:b/>
                <w:bCs/>
                <w:color w:val="000000"/>
                <w:lang w:bidi="ar-SA"/>
              </w:rPr>
              <w:t>2020</w:t>
            </w:r>
          </w:p>
        </w:tc>
        <w:tc>
          <w:tcPr>
            <w:tcW w:w="1631" w:type="dxa"/>
            <w:noWrap/>
            <w:hideMark/>
          </w:tcPr>
          <w:p w14:paraId="15FFED48"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24.562.462,53</w:t>
            </w:r>
          </w:p>
        </w:tc>
        <w:tc>
          <w:tcPr>
            <w:tcW w:w="1300" w:type="dxa"/>
            <w:noWrap/>
            <w:hideMark/>
          </w:tcPr>
          <w:p w14:paraId="163EA3BF"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2.275.489,38</w:t>
            </w:r>
          </w:p>
        </w:tc>
        <w:tc>
          <w:tcPr>
            <w:tcW w:w="1300" w:type="dxa"/>
            <w:noWrap/>
            <w:hideMark/>
          </w:tcPr>
          <w:p w14:paraId="7C1C9FE3"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2.435.211,85</w:t>
            </w:r>
          </w:p>
        </w:tc>
        <w:tc>
          <w:tcPr>
            <w:tcW w:w="1299" w:type="dxa"/>
            <w:noWrap/>
            <w:hideMark/>
          </w:tcPr>
          <w:p w14:paraId="712ECEEF"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4.804.065,49</w:t>
            </w:r>
          </w:p>
        </w:tc>
        <w:tc>
          <w:tcPr>
            <w:tcW w:w="990" w:type="dxa"/>
            <w:hideMark/>
          </w:tcPr>
          <w:p w14:paraId="2BC59040"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0,00</w:t>
            </w:r>
          </w:p>
        </w:tc>
        <w:tc>
          <w:tcPr>
            <w:tcW w:w="1608" w:type="dxa"/>
            <w:hideMark/>
          </w:tcPr>
          <w:p w14:paraId="553BB09B"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0,00</w:t>
            </w:r>
          </w:p>
        </w:tc>
        <w:tc>
          <w:tcPr>
            <w:tcW w:w="1086" w:type="dxa"/>
            <w:hideMark/>
          </w:tcPr>
          <w:p w14:paraId="6DF2FD7A"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0,00</w:t>
            </w:r>
          </w:p>
        </w:tc>
        <w:tc>
          <w:tcPr>
            <w:tcW w:w="1275" w:type="dxa"/>
            <w:hideMark/>
          </w:tcPr>
          <w:p w14:paraId="1DF322FD"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0,00</w:t>
            </w:r>
          </w:p>
        </w:tc>
        <w:tc>
          <w:tcPr>
            <w:tcW w:w="1418" w:type="dxa"/>
            <w:noWrap/>
            <w:hideMark/>
          </w:tcPr>
          <w:p w14:paraId="13920C85"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1.902.827,69</w:t>
            </w:r>
          </w:p>
        </w:tc>
        <w:tc>
          <w:tcPr>
            <w:tcW w:w="1417" w:type="dxa"/>
            <w:tcBorders>
              <w:right w:val="nil"/>
            </w:tcBorders>
            <w:hideMark/>
          </w:tcPr>
          <w:p w14:paraId="64F6FE2A"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r w:rsidRPr="00E03684">
              <w:rPr>
                <w:rFonts w:asciiTheme="minorHAnsi" w:eastAsia="Times New Roman" w:hAnsiTheme="minorHAnsi" w:cstheme="minorHAnsi"/>
                <w:color w:val="000000"/>
                <w:lang w:bidi="ar-SA"/>
              </w:rPr>
              <w:t>35.980.056,94</w:t>
            </w:r>
          </w:p>
        </w:tc>
      </w:tr>
      <w:tr w:rsidR="00A41DBB" w:rsidRPr="00E03684" w14:paraId="081559BB" w14:textId="77777777" w:rsidTr="008F412E">
        <w:trPr>
          <w:trHeight w:val="113"/>
        </w:trPr>
        <w:tc>
          <w:tcPr>
            <w:tcW w:w="15593" w:type="dxa"/>
            <w:gridSpan w:val="12"/>
            <w:tcBorders>
              <w:left w:val="nil"/>
              <w:right w:val="nil"/>
            </w:tcBorders>
            <w:noWrap/>
            <w:vAlign w:val="center"/>
            <w:hideMark/>
          </w:tcPr>
          <w:p w14:paraId="6DF5C1B6" w14:textId="77777777" w:rsidR="00A41DBB" w:rsidRPr="00E03684" w:rsidRDefault="00A41DBB" w:rsidP="008F412E">
            <w:pPr>
              <w:widowControl/>
              <w:autoSpaceDE/>
              <w:autoSpaceDN/>
              <w:jc w:val="center"/>
              <w:rPr>
                <w:rFonts w:asciiTheme="minorHAnsi" w:eastAsia="Times New Roman" w:hAnsiTheme="minorHAnsi" w:cstheme="minorHAnsi"/>
                <w:b/>
                <w:bCs/>
                <w:color w:val="000000"/>
                <w:lang w:bidi="ar-SA"/>
              </w:rPr>
            </w:pPr>
            <w:r w:rsidRPr="00E03684">
              <w:rPr>
                <w:rFonts w:asciiTheme="minorHAnsi" w:eastAsia="Times New Roman" w:hAnsiTheme="minorHAnsi" w:cstheme="minorHAnsi"/>
                <w:b/>
                <w:bCs/>
                <w:color w:val="000000"/>
                <w:lang w:bidi="ar-SA"/>
              </w:rPr>
              <w:t>Servidores com contrato temporário</w:t>
            </w:r>
          </w:p>
        </w:tc>
      </w:tr>
      <w:tr w:rsidR="00A41DBB" w:rsidRPr="00E03684" w14:paraId="04CA11DF" w14:textId="77777777" w:rsidTr="008F412E">
        <w:trPr>
          <w:trHeight w:val="113"/>
        </w:trPr>
        <w:tc>
          <w:tcPr>
            <w:tcW w:w="1300" w:type="dxa"/>
            <w:vMerge w:val="restart"/>
            <w:tcBorders>
              <w:left w:val="nil"/>
            </w:tcBorders>
            <w:noWrap/>
            <w:vAlign w:val="center"/>
            <w:hideMark/>
          </w:tcPr>
          <w:p w14:paraId="36202317" w14:textId="77777777" w:rsidR="00A41DBB" w:rsidRPr="00E03684" w:rsidRDefault="00A41DBB" w:rsidP="008F412E">
            <w:pPr>
              <w:widowControl/>
              <w:autoSpaceDE/>
              <w:autoSpaceDN/>
              <w:jc w:val="center"/>
              <w:rPr>
                <w:rFonts w:asciiTheme="minorHAnsi" w:eastAsia="Times New Roman" w:hAnsiTheme="minorHAnsi" w:cstheme="minorHAnsi"/>
                <w:b/>
                <w:bCs/>
                <w:color w:val="000000"/>
                <w:lang w:bidi="ar-SA"/>
              </w:rPr>
            </w:pPr>
            <w:r w:rsidRPr="00E03684">
              <w:rPr>
                <w:rFonts w:asciiTheme="minorHAnsi" w:eastAsia="Times New Roman" w:hAnsiTheme="minorHAnsi" w:cstheme="minorHAnsi"/>
                <w:b/>
                <w:bCs/>
                <w:color w:val="000000"/>
                <w:lang w:bidi="ar-SA"/>
              </w:rPr>
              <w:t>Exercícios</w:t>
            </w:r>
          </w:p>
        </w:tc>
        <w:tc>
          <w:tcPr>
            <w:tcW w:w="969" w:type="dxa"/>
            <w:vAlign w:val="center"/>
            <w:hideMark/>
          </w:tcPr>
          <w:p w14:paraId="09EF0020" w14:textId="77777777" w:rsidR="00A41DBB" w:rsidRPr="00E03684" w:rsidRDefault="00A41DBB" w:rsidP="008F412E">
            <w:pPr>
              <w:widowControl/>
              <w:autoSpaceDE/>
              <w:autoSpaceDN/>
              <w:jc w:val="center"/>
              <w:rPr>
                <w:rFonts w:asciiTheme="minorHAnsi" w:eastAsia="Times New Roman" w:hAnsiTheme="minorHAnsi" w:cstheme="minorHAnsi"/>
                <w:b/>
                <w:bCs/>
                <w:color w:val="000000"/>
                <w:lang w:bidi="ar-SA"/>
              </w:rPr>
            </w:pPr>
            <w:r w:rsidRPr="00E03684">
              <w:rPr>
                <w:rFonts w:asciiTheme="minorHAnsi" w:eastAsia="Times New Roman" w:hAnsiTheme="minorHAnsi" w:cstheme="minorHAnsi"/>
                <w:b/>
                <w:bCs/>
                <w:color w:val="000000"/>
                <w:lang w:bidi="ar-SA"/>
              </w:rPr>
              <w:t>2021</w:t>
            </w:r>
          </w:p>
        </w:tc>
        <w:tc>
          <w:tcPr>
            <w:tcW w:w="1631" w:type="dxa"/>
            <w:hideMark/>
          </w:tcPr>
          <w:p w14:paraId="30E48C24"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p>
        </w:tc>
        <w:tc>
          <w:tcPr>
            <w:tcW w:w="1300" w:type="dxa"/>
            <w:hideMark/>
          </w:tcPr>
          <w:p w14:paraId="4AE1039D"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p>
        </w:tc>
        <w:tc>
          <w:tcPr>
            <w:tcW w:w="1300" w:type="dxa"/>
            <w:hideMark/>
          </w:tcPr>
          <w:p w14:paraId="35548344"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p>
        </w:tc>
        <w:tc>
          <w:tcPr>
            <w:tcW w:w="1299" w:type="dxa"/>
            <w:hideMark/>
          </w:tcPr>
          <w:p w14:paraId="063C8A65"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p>
        </w:tc>
        <w:tc>
          <w:tcPr>
            <w:tcW w:w="990" w:type="dxa"/>
            <w:hideMark/>
          </w:tcPr>
          <w:p w14:paraId="5B95EB21"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p>
        </w:tc>
        <w:tc>
          <w:tcPr>
            <w:tcW w:w="1608" w:type="dxa"/>
            <w:hideMark/>
          </w:tcPr>
          <w:p w14:paraId="216A31CC"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p>
        </w:tc>
        <w:tc>
          <w:tcPr>
            <w:tcW w:w="1086" w:type="dxa"/>
            <w:hideMark/>
          </w:tcPr>
          <w:p w14:paraId="02052CAA"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p>
        </w:tc>
        <w:tc>
          <w:tcPr>
            <w:tcW w:w="1275" w:type="dxa"/>
            <w:hideMark/>
          </w:tcPr>
          <w:p w14:paraId="1B8F2929"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p>
        </w:tc>
        <w:tc>
          <w:tcPr>
            <w:tcW w:w="1418" w:type="dxa"/>
            <w:hideMark/>
          </w:tcPr>
          <w:p w14:paraId="5E2AD499"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p>
        </w:tc>
        <w:tc>
          <w:tcPr>
            <w:tcW w:w="1417" w:type="dxa"/>
            <w:tcBorders>
              <w:right w:val="nil"/>
            </w:tcBorders>
            <w:hideMark/>
          </w:tcPr>
          <w:p w14:paraId="2C2AE619"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p>
        </w:tc>
      </w:tr>
      <w:tr w:rsidR="00A41DBB" w:rsidRPr="00E03684" w14:paraId="6C27BA05" w14:textId="77777777" w:rsidTr="008F412E">
        <w:trPr>
          <w:trHeight w:val="113"/>
        </w:trPr>
        <w:tc>
          <w:tcPr>
            <w:tcW w:w="1300" w:type="dxa"/>
            <w:vMerge/>
            <w:tcBorders>
              <w:left w:val="nil"/>
            </w:tcBorders>
            <w:vAlign w:val="center"/>
            <w:hideMark/>
          </w:tcPr>
          <w:p w14:paraId="571C41BF" w14:textId="77777777" w:rsidR="00A41DBB" w:rsidRPr="00E03684" w:rsidRDefault="00A41DBB" w:rsidP="008F412E">
            <w:pPr>
              <w:widowControl/>
              <w:autoSpaceDE/>
              <w:autoSpaceDN/>
              <w:jc w:val="center"/>
              <w:rPr>
                <w:rFonts w:asciiTheme="minorHAnsi" w:eastAsia="Times New Roman" w:hAnsiTheme="minorHAnsi" w:cstheme="minorHAnsi"/>
                <w:b/>
                <w:bCs/>
                <w:color w:val="000000"/>
                <w:lang w:bidi="ar-SA"/>
              </w:rPr>
            </w:pPr>
          </w:p>
        </w:tc>
        <w:tc>
          <w:tcPr>
            <w:tcW w:w="969" w:type="dxa"/>
            <w:vAlign w:val="center"/>
            <w:hideMark/>
          </w:tcPr>
          <w:p w14:paraId="72131CE4" w14:textId="77777777" w:rsidR="00A41DBB" w:rsidRPr="00E03684" w:rsidRDefault="00A41DBB" w:rsidP="008F412E">
            <w:pPr>
              <w:widowControl/>
              <w:autoSpaceDE/>
              <w:autoSpaceDN/>
              <w:jc w:val="center"/>
              <w:rPr>
                <w:rFonts w:asciiTheme="minorHAnsi" w:eastAsia="Times New Roman" w:hAnsiTheme="minorHAnsi" w:cstheme="minorHAnsi"/>
                <w:b/>
                <w:bCs/>
                <w:color w:val="000000"/>
                <w:lang w:bidi="ar-SA"/>
              </w:rPr>
            </w:pPr>
            <w:r w:rsidRPr="00E03684">
              <w:rPr>
                <w:rFonts w:asciiTheme="minorHAnsi" w:eastAsia="Times New Roman" w:hAnsiTheme="minorHAnsi" w:cstheme="minorHAnsi"/>
                <w:b/>
                <w:bCs/>
                <w:color w:val="000000"/>
                <w:lang w:bidi="ar-SA"/>
              </w:rPr>
              <w:t>2020</w:t>
            </w:r>
          </w:p>
        </w:tc>
        <w:tc>
          <w:tcPr>
            <w:tcW w:w="1631" w:type="dxa"/>
            <w:hideMark/>
          </w:tcPr>
          <w:p w14:paraId="6248553B"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p>
        </w:tc>
        <w:tc>
          <w:tcPr>
            <w:tcW w:w="1300" w:type="dxa"/>
            <w:hideMark/>
          </w:tcPr>
          <w:p w14:paraId="0BFAA2C3"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p>
        </w:tc>
        <w:tc>
          <w:tcPr>
            <w:tcW w:w="1300" w:type="dxa"/>
            <w:hideMark/>
          </w:tcPr>
          <w:p w14:paraId="2942BCA7"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p>
        </w:tc>
        <w:tc>
          <w:tcPr>
            <w:tcW w:w="1299" w:type="dxa"/>
            <w:hideMark/>
          </w:tcPr>
          <w:p w14:paraId="004C13C9"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p>
        </w:tc>
        <w:tc>
          <w:tcPr>
            <w:tcW w:w="990" w:type="dxa"/>
            <w:hideMark/>
          </w:tcPr>
          <w:p w14:paraId="019FB394"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p>
        </w:tc>
        <w:tc>
          <w:tcPr>
            <w:tcW w:w="1608" w:type="dxa"/>
            <w:hideMark/>
          </w:tcPr>
          <w:p w14:paraId="66B8F906"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p>
        </w:tc>
        <w:tc>
          <w:tcPr>
            <w:tcW w:w="1086" w:type="dxa"/>
            <w:hideMark/>
          </w:tcPr>
          <w:p w14:paraId="61365599"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p>
        </w:tc>
        <w:tc>
          <w:tcPr>
            <w:tcW w:w="1275" w:type="dxa"/>
            <w:hideMark/>
          </w:tcPr>
          <w:p w14:paraId="7C7EBBC0"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p>
        </w:tc>
        <w:tc>
          <w:tcPr>
            <w:tcW w:w="1418" w:type="dxa"/>
            <w:hideMark/>
          </w:tcPr>
          <w:p w14:paraId="24F5A78B"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p>
        </w:tc>
        <w:tc>
          <w:tcPr>
            <w:tcW w:w="1417" w:type="dxa"/>
            <w:tcBorders>
              <w:right w:val="nil"/>
            </w:tcBorders>
            <w:hideMark/>
          </w:tcPr>
          <w:p w14:paraId="7F293D75" w14:textId="77777777" w:rsidR="00A41DBB" w:rsidRPr="00E03684" w:rsidRDefault="00A41DBB" w:rsidP="008F412E">
            <w:pPr>
              <w:widowControl/>
              <w:autoSpaceDE/>
              <w:autoSpaceDN/>
              <w:jc w:val="center"/>
              <w:rPr>
                <w:rFonts w:asciiTheme="minorHAnsi" w:eastAsia="Times New Roman" w:hAnsiTheme="minorHAnsi" w:cstheme="minorHAnsi"/>
                <w:color w:val="000000"/>
                <w:lang w:bidi="ar-SA"/>
              </w:rPr>
            </w:pPr>
          </w:p>
        </w:tc>
      </w:tr>
    </w:tbl>
    <w:p w14:paraId="7ECA5EAA" w14:textId="77777777" w:rsidR="00A41DBB" w:rsidRPr="00252D7B" w:rsidRDefault="00A41DBB" w:rsidP="002A303F">
      <w:pPr>
        <w:pStyle w:val="Legenda"/>
        <w:spacing w:before="120" w:after="120"/>
        <w:jc w:val="center"/>
        <w:rPr>
          <w:rFonts w:asciiTheme="minorHAnsi" w:hAnsiTheme="minorHAnsi" w:cstheme="minorHAnsi"/>
          <w:sz w:val="20"/>
          <w:szCs w:val="20"/>
        </w:rPr>
      </w:pPr>
      <w:r w:rsidRPr="00252D7B">
        <w:rPr>
          <w:rFonts w:asciiTheme="minorHAnsi" w:hAnsiTheme="minorHAnsi" w:cstheme="minorHAnsi"/>
          <w:sz w:val="20"/>
          <w:szCs w:val="20"/>
        </w:rPr>
        <w:t>Fonte: Sistema Integrado de Administração de Recursos Humanos (SIAPE) – Serviço Federal de Processamento de Dados (SERPRO)</w:t>
      </w:r>
    </w:p>
    <w:p w14:paraId="349E964C" w14:textId="77777777" w:rsidR="00A41DBB" w:rsidRPr="00252D7B" w:rsidRDefault="00A41DBB" w:rsidP="002A303F">
      <w:pPr>
        <w:pStyle w:val="Legenda"/>
        <w:spacing w:before="120" w:after="120"/>
        <w:jc w:val="center"/>
        <w:rPr>
          <w:rFonts w:asciiTheme="minorHAnsi" w:hAnsiTheme="minorHAnsi" w:cstheme="minorHAnsi"/>
          <w:sz w:val="20"/>
          <w:szCs w:val="20"/>
        </w:rPr>
        <w:sectPr w:rsidR="00A41DBB" w:rsidRPr="00252D7B" w:rsidSect="00E03684">
          <w:pgSz w:w="16838" w:h="11906" w:orient="landscape" w:code="9"/>
          <w:pgMar w:top="1080" w:right="1440" w:bottom="1080" w:left="1440" w:header="0" w:footer="714" w:gutter="0"/>
          <w:cols w:space="720"/>
          <w:docGrid w:linePitch="299"/>
        </w:sectPr>
      </w:pPr>
    </w:p>
    <w:p w14:paraId="42F8A2DF" w14:textId="012AB962" w:rsidR="00A41DBB" w:rsidRPr="00252D7B" w:rsidRDefault="00A41DBB" w:rsidP="00A41DBB">
      <w:pPr>
        <w:pStyle w:val="Ttulo3"/>
        <w:spacing w:before="120" w:after="120"/>
        <w:rPr>
          <w:rFonts w:asciiTheme="minorHAnsi" w:hAnsiTheme="minorHAnsi" w:cstheme="minorHAnsi"/>
        </w:rPr>
      </w:pPr>
      <w:bookmarkStart w:id="319" w:name="_Toc95906798"/>
      <w:bookmarkStart w:id="320" w:name="_Toc97215842"/>
      <w:bookmarkStart w:id="321" w:name="_Toc103680567"/>
      <w:bookmarkEnd w:id="315"/>
      <w:bookmarkEnd w:id="316"/>
      <w:bookmarkEnd w:id="317"/>
      <w:r w:rsidRPr="00252D7B">
        <w:rPr>
          <w:rFonts w:asciiTheme="minorHAnsi" w:hAnsiTheme="minorHAnsi" w:cstheme="minorHAnsi"/>
        </w:rPr>
        <w:lastRenderedPageBreak/>
        <w:t xml:space="preserve">Estratégia de valorização por desempenho e levantamento de necessidades de treinamento; estratégias para alavancar o desempenho e a eficiência, sistemas/ferramentas de apoio, trabalho remoto, valorização do ambiente e das condições de </w:t>
      </w:r>
      <w:bookmarkEnd w:id="319"/>
      <w:bookmarkEnd w:id="320"/>
      <w:r w:rsidRPr="00252D7B">
        <w:rPr>
          <w:rFonts w:asciiTheme="minorHAnsi" w:hAnsiTheme="minorHAnsi" w:cstheme="minorHAnsi"/>
        </w:rPr>
        <w:t>trabalho etc.</w:t>
      </w:r>
      <w:bookmarkEnd w:id="321"/>
    </w:p>
    <w:p w14:paraId="578D26DE" w14:textId="46F56F13" w:rsidR="00A41DBB" w:rsidRPr="00252D7B" w:rsidRDefault="00A41DBB" w:rsidP="00A41DBB">
      <w:pPr>
        <w:pStyle w:val="Recuodecorpodetexto"/>
        <w:spacing w:before="120"/>
        <w:ind w:left="0"/>
        <w:jc w:val="both"/>
        <w:rPr>
          <w:rFonts w:asciiTheme="minorHAnsi" w:hAnsiTheme="minorHAnsi" w:cstheme="minorHAnsi"/>
        </w:rPr>
      </w:pPr>
      <w:bookmarkStart w:id="322" w:name="_Toc94012535"/>
      <w:bookmarkStart w:id="323" w:name="_Toc95830271"/>
      <w:r w:rsidRPr="00252D7B">
        <w:rPr>
          <w:rFonts w:asciiTheme="minorHAnsi" w:hAnsiTheme="minorHAnsi" w:cstheme="minorHAnsi"/>
        </w:rPr>
        <w:t xml:space="preserve">No ano de 2021, diversas ações foram adotadas com vistas a potencializar a governança de pessoas no âmbito da </w:t>
      </w:r>
      <w:r w:rsidR="00610C91" w:rsidRPr="00252D7B">
        <w:rPr>
          <w:rFonts w:asciiTheme="minorHAnsi" w:hAnsiTheme="minorHAnsi" w:cstheme="minorHAnsi"/>
        </w:rPr>
        <w:t>Valec</w:t>
      </w:r>
      <w:r w:rsidRPr="00252D7B">
        <w:rPr>
          <w:rFonts w:asciiTheme="minorHAnsi" w:hAnsiTheme="minorHAnsi" w:cstheme="minorHAnsi"/>
        </w:rPr>
        <w:t xml:space="preserve"> com foco no desempenho, na valorização meritocrática, na capacitação e no desenvolvimento de competências individuais e organizacionais para, assim, subsidiar a condução dos subsistemas de gestão de pessoas e a tomada de decisão alinhadas às necessidades da Empresa para a consecução dos seus objetivos estratégicos. Dentre essas ações, destacam-se:</w:t>
      </w:r>
    </w:p>
    <w:p w14:paraId="418C2804" w14:textId="493CA587" w:rsidR="007462BB" w:rsidRPr="00252D7B" w:rsidRDefault="00A41DBB" w:rsidP="004B088B">
      <w:pPr>
        <w:pStyle w:val="Recuodecorpodetexto"/>
        <w:spacing w:before="120"/>
        <w:ind w:left="0"/>
        <w:jc w:val="both"/>
        <w:rPr>
          <w:rFonts w:asciiTheme="minorHAnsi" w:hAnsiTheme="minorHAnsi" w:cstheme="minorHAnsi"/>
        </w:rPr>
      </w:pPr>
      <w:r w:rsidRPr="00252D7B">
        <w:rPr>
          <w:rFonts w:asciiTheme="minorHAnsi" w:hAnsiTheme="minorHAnsi" w:cstheme="minorHAnsi"/>
          <w:b/>
          <w:bCs/>
        </w:rPr>
        <w:t>Gestão da capacitação e do desenvolvimento Profissional com foco em competências</w:t>
      </w:r>
      <w:r w:rsidR="004B088B" w:rsidRPr="00252D7B">
        <w:rPr>
          <w:rFonts w:asciiTheme="minorHAnsi" w:hAnsiTheme="minorHAnsi" w:cstheme="minorHAnsi"/>
        </w:rPr>
        <w:t xml:space="preserve">, na qual </w:t>
      </w:r>
      <w:r w:rsidRPr="00252D7B">
        <w:rPr>
          <w:rFonts w:asciiTheme="minorHAnsi" w:hAnsiTheme="minorHAnsi" w:cstheme="minorHAnsi"/>
        </w:rPr>
        <w:t xml:space="preserve">foi instituída a </w:t>
      </w:r>
      <w:r w:rsidRPr="00252D7B">
        <w:rPr>
          <w:rFonts w:asciiTheme="minorHAnsi" w:hAnsiTheme="minorHAnsi" w:cstheme="minorHAnsi"/>
          <w:b/>
          <w:bCs/>
        </w:rPr>
        <w:t>Política de Capacitação e Desenvolvimento Profissional</w:t>
      </w:r>
      <w:r w:rsidRPr="00252D7B">
        <w:rPr>
          <w:rFonts w:asciiTheme="minorHAnsi" w:hAnsiTheme="minorHAnsi" w:cstheme="minorHAnsi"/>
        </w:rPr>
        <w:t xml:space="preserve">, por meio da Resolução Normativa </w:t>
      </w:r>
      <w:r w:rsidR="00610C91" w:rsidRPr="00252D7B">
        <w:rPr>
          <w:rFonts w:asciiTheme="minorHAnsi" w:hAnsiTheme="minorHAnsi" w:cstheme="minorHAnsi"/>
        </w:rPr>
        <w:t>Valec</w:t>
      </w:r>
      <w:r w:rsidRPr="00252D7B">
        <w:rPr>
          <w:rFonts w:asciiTheme="minorHAnsi" w:hAnsiTheme="minorHAnsi" w:cstheme="minorHAnsi"/>
        </w:rPr>
        <w:t xml:space="preserve"> nº 13/2021/CONSAD-</w:t>
      </w:r>
      <w:r w:rsidR="00610C91" w:rsidRPr="00252D7B">
        <w:rPr>
          <w:rFonts w:asciiTheme="minorHAnsi" w:hAnsiTheme="minorHAnsi" w:cstheme="minorHAnsi"/>
        </w:rPr>
        <w:t>Valec</w:t>
      </w:r>
      <w:r w:rsidRPr="00252D7B">
        <w:rPr>
          <w:rFonts w:asciiTheme="minorHAnsi" w:hAnsiTheme="minorHAnsi" w:cstheme="minorHAnsi"/>
        </w:rPr>
        <w:t>, cujos principais objetivos são:</w:t>
      </w:r>
    </w:p>
    <w:p w14:paraId="60EC089D" w14:textId="77777777" w:rsidR="007462BB" w:rsidRPr="00252D7B" w:rsidRDefault="007462BB" w:rsidP="00781433">
      <w:pPr>
        <w:pStyle w:val="PargrafodaLista"/>
        <w:numPr>
          <w:ilvl w:val="0"/>
          <w:numId w:val="4"/>
        </w:numPr>
        <w:spacing w:before="120" w:after="120"/>
        <w:ind w:left="992" w:hanging="357"/>
        <w:contextualSpacing w:val="0"/>
        <w:jc w:val="both"/>
        <w:rPr>
          <w:rFonts w:asciiTheme="minorHAnsi" w:hAnsiTheme="minorHAnsi" w:cstheme="minorHAnsi"/>
          <w:sz w:val="24"/>
          <w:szCs w:val="24"/>
        </w:rPr>
      </w:pPr>
      <w:r w:rsidRPr="00252D7B">
        <w:rPr>
          <w:rFonts w:asciiTheme="minorHAnsi" w:hAnsiTheme="minorHAnsi" w:cstheme="minorHAnsi"/>
          <w:sz w:val="24"/>
          <w:szCs w:val="24"/>
        </w:rPr>
        <w:t>P</w:t>
      </w:r>
      <w:r w:rsidR="00A41DBB" w:rsidRPr="00252D7B">
        <w:rPr>
          <w:rFonts w:asciiTheme="minorHAnsi" w:hAnsiTheme="minorHAnsi" w:cstheme="minorHAnsi"/>
          <w:sz w:val="24"/>
          <w:szCs w:val="24"/>
        </w:rPr>
        <w:t>romover a valorização dos empregados por meio do desenvolvimento permanente;</w:t>
      </w:r>
    </w:p>
    <w:p w14:paraId="16ACD475" w14:textId="5C111114" w:rsidR="007462BB" w:rsidRPr="00252D7B" w:rsidRDefault="007462BB" w:rsidP="00781433">
      <w:pPr>
        <w:pStyle w:val="PargrafodaLista"/>
        <w:numPr>
          <w:ilvl w:val="0"/>
          <w:numId w:val="4"/>
        </w:numPr>
        <w:spacing w:before="120" w:after="120"/>
        <w:ind w:left="992" w:hanging="357"/>
        <w:contextualSpacing w:val="0"/>
        <w:jc w:val="both"/>
        <w:rPr>
          <w:rFonts w:asciiTheme="minorHAnsi" w:hAnsiTheme="minorHAnsi" w:cstheme="minorHAnsi"/>
          <w:sz w:val="24"/>
          <w:szCs w:val="24"/>
        </w:rPr>
      </w:pPr>
      <w:r w:rsidRPr="00252D7B">
        <w:rPr>
          <w:rFonts w:asciiTheme="minorHAnsi" w:hAnsiTheme="minorHAnsi" w:cstheme="minorHAnsi"/>
          <w:sz w:val="24"/>
          <w:szCs w:val="24"/>
        </w:rPr>
        <w:t xml:space="preserve">Fomentar </w:t>
      </w:r>
      <w:r w:rsidR="00A41DBB" w:rsidRPr="00252D7B">
        <w:rPr>
          <w:rFonts w:asciiTheme="minorHAnsi" w:hAnsiTheme="minorHAnsi" w:cstheme="minorHAnsi"/>
          <w:sz w:val="24"/>
          <w:szCs w:val="24"/>
        </w:rPr>
        <w:t xml:space="preserve">para que a gestão de desenvolvimento de pessoas na </w:t>
      </w:r>
      <w:r w:rsidR="00E86113">
        <w:rPr>
          <w:rFonts w:asciiTheme="minorHAnsi" w:hAnsiTheme="minorHAnsi" w:cstheme="minorHAnsi"/>
          <w:sz w:val="24"/>
          <w:szCs w:val="24"/>
        </w:rPr>
        <w:t>Valec</w:t>
      </w:r>
      <w:r w:rsidR="00A41DBB" w:rsidRPr="00252D7B">
        <w:rPr>
          <w:rFonts w:asciiTheme="minorHAnsi" w:hAnsiTheme="minorHAnsi" w:cstheme="minorHAnsi"/>
          <w:sz w:val="24"/>
          <w:szCs w:val="24"/>
        </w:rPr>
        <w:t xml:space="preserve"> seja orientada pelo mérito e para o interesse público, tendo em vista o cumprimento da missão institucional;</w:t>
      </w:r>
    </w:p>
    <w:p w14:paraId="03969853" w14:textId="1F467A5D" w:rsidR="007462BB" w:rsidRPr="00252D7B" w:rsidRDefault="007462BB" w:rsidP="00781433">
      <w:pPr>
        <w:pStyle w:val="PargrafodaLista"/>
        <w:numPr>
          <w:ilvl w:val="0"/>
          <w:numId w:val="4"/>
        </w:numPr>
        <w:spacing w:before="120" w:after="120"/>
        <w:ind w:left="992" w:hanging="357"/>
        <w:contextualSpacing w:val="0"/>
        <w:jc w:val="both"/>
        <w:rPr>
          <w:rFonts w:asciiTheme="minorHAnsi" w:hAnsiTheme="minorHAnsi" w:cstheme="minorHAnsi"/>
          <w:sz w:val="24"/>
          <w:szCs w:val="24"/>
        </w:rPr>
      </w:pPr>
      <w:r w:rsidRPr="00252D7B">
        <w:rPr>
          <w:rFonts w:asciiTheme="minorHAnsi" w:hAnsiTheme="minorHAnsi" w:cstheme="minorHAnsi"/>
          <w:sz w:val="24"/>
          <w:szCs w:val="24"/>
        </w:rPr>
        <w:t xml:space="preserve">Orientar </w:t>
      </w:r>
      <w:r w:rsidR="00A41DBB" w:rsidRPr="00252D7B">
        <w:rPr>
          <w:rFonts w:asciiTheme="minorHAnsi" w:hAnsiTheme="minorHAnsi" w:cstheme="minorHAnsi"/>
          <w:sz w:val="24"/>
          <w:szCs w:val="24"/>
        </w:rPr>
        <w:t xml:space="preserve">a gestão da capacitação e do desenvolvimento de competências no âmbito da </w:t>
      </w:r>
      <w:r w:rsidR="00E86113">
        <w:rPr>
          <w:rFonts w:asciiTheme="minorHAnsi" w:hAnsiTheme="minorHAnsi" w:cstheme="minorHAnsi"/>
          <w:sz w:val="24"/>
          <w:szCs w:val="24"/>
        </w:rPr>
        <w:t>Valec</w:t>
      </w:r>
      <w:r w:rsidR="00A41DBB" w:rsidRPr="00252D7B">
        <w:rPr>
          <w:rFonts w:asciiTheme="minorHAnsi" w:hAnsiTheme="minorHAnsi" w:cstheme="minorHAnsi"/>
          <w:sz w:val="24"/>
          <w:szCs w:val="24"/>
        </w:rPr>
        <w:t xml:space="preserve">; e </w:t>
      </w:r>
    </w:p>
    <w:p w14:paraId="5D18F507" w14:textId="4345A1FE" w:rsidR="00A41DBB" w:rsidRPr="00252D7B" w:rsidRDefault="007462BB" w:rsidP="00781433">
      <w:pPr>
        <w:pStyle w:val="PargrafodaLista"/>
        <w:numPr>
          <w:ilvl w:val="0"/>
          <w:numId w:val="4"/>
        </w:numPr>
        <w:spacing w:before="120" w:after="120"/>
        <w:ind w:left="992" w:hanging="357"/>
        <w:contextualSpacing w:val="0"/>
        <w:jc w:val="both"/>
        <w:rPr>
          <w:rFonts w:asciiTheme="minorHAnsi" w:hAnsiTheme="minorHAnsi" w:cstheme="minorHAnsi"/>
          <w:sz w:val="24"/>
          <w:szCs w:val="24"/>
        </w:rPr>
      </w:pPr>
      <w:r w:rsidRPr="00252D7B">
        <w:rPr>
          <w:rFonts w:asciiTheme="minorHAnsi" w:hAnsiTheme="minorHAnsi" w:cstheme="minorHAnsi"/>
          <w:sz w:val="24"/>
          <w:szCs w:val="24"/>
        </w:rPr>
        <w:t xml:space="preserve">Fundamentar </w:t>
      </w:r>
      <w:r w:rsidR="00A41DBB" w:rsidRPr="00252D7B">
        <w:rPr>
          <w:rFonts w:asciiTheme="minorHAnsi" w:hAnsiTheme="minorHAnsi" w:cstheme="minorHAnsi"/>
          <w:sz w:val="24"/>
          <w:szCs w:val="24"/>
        </w:rPr>
        <w:t>o planejamento e a execução do Plano Anual Educacional – PEA/</w:t>
      </w:r>
      <w:r w:rsidR="00610C91" w:rsidRPr="00252D7B">
        <w:rPr>
          <w:rFonts w:asciiTheme="minorHAnsi" w:hAnsiTheme="minorHAnsi" w:cstheme="minorHAnsi"/>
          <w:sz w:val="24"/>
          <w:szCs w:val="24"/>
        </w:rPr>
        <w:t>Valec</w:t>
      </w:r>
      <w:r w:rsidR="00A41DBB" w:rsidRPr="00252D7B">
        <w:rPr>
          <w:rFonts w:asciiTheme="minorHAnsi" w:hAnsiTheme="minorHAnsi" w:cstheme="minorHAnsi"/>
          <w:sz w:val="24"/>
          <w:szCs w:val="24"/>
        </w:rPr>
        <w:t>.</w:t>
      </w:r>
    </w:p>
    <w:p w14:paraId="0E910E0F" w14:textId="66417945" w:rsidR="002A303F" w:rsidRPr="00252D7B" w:rsidRDefault="00781433" w:rsidP="00A41DBB">
      <w:pPr>
        <w:pStyle w:val="Recuodecorpodetexto"/>
        <w:spacing w:before="120"/>
        <w:ind w:left="0"/>
        <w:jc w:val="both"/>
        <w:rPr>
          <w:rFonts w:asciiTheme="minorHAnsi" w:hAnsiTheme="minorHAnsi" w:cstheme="minorHAnsi"/>
        </w:rPr>
      </w:pPr>
      <w:r w:rsidRPr="00252D7B">
        <w:rPr>
          <w:rFonts w:asciiTheme="minorHAnsi" w:hAnsiTheme="minorHAnsi" w:cstheme="minorHAnsi"/>
        </w:rPr>
        <w:t xml:space="preserve">O </w:t>
      </w:r>
      <w:r w:rsidR="00A41DBB" w:rsidRPr="00252D7B">
        <w:rPr>
          <w:rFonts w:asciiTheme="minorHAnsi" w:hAnsiTheme="minorHAnsi" w:cstheme="minorHAnsi"/>
          <w:b/>
          <w:bCs/>
        </w:rPr>
        <w:t>PEA/</w:t>
      </w:r>
      <w:r w:rsidR="00610C91" w:rsidRPr="00252D7B">
        <w:rPr>
          <w:rFonts w:asciiTheme="minorHAnsi" w:hAnsiTheme="minorHAnsi" w:cstheme="minorHAnsi"/>
          <w:b/>
          <w:bCs/>
        </w:rPr>
        <w:t>Valec</w:t>
      </w:r>
      <w:r w:rsidR="00A41DBB" w:rsidRPr="00252D7B">
        <w:rPr>
          <w:rFonts w:asciiTheme="minorHAnsi" w:hAnsiTheme="minorHAnsi" w:cstheme="minorHAnsi"/>
          <w:b/>
          <w:bCs/>
        </w:rPr>
        <w:t>/2021</w:t>
      </w:r>
      <w:r w:rsidR="00A41DBB" w:rsidRPr="00252D7B">
        <w:rPr>
          <w:rFonts w:asciiTheme="minorHAnsi" w:hAnsiTheme="minorHAnsi" w:cstheme="minorHAnsi"/>
        </w:rPr>
        <w:t xml:space="preserve"> foi construído com base nas demandas apresentadas pelas unidades organizacionais da empresa a partir dos respectivos Levantamento das Necessidades de Treinamento – LNT e dos resultados da Avaliação de Desempenho. Isso oportunizou identificar lacunas de competências e foi possível a consolidação de Programas Temáticos balizados no </w:t>
      </w:r>
      <w:r w:rsidR="00A41DBB" w:rsidRPr="00252D7B">
        <w:rPr>
          <w:rFonts w:asciiTheme="minorHAnsi" w:hAnsiTheme="minorHAnsi" w:cstheme="minorHAnsi"/>
          <w:b/>
          <w:bCs/>
        </w:rPr>
        <w:t>Dicionário de Competências</w:t>
      </w:r>
      <w:r w:rsidR="00A41DBB" w:rsidRPr="00252D7B">
        <w:rPr>
          <w:rFonts w:asciiTheme="minorHAnsi" w:hAnsiTheme="minorHAnsi" w:cstheme="minorHAnsi"/>
        </w:rPr>
        <w:t>.</w:t>
      </w:r>
    </w:p>
    <w:p w14:paraId="217CFA57" w14:textId="7CBA3505" w:rsidR="00A41DBB" w:rsidRPr="00252D7B" w:rsidRDefault="00A41DBB" w:rsidP="00A41DBB">
      <w:pPr>
        <w:pStyle w:val="Recuodecorpodetexto"/>
        <w:spacing w:before="120"/>
        <w:ind w:left="0"/>
        <w:jc w:val="both"/>
        <w:rPr>
          <w:rFonts w:asciiTheme="minorHAnsi" w:hAnsiTheme="minorHAnsi" w:cstheme="minorHAnsi"/>
        </w:rPr>
      </w:pPr>
      <w:r w:rsidRPr="00252D7B">
        <w:rPr>
          <w:rFonts w:asciiTheme="minorHAnsi" w:hAnsiTheme="minorHAnsi" w:cstheme="minorHAnsi"/>
        </w:rPr>
        <w:t>Essas ações buscaram integrar as diferentes formas de oferta da capacitação, síncronas e assíncronas, por meio de contratações ou parcerias com agentes e entidades públicas. Utilizou-se também a divulgação do catálogo de cursos EaD disponíveis pelas Escolas Virtuais de Aprendizagem públicas e privadas, oferta de Bolsas de Estudos para os cursos de graduação, pós-graduação e cursos de idiomas.</w:t>
      </w:r>
    </w:p>
    <w:p w14:paraId="529CAB8E" w14:textId="3AE8329E" w:rsidR="00A41DBB" w:rsidRPr="00252D7B" w:rsidRDefault="00A41DBB" w:rsidP="00A41DBB">
      <w:pPr>
        <w:pStyle w:val="NormalWeb"/>
        <w:shd w:val="clear" w:color="auto" w:fill="FFFFFF"/>
        <w:spacing w:before="120" w:beforeAutospacing="0" w:after="120" w:afterAutospacing="0"/>
        <w:jc w:val="both"/>
        <w:rPr>
          <w:rFonts w:asciiTheme="minorHAnsi" w:hAnsiTheme="minorHAnsi" w:cstheme="minorHAnsi"/>
          <w:color w:val="242424"/>
        </w:rPr>
      </w:pPr>
      <w:r w:rsidRPr="00252D7B">
        <w:rPr>
          <w:rFonts w:asciiTheme="minorHAnsi" w:hAnsiTheme="minorHAnsi" w:cstheme="minorHAnsi"/>
        </w:rPr>
        <w:t>Em 2021, foram capacitados 192 empregados em eventos</w:t>
      </w:r>
      <w:r w:rsidRPr="00252D7B">
        <w:rPr>
          <w:rFonts w:asciiTheme="minorHAnsi" w:hAnsiTheme="minorHAnsi" w:cstheme="minorHAnsi"/>
          <w:color w:val="242424"/>
        </w:rPr>
        <w:t xml:space="preserve"> realizados pela </w:t>
      </w:r>
      <w:r w:rsidRPr="00252D7B">
        <w:rPr>
          <w:rStyle w:val="Forte"/>
          <w:rFonts w:asciiTheme="minorHAnsi" w:hAnsiTheme="minorHAnsi" w:cstheme="minorHAnsi"/>
          <w:color w:val="242424"/>
        </w:rPr>
        <w:t>empresa</w:t>
      </w:r>
      <w:r w:rsidRPr="00252D7B">
        <w:rPr>
          <w:rStyle w:val="Forte"/>
          <w:rFonts w:asciiTheme="minorHAnsi" w:hAnsiTheme="minorHAnsi" w:cstheme="minorHAnsi"/>
        </w:rPr>
        <w:t>, o que representa 51% dos 374 efetivos na sede,</w:t>
      </w:r>
      <w:r w:rsidRPr="00252D7B">
        <w:rPr>
          <w:rFonts w:asciiTheme="minorHAnsi" w:hAnsiTheme="minorHAnsi" w:cstheme="minorHAnsi"/>
        </w:rPr>
        <w:t xml:space="preserve"> </w:t>
      </w:r>
      <w:r w:rsidRPr="00252D7B">
        <w:rPr>
          <w:rStyle w:val="Forte"/>
          <w:rFonts w:asciiTheme="minorHAnsi" w:hAnsiTheme="minorHAnsi" w:cstheme="minorHAnsi"/>
        </w:rPr>
        <w:t xml:space="preserve">subtraindo-se os cedidos. </w:t>
      </w:r>
      <w:r w:rsidRPr="00252D7B">
        <w:rPr>
          <w:rFonts w:asciiTheme="minorHAnsi" w:hAnsiTheme="minorHAnsi" w:cstheme="minorHAnsi"/>
          <w:color w:val="242424"/>
        </w:rPr>
        <w:t>Ao todo, foram </w:t>
      </w:r>
      <w:r w:rsidRPr="00252D7B">
        <w:rPr>
          <w:rStyle w:val="Forte"/>
          <w:rFonts w:asciiTheme="minorHAnsi" w:hAnsiTheme="minorHAnsi" w:cstheme="minorHAnsi"/>
          <w:color w:val="242424"/>
        </w:rPr>
        <w:t>32</w:t>
      </w:r>
      <w:r w:rsidRPr="00252D7B">
        <w:rPr>
          <w:rFonts w:asciiTheme="minorHAnsi" w:hAnsiTheme="minorHAnsi" w:cstheme="minorHAnsi"/>
          <w:color w:val="242424"/>
        </w:rPr>
        <w:t xml:space="preserve"> eventos de capacitação, totalizando 210 horas. Já por autodesenvolvimento, foram </w:t>
      </w:r>
      <w:r w:rsidRPr="00252D7B">
        <w:rPr>
          <w:rFonts w:asciiTheme="minorHAnsi" w:hAnsiTheme="minorHAnsi" w:cstheme="minorHAnsi"/>
          <w:color w:val="242424"/>
          <w:shd w:val="clear" w:color="auto" w:fill="FFFFFF"/>
        </w:rPr>
        <w:t>62 colaboradores capacitados em 146 tipos diferentes de eventos de capacitação.</w:t>
      </w:r>
      <w:r w:rsidRPr="00252D7B">
        <w:rPr>
          <w:rFonts w:asciiTheme="minorHAnsi" w:hAnsiTheme="minorHAnsi" w:cstheme="minorHAnsi"/>
          <w:color w:val="242424"/>
        </w:rPr>
        <w:t xml:space="preserve"> O</w:t>
      </w:r>
      <w:r w:rsidR="00F541DF" w:rsidRPr="00252D7B">
        <w:rPr>
          <w:rFonts w:asciiTheme="minorHAnsi" w:hAnsiTheme="minorHAnsi" w:cstheme="minorHAnsi"/>
          <w:color w:val="242424"/>
        </w:rPr>
        <w:t xml:space="preserve"> </w:t>
      </w:r>
      <w:r w:rsidR="003C37D9" w:rsidRPr="00252D7B">
        <w:rPr>
          <w:rFonts w:asciiTheme="minorHAnsi" w:hAnsiTheme="minorHAnsi" w:cstheme="minorHAnsi"/>
          <w:color w:val="242424"/>
        </w:rPr>
        <w:fldChar w:fldCharType="begin"/>
      </w:r>
      <w:r w:rsidR="003C37D9" w:rsidRPr="00252D7B">
        <w:rPr>
          <w:rFonts w:asciiTheme="minorHAnsi" w:hAnsiTheme="minorHAnsi" w:cstheme="minorHAnsi"/>
          <w:color w:val="242424"/>
        </w:rPr>
        <w:instrText xml:space="preserve"> REF _Ref97569504 \h  \* MERGEFORMAT </w:instrText>
      </w:r>
      <w:r w:rsidR="003C37D9" w:rsidRPr="00252D7B">
        <w:rPr>
          <w:rFonts w:asciiTheme="minorHAnsi" w:hAnsiTheme="minorHAnsi" w:cstheme="minorHAnsi"/>
          <w:color w:val="242424"/>
        </w:rPr>
      </w:r>
      <w:r w:rsidR="003C37D9" w:rsidRPr="00252D7B">
        <w:rPr>
          <w:rFonts w:asciiTheme="minorHAnsi" w:hAnsiTheme="minorHAnsi" w:cstheme="minorHAnsi"/>
          <w:color w:val="242424"/>
        </w:rPr>
        <w:fldChar w:fldCharType="separate"/>
      </w:r>
      <w:r w:rsidR="00C12888" w:rsidRPr="00C12888">
        <w:rPr>
          <w:rFonts w:asciiTheme="minorHAnsi" w:hAnsiTheme="minorHAnsi" w:cstheme="minorHAnsi"/>
          <w:color w:val="242424"/>
        </w:rPr>
        <w:t>Gráfico 14</w:t>
      </w:r>
      <w:r w:rsidR="003C37D9" w:rsidRPr="00252D7B">
        <w:rPr>
          <w:rFonts w:asciiTheme="minorHAnsi" w:hAnsiTheme="minorHAnsi" w:cstheme="minorHAnsi"/>
          <w:color w:val="242424"/>
        </w:rPr>
        <w:fldChar w:fldCharType="end"/>
      </w:r>
      <w:r w:rsidR="003C37D9" w:rsidRPr="00252D7B">
        <w:rPr>
          <w:rFonts w:asciiTheme="minorHAnsi" w:hAnsiTheme="minorHAnsi" w:cstheme="minorHAnsi"/>
          <w:color w:val="242424"/>
        </w:rPr>
        <w:t xml:space="preserve"> </w:t>
      </w:r>
      <w:r w:rsidRPr="00252D7B">
        <w:rPr>
          <w:rFonts w:asciiTheme="minorHAnsi" w:hAnsiTheme="minorHAnsi" w:cstheme="minorHAnsi"/>
          <w:color w:val="242424"/>
        </w:rPr>
        <w:t>demonstra de forma mais detalhada os números de 2021.</w:t>
      </w:r>
    </w:p>
    <w:p w14:paraId="29001CEA" w14:textId="77777777" w:rsidR="003C37D9" w:rsidRPr="00252D7B" w:rsidRDefault="003C37D9">
      <w:pPr>
        <w:widowControl/>
        <w:autoSpaceDE/>
        <w:autoSpaceDN/>
        <w:spacing w:after="160" w:line="259" w:lineRule="auto"/>
        <w:rPr>
          <w:rFonts w:asciiTheme="minorHAnsi" w:hAnsiTheme="minorHAnsi" w:cstheme="minorHAnsi"/>
          <w:i/>
          <w:iCs/>
          <w:color w:val="1F497D"/>
          <w:sz w:val="18"/>
          <w:szCs w:val="18"/>
        </w:rPr>
      </w:pPr>
      <w:r w:rsidRPr="00252D7B">
        <w:rPr>
          <w:rFonts w:asciiTheme="minorHAnsi" w:hAnsiTheme="minorHAnsi" w:cstheme="minorHAnsi"/>
        </w:rPr>
        <w:br w:type="page"/>
      </w:r>
    </w:p>
    <w:p w14:paraId="5F6E3928" w14:textId="60DE6142" w:rsidR="00A41DBB" w:rsidRPr="00252D7B" w:rsidRDefault="003C37D9" w:rsidP="003C37D9">
      <w:pPr>
        <w:pStyle w:val="Legenda"/>
        <w:jc w:val="center"/>
        <w:rPr>
          <w:rFonts w:asciiTheme="minorHAnsi" w:hAnsiTheme="minorHAnsi" w:cstheme="minorHAnsi"/>
        </w:rPr>
      </w:pPr>
      <w:bookmarkStart w:id="324" w:name="_Ref97569504"/>
      <w:bookmarkStart w:id="325" w:name="_Ref97569502"/>
      <w:bookmarkStart w:id="326" w:name="_Toc103680779"/>
      <w:r w:rsidRPr="00252D7B">
        <w:rPr>
          <w:rFonts w:asciiTheme="minorHAnsi" w:hAnsiTheme="minorHAnsi" w:cstheme="minorHAnsi"/>
        </w:rPr>
        <w:lastRenderedPageBreak/>
        <w:t xml:space="preserve">Gráfico </w:t>
      </w:r>
      <w:r w:rsidR="004C792D" w:rsidRPr="00252D7B">
        <w:rPr>
          <w:rFonts w:asciiTheme="minorHAnsi" w:hAnsiTheme="minorHAnsi" w:cstheme="minorHAnsi"/>
        </w:rPr>
        <w:fldChar w:fldCharType="begin"/>
      </w:r>
      <w:r w:rsidR="004C792D" w:rsidRPr="00252D7B">
        <w:rPr>
          <w:rFonts w:asciiTheme="minorHAnsi" w:hAnsiTheme="minorHAnsi" w:cstheme="minorHAnsi"/>
        </w:rPr>
        <w:instrText xml:space="preserve"> SEQ Gráfico \* ARABIC </w:instrText>
      </w:r>
      <w:r w:rsidR="004C792D" w:rsidRPr="00252D7B">
        <w:rPr>
          <w:rFonts w:asciiTheme="minorHAnsi" w:hAnsiTheme="minorHAnsi" w:cstheme="minorHAnsi"/>
        </w:rPr>
        <w:fldChar w:fldCharType="separate"/>
      </w:r>
      <w:r w:rsidR="00C12888">
        <w:rPr>
          <w:rFonts w:asciiTheme="minorHAnsi" w:hAnsiTheme="minorHAnsi" w:cstheme="minorHAnsi"/>
          <w:noProof/>
        </w:rPr>
        <w:t>14</w:t>
      </w:r>
      <w:r w:rsidR="004C792D" w:rsidRPr="00252D7B">
        <w:rPr>
          <w:rFonts w:asciiTheme="minorHAnsi" w:hAnsiTheme="minorHAnsi" w:cstheme="minorHAnsi"/>
          <w:noProof/>
        </w:rPr>
        <w:fldChar w:fldCharType="end"/>
      </w:r>
      <w:bookmarkEnd w:id="324"/>
      <w:r w:rsidR="00A41DBB" w:rsidRPr="00252D7B">
        <w:rPr>
          <w:rFonts w:asciiTheme="minorHAnsi" w:hAnsiTheme="minorHAnsi" w:cstheme="minorHAnsi"/>
          <w:sz w:val="20"/>
          <w:szCs w:val="20"/>
        </w:rPr>
        <w:t xml:space="preserve"> – Percentual de capacitados por diretoria em 2021</w:t>
      </w:r>
      <w:bookmarkEnd w:id="325"/>
      <w:bookmarkEnd w:id="326"/>
    </w:p>
    <w:p w14:paraId="229393D1" w14:textId="164C23E2" w:rsidR="00A41DBB" w:rsidRPr="00252D7B" w:rsidRDefault="008F6768" w:rsidP="00A41DBB">
      <w:pPr>
        <w:spacing w:before="120" w:after="120"/>
        <w:rPr>
          <w:rFonts w:asciiTheme="minorHAnsi" w:hAnsiTheme="minorHAnsi" w:cstheme="minorHAnsi"/>
        </w:rPr>
      </w:pPr>
      <w:r w:rsidRPr="00252D7B">
        <w:rPr>
          <w:rFonts w:asciiTheme="minorHAnsi" w:hAnsiTheme="minorHAnsi" w:cstheme="minorHAnsi"/>
          <w:noProof/>
        </w:rPr>
        <w:drawing>
          <wp:inline distT="0" distB="0" distL="0" distR="0" wp14:anchorId="380CA35E" wp14:editId="647BB08F">
            <wp:extent cx="6200140" cy="2088490"/>
            <wp:effectExtent l="0" t="0" r="0" b="7620"/>
            <wp:docPr id="1130521984" name="Imagem 113052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7">
                      <a:extLst>
                        <a:ext uri="{28A0092B-C50C-407E-A947-70E740481C1C}">
                          <a14:useLocalDpi xmlns:a14="http://schemas.microsoft.com/office/drawing/2010/main" val="0"/>
                        </a:ext>
                      </a:extLst>
                    </a:blip>
                    <a:srcRect t="14572"/>
                    <a:stretch/>
                  </pic:blipFill>
                  <pic:spPr bwMode="auto">
                    <a:xfrm>
                      <a:off x="0" y="0"/>
                      <a:ext cx="6200140" cy="2088490"/>
                    </a:xfrm>
                    <a:prstGeom prst="rect">
                      <a:avLst/>
                    </a:prstGeom>
                    <a:noFill/>
                    <a:ln>
                      <a:noFill/>
                    </a:ln>
                    <a:extLst>
                      <a:ext uri="{53640926-AAD7-44D8-BBD7-CCE9431645EC}">
                        <a14:shadowObscured xmlns:a14="http://schemas.microsoft.com/office/drawing/2010/main"/>
                      </a:ext>
                    </a:extLst>
                  </pic:spPr>
                </pic:pic>
              </a:graphicData>
            </a:graphic>
          </wp:inline>
        </w:drawing>
      </w:r>
    </w:p>
    <w:p w14:paraId="02095399" w14:textId="77777777" w:rsidR="001B1137" w:rsidRPr="00252D7B" w:rsidRDefault="001B1137" w:rsidP="00893F5A">
      <w:pPr>
        <w:rPr>
          <w:rFonts w:asciiTheme="minorHAnsi" w:hAnsiTheme="minorHAnsi" w:cstheme="minorHAnsi"/>
        </w:rPr>
      </w:pPr>
    </w:p>
    <w:p w14:paraId="0777AF72" w14:textId="5BB87D2C" w:rsidR="00F46686" w:rsidRPr="00252D7B" w:rsidRDefault="00A41DBB" w:rsidP="00A41DBB">
      <w:pPr>
        <w:pStyle w:val="Recuodecorpodetexto"/>
        <w:spacing w:before="120"/>
        <w:ind w:left="0"/>
        <w:jc w:val="both"/>
        <w:rPr>
          <w:rFonts w:asciiTheme="minorHAnsi" w:hAnsiTheme="minorHAnsi" w:cstheme="minorHAnsi"/>
        </w:rPr>
      </w:pPr>
      <w:r w:rsidRPr="00252D7B">
        <w:rPr>
          <w:rFonts w:asciiTheme="minorHAnsi" w:hAnsiTheme="minorHAnsi" w:cstheme="minorHAnsi"/>
          <w:b/>
          <w:bCs/>
        </w:rPr>
        <w:t>Instituição e regulamentação do Teletrabalho</w:t>
      </w:r>
      <w:r w:rsidRPr="00252D7B">
        <w:rPr>
          <w:rFonts w:asciiTheme="minorHAnsi" w:hAnsiTheme="minorHAnsi" w:cstheme="minorHAnsi"/>
        </w:rPr>
        <w:t xml:space="preserve"> por meio da Resolução </w:t>
      </w:r>
      <w:r w:rsidR="00610C91" w:rsidRPr="00252D7B">
        <w:rPr>
          <w:rFonts w:asciiTheme="minorHAnsi" w:hAnsiTheme="minorHAnsi" w:cstheme="minorHAnsi"/>
        </w:rPr>
        <w:t>Valec</w:t>
      </w:r>
      <w:r w:rsidRPr="00252D7B">
        <w:rPr>
          <w:rFonts w:asciiTheme="minorHAnsi" w:hAnsiTheme="minorHAnsi" w:cstheme="minorHAnsi"/>
        </w:rPr>
        <w:t xml:space="preserve"> Nº 3/2021/DIREX-</w:t>
      </w:r>
      <w:r w:rsidR="00610C91" w:rsidRPr="00252D7B">
        <w:rPr>
          <w:rFonts w:asciiTheme="minorHAnsi" w:hAnsiTheme="minorHAnsi" w:cstheme="minorHAnsi"/>
        </w:rPr>
        <w:t>Valec</w:t>
      </w:r>
      <w:r w:rsidRPr="00252D7B">
        <w:rPr>
          <w:rFonts w:asciiTheme="minorHAnsi" w:hAnsiTheme="minorHAnsi" w:cstheme="minorHAnsi"/>
        </w:rPr>
        <w:t>/PRESI-</w:t>
      </w:r>
      <w:r w:rsidR="00610C91" w:rsidRPr="00252D7B">
        <w:rPr>
          <w:rFonts w:asciiTheme="minorHAnsi" w:hAnsiTheme="minorHAnsi" w:cstheme="minorHAnsi"/>
        </w:rPr>
        <w:t>Valec</w:t>
      </w:r>
      <w:r w:rsidRPr="00252D7B">
        <w:rPr>
          <w:rFonts w:asciiTheme="minorHAnsi" w:hAnsiTheme="minorHAnsi" w:cstheme="minorHAnsi"/>
        </w:rPr>
        <w:t xml:space="preserve"> cujos principais objetivos são:</w:t>
      </w:r>
    </w:p>
    <w:p w14:paraId="4AA50B9A" w14:textId="750E8DB5" w:rsidR="00F46686" w:rsidRPr="00252D7B" w:rsidRDefault="00670F67" w:rsidP="008F6768">
      <w:pPr>
        <w:pStyle w:val="PargrafodaLista"/>
        <w:numPr>
          <w:ilvl w:val="0"/>
          <w:numId w:val="4"/>
        </w:numPr>
        <w:spacing w:before="120" w:after="120"/>
        <w:ind w:left="992" w:hanging="357"/>
        <w:contextualSpacing w:val="0"/>
        <w:jc w:val="both"/>
        <w:rPr>
          <w:rFonts w:asciiTheme="minorHAnsi" w:hAnsiTheme="minorHAnsi" w:cstheme="minorHAnsi"/>
          <w:sz w:val="24"/>
          <w:szCs w:val="24"/>
        </w:rPr>
      </w:pPr>
      <w:r w:rsidRPr="00252D7B">
        <w:rPr>
          <w:rFonts w:asciiTheme="minorHAnsi" w:hAnsiTheme="minorHAnsi" w:cstheme="minorHAnsi"/>
          <w:sz w:val="24"/>
          <w:szCs w:val="24"/>
        </w:rPr>
        <w:t xml:space="preserve">Aumentar </w:t>
      </w:r>
      <w:r w:rsidR="00A41DBB" w:rsidRPr="00252D7B">
        <w:rPr>
          <w:rFonts w:asciiTheme="minorHAnsi" w:hAnsiTheme="minorHAnsi" w:cstheme="minorHAnsi"/>
          <w:sz w:val="24"/>
          <w:szCs w:val="24"/>
        </w:rPr>
        <w:t>a produtividade, a qualidade do trabalho dos empregados</w:t>
      </w:r>
      <w:r w:rsidR="00F46686" w:rsidRPr="00252D7B">
        <w:rPr>
          <w:rFonts w:asciiTheme="minorHAnsi" w:hAnsiTheme="minorHAnsi" w:cstheme="minorHAnsi"/>
          <w:sz w:val="24"/>
          <w:szCs w:val="24"/>
        </w:rPr>
        <w:t>;</w:t>
      </w:r>
    </w:p>
    <w:p w14:paraId="32D63807" w14:textId="707AAD15" w:rsidR="00B4624A" w:rsidRPr="00252D7B" w:rsidRDefault="00670F67" w:rsidP="008F6768">
      <w:pPr>
        <w:pStyle w:val="PargrafodaLista"/>
        <w:numPr>
          <w:ilvl w:val="0"/>
          <w:numId w:val="4"/>
        </w:numPr>
        <w:spacing w:before="120" w:after="120"/>
        <w:ind w:left="992" w:hanging="357"/>
        <w:contextualSpacing w:val="0"/>
        <w:jc w:val="both"/>
        <w:rPr>
          <w:rFonts w:asciiTheme="minorHAnsi" w:hAnsiTheme="minorHAnsi" w:cstheme="minorHAnsi"/>
          <w:sz w:val="24"/>
          <w:szCs w:val="24"/>
        </w:rPr>
      </w:pPr>
      <w:r w:rsidRPr="00252D7B">
        <w:rPr>
          <w:rFonts w:asciiTheme="minorHAnsi" w:hAnsiTheme="minorHAnsi" w:cstheme="minorHAnsi"/>
          <w:sz w:val="24"/>
          <w:szCs w:val="24"/>
        </w:rPr>
        <w:t xml:space="preserve">Promover </w:t>
      </w:r>
      <w:r w:rsidR="00A41DBB" w:rsidRPr="00252D7B">
        <w:rPr>
          <w:rFonts w:asciiTheme="minorHAnsi" w:hAnsiTheme="minorHAnsi" w:cstheme="minorHAnsi"/>
          <w:sz w:val="24"/>
          <w:szCs w:val="24"/>
        </w:rPr>
        <w:t>mecanismos para atrair empregados</w:t>
      </w:r>
      <w:r w:rsidR="00B4624A" w:rsidRPr="00252D7B">
        <w:rPr>
          <w:rFonts w:asciiTheme="minorHAnsi" w:hAnsiTheme="minorHAnsi" w:cstheme="minorHAnsi"/>
          <w:sz w:val="24"/>
          <w:szCs w:val="24"/>
        </w:rPr>
        <w:t>;</w:t>
      </w:r>
      <w:r w:rsidR="00A53EFA" w:rsidRPr="00252D7B">
        <w:rPr>
          <w:rFonts w:asciiTheme="minorHAnsi" w:hAnsiTheme="minorHAnsi" w:cstheme="minorHAnsi"/>
          <w:sz w:val="24"/>
          <w:szCs w:val="24"/>
        </w:rPr>
        <w:t xml:space="preserve"> e</w:t>
      </w:r>
    </w:p>
    <w:p w14:paraId="129A7C11" w14:textId="13A65E13" w:rsidR="00A41DBB" w:rsidRPr="00252D7B" w:rsidRDefault="00670F67" w:rsidP="008F6768">
      <w:pPr>
        <w:pStyle w:val="PargrafodaLista"/>
        <w:numPr>
          <w:ilvl w:val="0"/>
          <w:numId w:val="4"/>
        </w:numPr>
        <w:spacing w:before="120" w:after="120"/>
        <w:ind w:left="992" w:hanging="357"/>
        <w:contextualSpacing w:val="0"/>
        <w:jc w:val="both"/>
        <w:rPr>
          <w:rFonts w:asciiTheme="minorHAnsi" w:hAnsiTheme="minorHAnsi" w:cstheme="minorHAnsi"/>
          <w:sz w:val="24"/>
          <w:szCs w:val="24"/>
        </w:rPr>
      </w:pPr>
      <w:r w:rsidRPr="00252D7B">
        <w:rPr>
          <w:rFonts w:asciiTheme="minorHAnsi" w:hAnsiTheme="minorHAnsi" w:cstheme="minorHAnsi"/>
          <w:sz w:val="24"/>
          <w:szCs w:val="24"/>
        </w:rPr>
        <w:t>Motivá-</w:t>
      </w:r>
      <w:r w:rsidR="00A41DBB" w:rsidRPr="00252D7B">
        <w:rPr>
          <w:rFonts w:asciiTheme="minorHAnsi" w:hAnsiTheme="minorHAnsi" w:cstheme="minorHAnsi"/>
          <w:sz w:val="24"/>
          <w:szCs w:val="24"/>
        </w:rPr>
        <w:t>los e comprometê-los com os objetivos da instituição, tendo por requisitos a estipulação de metas de desempenho (diárias, semanais e/ou mensais) no âmbito da unidade alinhadas aos objetivos estratégico da Empresa, e a elaboração de plano de trabalho individualizado (PTI).</w:t>
      </w:r>
    </w:p>
    <w:p w14:paraId="4B96420F" w14:textId="77777777" w:rsidR="00A41DBB" w:rsidRPr="00252D7B" w:rsidRDefault="00A41DBB" w:rsidP="00A41DBB">
      <w:pPr>
        <w:pStyle w:val="Recuodecorpodetexto"/>
        <w:spacing w:before="120"/>
        <w:ind w:left="0"/>
        <w:jc w:val="both"/>
        <w:rPr>
          <w:rFonts w:asciiTheme="minorHAnsi" w:hAnsiTheme="minorHAnsi" w:cstheme="minorHAnsi"/>
        </w:rPr>
      </w:pPr>
      <w:r w:rsidRPr="00252D7B">
        <w:rPr>
          <w:rFonts w:asciiTheme="minorHAnsi" w:hAnsiTheme="minorHAnsi" w:cstheme="minorHAnsi"/>
          <w:b/>
        </w:rPr>
        <w:t>Implementação da ferramenta Plano de Trabalho Individual (PTI):</w:t>
      </w:r>
      <w:r w:rsidRPr="00252D7B">
        <w:rPr>
          <w:rFonts w:asciiTheme="minorHAnsi" w:hAnsiTheme="minorHAnsi" w:cstheme="minorHAnsi"/>
        </w:rPr>
        <w:t xml:space="preserve"> construído no Sistema Integrado de Gestão Administrativa – SIGA, tem oportunizado aos empregados, a partir do alinhamento com os seus respectivos gestores, planejarem e pactuarem as suas metas e entregas (serviços ou produtos), registrando-as mensalmente, e nessa dinâmica lhes é possível avaliar resultados e discutir questões atinentes ao desempenho individual, coletivo e institucional, numa visão alinhada à estratégia organizacional.</w:t>
      </w:r>
    </w:p>
    <w:p w14:paraId="5E7127E4" w14:textId="53D16C86" w:rsidR="00A41DBB" w:rsidRPr="00252D7B" w:rsidRDefault="00A41DBB" w:rsidP="00A41DBB">
      <w:pPr>
        <w:pStyle w:val="Corpodetexto2"/>
        <w:spacing w:before="120" w:after="120"/>
        <w:rPr>
          <w:rFonts w:asciiTheme="minorHAnsi" w:hAnsiTheme="minorHAnsi" w:cstheme="minorHAnsi"/>
          <w:sz w:val="24"/>
        </w:rPr>
      </w:pPr>
      <w:r w:rsidRPr="00252D7B">
        <w:rPr>
          <w:rFonts w:asciiTheme="minorHAnsi" w:hAnsiTheme="minorHAnsi" w:cstheme="minorHAnsi"/>
          <w:sz w:val="24"/>
        </w:rPr>
        <w:t xml:space="preserve">O </w:t>
      </w:r>
      <w:r w:rsidRPr="00252D7B">
        <w:rPr>
          <w:rFonts w:asciiTheme="minorHAnsi" w:hAnsiTheme="minorHAnsi" w:cstheme="minorHAnsi"/>
          <w:b/>
          <w:bCs/>
          <w:sz w:val="24"/>
        </w:rPr>
        <w:t>SIGA</w:t>
      </w:r>
      <w:r w:rsidRPr="00252D7B">
        <w:rPr>
          <w:rFonts w:asciiTheme="minorHAnsi" w:hAnsiTheme="minorHAnsi" w:cstheme="minorHAnsi"/>
          <w:sz w:val="24"/>
        </w:rPr>
        <w:t xml:space="preserve">, por meio do PTI, está sendo planejado e desenvolvido para gerar subsídios para avaliação de Desempenho com foco em competência, lacuna de competência e avaliação de resultados. Além disso, oportunizará reflexões relacionadas a melhoria da gestão dos processos de trabalho no âmbito das unidades organizacionais da </w:t>
      </w:r>
      <w:r w:rsidR="00610C91" w:rsidRPr="00252D7B">
        <w:rPr>
          <w:rFonts w:asciiTheme="minorHAnsi" w:hAnsiTheme="minorHAnsi" w:cstheme="minorHAnsi"/>
          <w:sz w:val="24"/>
        </w:rPr>
        <w:t>Valec</w:t>
      </w:r>
      <w:r w:rsidRPr="00252D7B">
        <w:rPr>
          <w:rFonts w:asciiTheme="minorHAnsi" w:hAnsiTheme="minorHAnsi" w:cstheme="minorHAnsi"/>
          <w:sz w:val="24"/>
        </w:rPr>
        <w:t>.</w:t>
      </w:r>
    </w:p>
    <w:p w14:paraId="347BA0EB" w14:textId="5B4FAE12" w:rsidR="006D2B61" w:rsidRPr="00252D7B" w:rsidRDefault="00A41DBB" w:rsidP="00A41DBB">
      <w:pPr>
        <w:spacing w:before="120" w:after="120"/>
        <w:jc w:val="both"/>
        <w:rPr>
          <w:rFonts w:asciiTheme="minorHAnsi" w:hAnsiTheme="minorHAnsi" w:cstheme="minorHAnsi"/>
          <w:sz w:val="24"/>
          <w:szCs w:val="24"/>
        </w:rPr>
      </w:pPr>
      <w:r w:rsidRPr="00252D7B">
        <w:rPr>
          <w:rFonts w:asciiTheme="minorHAnsi" w:hAnsiTheme="minorHAnsi" w:cstheme="minorHAnsi"/>
          <w:b/>
          <w:bCs/>
          <w:sz w:val="24"/>
          <w:szCs w:val="24"/>
        </w:rPr>
        <w:t xml:space="preserve">Instituição da Política de Qualidade de Vida no Trabalho (PQVT) </w:t>
      </w:r>
      <w:r w:rsidRPr="00252D7B">
        <w:rPr>
          <w:rFonts w:asciiTheme="minorHAnsi" w:hAnsiTheme="minorHAnsi" w:cstheme="minorHAnsi"/>
          <w:sz w:val="24"/>
          <w:szCs w:val="24"/>
        </w:rPr>
        <w:t xml:space="preserve">com vistas a orientar a gestão e adoção de medidas de intervenção no ambiente e na organização do trabalho com o intuito de valorizar o empregado, </w:t>
      </w:r>
      <w:r w:rsidR="006D2B61" w:rsidRPr="00252D7B">
        <w:rPr>
          <w:rFonts w:asciiTheme="minorHAnsi" w:hAnsiTheme="minorHAnsi" w:cstheme="minorHAnsi"/>
          <w:sz w:val="24"/>
          <w:szCs w:val="24"/>
        </w:rPr>
        <w:t>sendo</w:t>
      </w:r>
      <w:r w:rsidRPr="00252D7B">
        <w:rPr>
          <w:rFonts w:asciiTheme="minorHAnsi" w:hAnsiTheme="minorHAnsi" w:cstheme="minorHAnsi"/>
          <w:sz w:val="24"/>
          <w:szCs w:val="24"/>
        </w:rPr>
        <w:t xml:space="preserve"> definidos os respectivos programas, projetos e ações de QVT no âmbito da </w:t>
      </w:r>
      <w:r w:rsidR="00610C91" w:rsidRPr="00252D7B">
        <w:rPr>
          <w:rFonts w:asciiTheme="minorHAnsi" w:hAnsiTheme="minorHAnsi" w:cstheme="minorHAnsi"/>
          <w:sz w:val="24"/>
          <w:szCs w:val="24"/>
        </w:rPr>
        <w:t>Valec</w:t>
      </w:r>
      <w:r w:rsidRPr="00252D7B">
        <w:rPr>
          <w:rFonts w:asciiTheme="minorHAnsi" w:hAnsiTheme="minorHAnsi" w:cstheme="minorHAnsi"/>
          <w:sz w:val="24"/>
          <w:szCs w:val="24"/>
        </w:rPr>
        <w:t>. Durante o ano foram realizadas 15 (quinze) ações de desenvolvimento que abordaram temas para a construção de espaços laborais éticos e saudáveis:</w:t>
      </w:r>
    </w:p>
    <w:p w14:paraId="68AFC16B" w14:textId="76054C7C" w:rsidR="00670F67" w:rsidRPr="00252D7B" w:rsidRDefault="00670F67" w:rsidP="008F6768">
      <w:pPr>
        <w:pStyle w:val="PargrafodaLista"/>
        <w:numPr>
          <w:ilvl w:val="0"/>
          <w:numId w:val="4"/>
        </w:numPr>
        <w:spacing w:before="120" w:after="120"/>
        <w:ind w:left="992" w:hanging="357"/>
        <w:contextualSpacing w:val="0"/>
        <w:jc w:val="both"/>
        <w:rPr>
          <w:rFonts w:asciiTheme="minorHAnsi" w:hAnsiTheme="minorHAnsi" w:cstheme="minorHAnsi"/>
          <w:sz w:val="24"/>
          <w:szCs w:val="24"/>
        </w:rPr>
      </w:pPr>
      <w:r w:rsidRPr="00252D7B">
        <w:rPr>
          <w:rFonts w:asciiTheme="minorHAnsi" w:hAnsiTheme="minorHAnsi" w:cstheme="minorHAnsi"/>
          <w:sz w:val="24"/>
          <w:szCs w:val="24"/>
        </w:rPr>
        <w:t xml:space="preserve">Por </w:t>
      </w:r>
      <w:r w:rsidR="00A41DBB" w:rsidRPr="00252D7B">
        <w:rPr>
          <w:rFonts w:asciiTheme="minorHAnsi" w:hAnsiTheme="minorHAnsi" w:cstheme="minorHAnsi"/>
          <w:sz w:val="24"/>
          <w:szCs w:val="24"/>
        </w:rPr>
        <w:t>uma comunicação harmônica com foco na saúde mental e no bem-estar no trabalho</w:t>
      </w:r>
      <w:r w:rsidRPr="00252D7B">
        <w:rPr>
          <w:rFonts w:asciiTheme="minorHAnsi" w:hAnsiTheme="minorHAnsi" w:cstheme="minorHAnsi"/>
          <w:sz w:val="24"/>
          <w:szCs w:val="24"/>
        </w:rPr>
        <w:t>;</w:t>
      </w:r>
    </w:p>
    <w:p w14:paraId="757DABBB" w14:textId="6D345318" w:rsidR="00670F67" w:rsidRPr="00252D7B" w:rsidRDefault="00670F67" w:rsidP="008F6768">
      <w:pPr>
        <w:pStyle w:val="PargrafodaLista"/>
        <w:numPr>
          <w:ilvl w:val="0"/>
          <w:numId w:val="4"/>
        </w:numPr>
        <w:spacing w:before="120" w:after="120"/>
        <w:ind w:left="992" w:hanging="357"/>
        <w:contextualSpacing w:val="0"/>
        <w:jc w:val="both"/>
        <w:rPr>
          <w:rFonts w:asciiTheme="minorHAnsi" w:hAnsiTheme="minorHAnsi" w:cstheme="minorHAnsi"/>
          <w:sz w:val="24"/>
          <w:szCs w:val="24"/>
        </w:rPr>
      </w:pPr>
      <w:r w:rsidRPr="00252D7B">
        <w:rPr>
          <w:rFonts w:asciiTheme="minorHAnsi" w:hAnsiTheme="minorHAnsi" w:cstheme="minorHAnsi"/>
          <w:sz w:val="24"/>
          <w:szCs w:val="24"/>
        </w:rPr>
        <w:t xml:space="preserve">Estratégias </w:t>
      </w:r>
      <w:r w:rsidR="00A41DBB" w:rsidRPr="00252D7B">
        <w:rPr>
          <w:rFonts w:asciiTheme="minorHAnsi" w:hAnsiTheme="minorHAnsi" w:cstheme="minorHAnsi"/>
          <w:sz w:val="24"/>
          <w:szCs w:val="24"/>
        </w:rPr>
        <w:t>de autocuidado</w:t>
      </w:r>
      <w:r w:rsidRPr="00252D7B">
        <w:rPr>
          <w:rFonts w:asciiTheme="minorHAnsi" w:hAnsiTheme="minorHAnsi" w:cstheme="minorHAnsi"/>
          <w:sz w:val="24"/>
          <w:szCs w:val="24"/>
        </w:rPr>
        <w:t>;</w:t>
      </w:r>
    </w:p>
    <w:p w14:paraId="002C92C5" w14:textId="32743A72" w:rsidR="00670F67" w:rsidRPr="00252D7B" w:rsidRDefault="00670F67" w:rsidP="008F6768">
      <w:pPr>
        <w:pStyle w:val="PargrafodaLista"/>
        <w:numPr>
          <w:ilvl w:val="0"/>
          <w:numId w:val="4"/>
        </w:numPr>
        <w:spacing w:before="120" w:after="120"/>
        <w:ind w:left="992" w:hanging="357"/>
        <w:contextualSpacing w:val="0"/>
        <w:jc w:val="both"/>
        <w:rPr>
          <w:rFonts w:asciiTheme="minorHAnsi" w:hAnsiTheme="minorHAnsi" w:cstheme="minorHAnsi"/>
          <w:sz w:val="24"/>
          <w:szCs w:val="24"/>
        </w:rPr>
      </w:pPr>
      <w:r w:rsidRPr="00252D7B">
        <w:rPr>
          <w:rFonts w:asciiTheme="minorHAnsi" w:hAnsiTheme="minorHAnsi" w:cstheme="minorHAnsi"/>
          <w:sz w:val="24"/>
          <w:szCs w:val="24"/>
        </w:rPr>
        <w:t xml:space="preserve">Capacitação </w:t>
      </w:r>
      <w:r w:rsidR="00A41DBB" w:rsidRPr="00252D7B">
        <w:rPr>
          <w:rFonts w:asciiTheme="minorHAnsi" w:hAnsiTheme="minorHAnsi" w:cstheme="minorHAnsi"/>
          <w:sz w:val="24"/>
          <w:szCs w:val="24"/>
        </w:rPr>
        <w:t>de gestores e líderes abordando temáticas voltadas para a gestão de equipes em tempos de pandemia</w:t>
      </w:r>
      <w:r w:rsidRPr="00252D7B">
        <w:rPr>
          <w:rFonts w:asciiTheme="minorHAnsi" w:hAnsiTheme="minorHAnsi" w:cstheme="minorHAnsi"/>
          <w:sz w:val="24"/>
          <w:szCs w:val="24"/>
        </w:rPr>
        <w:t>;</w:t>
      </w:r>
    </w:p>
    <w:p w14:paraId="7AAFB87B" w14:textId="17F712A0" w:rsidR="00670F67" w:rsidRPr="00252D7B" w:rsidRDefault="00670F67" w:rsidP="008F6768">
      <w:pPr>
        <w:pStyle w:val="PargrafodaLista"/>
        <w:numPr>
          <w:ilvl w:val="0"/>
          <w:numId w:val="4"/>
        </w:numPr>
        <w:spacing w:before="120" w:after="120"/>
        <w:ind w:left="992" w:hanging="357"/>
        <w:contextualSpacing w:val="0"/>
        <w:jc w:val="both"/>
        <w:rPr>
          <w:rFonts w:asciiTheme="minorHAnsi" w:hAnsiTheme="minorHAnsi" w:cstheme="minorHAnsi"/>
          <w:sz w:val="24"/>
          <w:szCs w:val="24"/>
        </w:rPr>
      </w:pPr>
      <w:r w:rsidRPr="00252D7B">
        <w:rPr>
          <w:rFonts w:asciiTheme="minorHAnsi" w:hAnsiTheme="minorHAnsi" w:cstheme="minorHAnsi"/>
          <w:sz w:val="24"/>
          <w:szCs w:val="24"/>
        </w:rPr>
        <w:t xml:space="preserve">Gestão </w:t>
      </w:r>
      <w:r w:rsidR="00A41DBB" w:rsidRPr="00252D7B">
        <w:rPr>
          <w:rFonts w:asciiTheme="minorHAnsi" w:hAnsiTheme="minorHAnsi" w:cstheme="minorHAnsi"/>
          <w:sz w:val="24"/>
          <w:szCs w:val="24"/>
        </w:rPr>
        <w:t>do teletrabalho</w:t>
      </w:r>
      <w:r w:rsidRPr="00252D7B">
        <w:rPr>
          <w:rFonts w:asciiTheme="minorHAnsi" w:hAnsiTheme="minorHAnsi" w:cstheme="minorHAnsi"/>
          <w:sz w:val="24"/>
          <w:szCs w:val="24"/>
        </w:rPr>
        <w:t xml:space="preserve">; </w:t>
      </w:r>
      <w:r w:rsidR="00A41DBB" w:rsidRPr="00252D7B">
        <w:rPr>
          <w:rFonts w:asciiTheme="minorHAnsi" w:hAnsiTheme="minorHAnsi" w:cstheme="minorHAnsi"/>
          <w:sz w:val="24"/>
          <w:szCs w:val="24"/>
        </w:rPr>
        <w:t>e</w:t>
      </w:r>
    </w:p>
    <w:p w14:paraId="36144BFE" w14:textId="742AAB06" w:rsidR="00A41DBB" w:rsidRDefault="00670F67" w:rsidP="008F6768">
      <w:pPr>
        <w:pStyle w:val="PargrafodaLista"/>
        <w:numPr>
          <w:ilvl w:val="0"/>
          <w:numId w:val="4"/>
        </w:numPr>
        <w:spacing w:before="120" w:after="120"/>
        <w:ind w:left="992" w:hanging="357"/>
        <w:contextualSpacing w:val="0"/>
        <w:jc w:val="both"/>
        <w:rPr>
          <w:rFonts w:asciiTheme="minorHAnsi" w:hAnsiTheme="minorHAnsi" w:cstheme="minorHAnsi"/>
          <w:sz w:val="24"/>
          <w:szCs w:val="24"/>
        </w:rPr>
      </w:pPr>
      <w:r w:rsidRPr="00252D7B">
        <w:rPr>
          <w:rFonts w:asciiTheme="minorHAnsi" w:hAnsiTheme="minorHAnsi" w:cstheme="minorHAnsi"/>
          <w:sz w:val="24"/>
          <w:szCs w:val="24"/>
        </w:rPr>
        <w:lastRenderedPageBreak/>
        <w:t xml:space="preserve">Gestão </w:t>
      </w:r>
      <w:r w:rsidR="00A41DBB" w:rsidRPr="00252D7B">
        <w:rPr>
          <w:rFonts w:asciiTheme="minorHAnsi" w:hAnsiTheme="minorHAnsi" w:cstheme="minorHAnsi"/>
          <w:sz w:val="24"/>
          <w:szCs w:val="24"/>
        </w:rPr>
        <w:t>estratégica de pessoas.</w:t>
      </w:r>
    </w:p>
    <w:p w14:paraId="23EFF01B" w14:textId="77777777" w:rsidR="00AE0B7A" w:rsidRPr="00252D7B" w:rsidRDefault="00AE0B7A" w:rsidP="00AE0B7A">
      <w:pPr>
        <w:pStyle w:val="PargrafodaLista"/>
        <w:spacing w:before="120" w:after="120"/>
        <w:ind w:left="992"/>
        <w:contextualSpacing w:val="0"/>
        <w:jc w:val="both"/>
        <w:rPr>
          <w:rFonts w:asciiTheme="minorHAnsi" w:hAnsiTheme="minorHAnsi" w:cstheme="minorHAnsi"/>
          <w:sz w:val="24"/>
          <w:szCs w:val="24"/>
        </w:rPr>
      </w:pPr>
    </w:p>
    <w:p w14:paraId="6E6C93CE" w14:textId="77777777" w:rsidR="00A41DBB" w:rsidRPr="00252D7B" w:rsidRDefault="00A41DBB" w:rsidP="00A41DBB">
      <w:pPr>
        <w:pStyle w:val="Ttulo3"/>
        <w:spacing w:before="120" w:after="120"/>
        <w:rPr>
          <w:rFonts w:asciiTheme="minorHAnsi" w:hAnsiTheme="minorHAnsi" w:cstheme="minorHAnsi"/>
        </w:rPr>
      </w:pPr>
      <w:bookmarkStart w:id="327" w:name="_Toc95906799"/>
      <w:bookmarkStart w:id="328" w:name="_Toc97215843"/>
      <w:bookmarkStart w:id="329" w:name="_Toc103680568"/>
      <w:bookmarkEnd w:id="322"/>
      <w:bookmarkEnd w:id="323"/>
      <w:r w:rsidRPr="00252D7B">
        <w:rPr>
          <w:rFonts w:asciiTheme="minorHAnsi" w:hAnsiTheme="minorHAnsi" w:cstheme="minorHAnsi"/>
        </w:rPr>
        <w:t>Principais metas não alcançadas, principais desafios, ações e perspectivas para os próximos exercícios.</w:t>
      </w:r>
      <w:bookmarkEnd w:id="327"/>
      <w:bookmarkEnd w:id="328"/>
      <w:bookmarkEnd w:id="329"/>
    </w:p>
    <w:p w14:paraId="566F2E96" w14:textId="4F6BF984" w:rsidR="00A41DBB" w:rsidRPr="00252D7B" w:rsidRDefault="00A41DBB" w:rsidP="00A41DBB">
      <w:pPr>
        <w:spacing w:before="120" w:after="120"/>
        <w:jc w:val="both"/>
        <w:rPr>
          <w:rFonts w:asciiTheme="minorHAnsi" w:hAnsiTheme="minorHAnsi" w:cstheme="minorHAnsi"/>
          <w:sz w:val="24"/>
          <w:szCs w:val="24"/>
        </w:rPr>
      </w:pPr>
      <w:bookmarkStart w:id="330" w:name="_Toc64571543"/>
      <w:bookmarkStart w:id="331" w:name="_Toc94012536"/>
      <w:bookmarkStart w:id="332" w:name="_Toc95830272"/>
      <w:r w:rsidRPr="00252D7B">
        <w:rPr>
          <w:rFonts w:asciiTheme="minorHAnsi" w:eastAsia="Times New Roman" w:hAnsiTheme="minorHAnsi" w:cstheme="minorHAnsi"/>
          <w:b/>
          <w:sz w:val="24"/>
          <w:szCs w:val="24"/>
        </w:rPr>
        <w:t>Norma de Avaliação de Desempenho e Promoção e Progressão dos Empregados</w:t>
      </w:r>
      <w:r w:rsidRPr="00252D7B">
        <w:rPr>
          <w:rFonts w:asciiTheme="minorHAnsi" w:eastAsia="Times New Roman" w:hAnsiTheme="minorHAnsi" w:cstheme="minorHAnsi"/>
          <w:sz w:val="24"/>
          <w:szCs w:val="24"/>
        </w:rPr>
        <w:t xml:space="preserve"> - A SUGEP identificou a atual necessidade de aprimoramento e modernização do processo de avaliação na empresa, a fim de promover uma avaliação mais satisfatória tanto aos empregados, quanto aos avaliadores, considerando que a avaliação de desempenho e a promoção/progressão são ferramentas importantes na gestão de pessoas. Dessa forma, a estabeleceu-se como uma ação, a ser concluída ainda em 2022, a atualização da No</w:t>
      </w:r>
      <w:r w:rsidR="005F30AB">
        <w:rPr>
          <w:rFonts w:asciiTheme="minorHAnsi" w:eastAsia="Times New Roman" w:hAnsiTheme="minorHAnsi" w:cstheme="minorHAnsi"/>
          <w:sz w:val="24"/>
          <w:szCs w:val="24"/>
        </w:rPr>
        <w:t>r</w:t>
      </w:r>
      <w:r w:rsidRPr="00252D7B">
        <w:rPr>
          <w:rFonts w:asciiTheme="minorHAnsi" w:eastAsia="Times New Roman" w:hAnsiTheme="minorHAnsi" w:cstheme="minorHAnsi"/>
          <w:sz w:val="24"/>
          <w:szCs w:val="24"/>
        </w:rPr>
        <w:t xml:space="preserve">ma de Avaliação de Desempenho e Promoção e Progressão dos Empregados.  </w:t>
      </w:r>
    </w:p>
    <w:p w14:paraId="025B07F0" w14:textId="77777777" w:rsidR="00A41DBB" w:rsidRPr="00252D7B" w:rsidRDefault="00A41DBB" w:rsidP="00A41DBB">
      <w:pPr>
        <w:spacing w:before="120" w:after="120"/>
        <w:jc w:val="both"/>
        <w:rPr>
          <w:rFonts w:asciiTheme="minorHAnsi" w:hAnsiTheme="minorHAnsi" w:cstheme="minorHAnsi"/>
          <w:sz w:val="24"/>
          <w:szCs w:val="24"/>
        </w:rPr>
      </w:pPr>
      <w:r w:rsidRPr="00252D7B">
        <w:rPr>
          <w:rFonts w:asciiTheme="minorHAnsi" w:eastAsia="Times New Roman" w:hAnsiTheme="minorHAnsi" w:cstheme="minorHAnsi"/>
          <w:b/>
          <w:sz w:val="24"/>
          <w:szCs w:val="24"/>
        </w:rPr>
        <w:t>Norma de Benefícios</w:t>
      </w:r>
      <w:r w:rsidRPr="00252D7B">
        <w:rPr>
          <w:rFonts w:asciiTheme="minorHAnsi" w:eastAsia="Times New Roman" w:hAnsiTheme="minorHAnsi" w:cstheme="minorHAnsi"/>
          <w:sz w:val="24"/>
          <w:szCs w:val="24"/>
        </w:rPr>
        <w:t xml:space="preserve"> – Constatou-se a ausência de um normativo que regulamente os procedimentos e critérios a serem adotados na concessão dos benefícios aos empregados. Desse modo, foi estabelecida a meta de elaborar tal regulamento ainda no exercício de 2022. </w:t>
      </w:r>
    </w:p>
    <w:p w14:paraId="794C34B0" w14:textId="77777777" w:rsidR="00A41DBB" w:rsidRPr="00252D7B" w:rsidRDefault="00A41DBB" w:rsidP="00A41DBB">
      <w:pPr>
        <w:spacing w:before="120" w:after="120"/>
        <w:jc w:val="both"/>
        <w:rPr>
          <w:rFonts w:asciiTheme="minorHAnsi" w:hAnsiTheme="minorHAnsi" w:cstheme="minorHAnsi"/>
          <w:sz w:val="24"/>
          <w:szCs w:val="24"/>
        </w:rPr>
      </w:pPr>
      <w:r w:rsidRPr="00252D7B">
        <w:rPr>
          <w:rFonts w:asciiTheme="minorHAnsi" w:eastAsia="Times New Roman" w:hAnsiTheme="minorHAnsi" w:cstheme="minorHAnsi"/>
          <w:b/>
          <w:sz w:val="24"/>
          <w:szCs w:val="24"/>
        </w:rPr>
        <w:t>Norma de Auxílio Transporte</w:t>
      </w:r>
      <w:r w:rsidRPr="00252D7B">
        <w:rPr>
          <w:rFonts w:asciiTheme="minorHAnsi" w:eastAsia="Times New Roman" w:hAnsiTheme="minorHAnsi" w:cstheme="minorHAnsi"/>
          <w:sz w:val="24"/>
          <w:szCs w:val="24"/>
        </w:rPr>
        <w:t xml:space="preserve"> – Em razão da especificidade e da atual demanda de auxílio transporte na Empresa, observou-se a necessidade de que seja estabelecido procedimentos periódicos para assegurar a concessão regular de tal benefício. Diante disso, tem-se como perspectiva a elaboração do normativo em comento no ano de 2022. </w:t>
      </w:r>
    </w:p>
    <w:p w14:paraId="7B8E2E1C" w14:textId="0E203DBB" w:rsidR="00A41DBB" w:rsidRPr="00252D7B" w:rsidRDefault="00A41DBB" w:rsidP="00A41DBB">
      <w:pPr>
        <w:spacing w:before="120" w:after="120"/>
        <w:jc w:val="both"/>
        <w:rPr>
          <w:rFonts w:asciiTheme="minorHAnsi" w:hAnsiTheme="minorHAnsi" w:cstheme="minorHAnsi"/>
          <w:sz w:val="24"/>
          <w:szCs w:val="24"/>
        </w:rPr>
      </w:pPr>
      <w:r w:rsidRPr="00252D7B">
        <w:rPr>
          <w:rFonts w:asciiTheme="minorHAnsi" w:eastAsia="Times New Roman" w:hAnsiTheme="minorHAnsi" w:cstheme="minorHAnsi"/>
          <w:b/>
          <w:sz w:val="24"/>
          <w:szCs w:val="24"/>
        </w:rPr>
        <w:t>Redimensionamento</w:t>
      </w:r>
      <w:r w:rsidRPr="00252D7B">
        <w:rPr>
          <w:rFonts w:asciiTheme="minorHAnsi" w:eastAsia="Times New Roman" w:hAnsiTheme="minorHAnsi" w:cstheme="minorHAnsi"/>
          <w:sz w:val="24"/>
          <w:szCs w:val="24"/>
        </w:rPr>
        <w:t xml:space="preserve"> – Estudos realizados acerca do dimensionamento da força de trabalho da </w:t>
      </w:r>
      <w:r w:rsidR="00610C91" w:rsidRPr="00252D7B">
        <w:rPr>
          <w:rFonts w:asciiTheme="minorHAnsi" w:eastAsia="Times New Roman" w:hAnsiTheme="minorHAnsi" w:cstheme="minorHAnsi"/>
          <w:sz w:val="24"/>
          <w:szCs w:val="24"/>
        </w:rPr>
        <w:t>Valec</w:t>
      </w:r>
      <w:r w:rsidRPr="00252D7B">
        <w:rPr>
          <w:rFonts w:asciiTheme="minorHAnsi" w:eastAsia="Times New Roman" w:hAnsiTheme="minorHAnsi" w:cstheme="minorHAnsi"/>
          <w:sz w:val="24"/>
          <w:szCs w:val="24"/>
        </w:rPr>
        <w:t xml:space="preserve"> resultou no diagnóstico de que alguns cargos não são mais aderentes às atividades executadas em nenhuma unidade da Empresa no presente contexto, exigindo a realização de um redimensionamento do quadro de pessoal, a fim de adequá-lo à realidade da Empresa e, como entidade integrante da Administração Pública, agir em conformidade com os princípios legais.  Destarte, tem-se como mais uma meta a ser alcançada em 2022, o redimensionamento da força de trabalho da </w:t>
      </w:r>
      <w:r w:rsidR="00610C91" w:rsidRPr="00252D7B">
        <w:rPr>
          <w:rFonts w:asciiTheme="minorHAnsi" w:hAnsiTheme="minorHAnsi" w:cstheme="minorHAnsi"/>
          <w:sz w:val="24"/>
          <w:szCs w:val="24"/>
        </w:rPr>
        <w:t>Valec</w:t>
      </w:r>
      <w:r w:rsidRPr="00252D7B">
        <w:rPr>
          <w:rFonts w:asciiTheme="minorHAnsi" w:hAnsiTheme="minorHAnsi" w:cstheme="minorHAnsi"/>
          <w:sz w:val="24"/>
          <w:szCs w:val="24"/>
        </w:rPr>
        <w:t>.</w:t>
      </w:r>
    </w:p>
    <w:p w14:paraId="188BE7C7" w14:textId="7D2922E6" w:rsidR="00A41DBB" w:rsidRPr="00252D7B" w:rsidRDefault="00A41DBB" w:rsidP="00A41DBB">
      <w:pPr>
        <w:spacing w:before="120" w:after="120"/>
        <w:rPr>
          <w:rFonts w:asciiTheme="minorHAnsi" w:hAnsiTheme="minorHAnsi" w:cstheme="minorHAnsi"/>
          <w:sz w:val="24"/>
          <w:szCs w:val="24"/>
        </w:rPr>
      </w:pPr>
    </w:p>
    <w:p w14:paraId="2E2CC46C" w14:textId="05C31E0E" w:rsidR="00CF6DA7" w:rsidRPr="00252D7B" w:rsidRDefault="00CF6DA7">
      <w:pPr>
        <w:widowControl/>
        <w:autoSpaceDE/>
        <w:autoSpaceDN/>
        <w:spacing w:after="160" w:line="259" w:lineRule="auto"/>
        <w:rPr>
          <w:rFonts w:asciiTheme="minorHAnsi" w:hAnsiTheme="minorHAnsi" w:cstheme="minorHAnsi"/>
          <w:sz w:val="24"/>
          <w:szCs w:val="24"/>
        </w:rPr>
      </w:pPr>
      <w:r w:rsidRPr="00252D7B">
        <w:rPr>
          <w:rFonts w:asciiTheme="minorHAnsi" w:hAnsiTheme="minorHAnsi" w:cstheme="minorHAnsi"/>
          <w:sz w:val="24"/>
          <w:szCs w:val="24"/>
        </w:rPr>
        <w:br w:type="page"/>
      </w:r>
    </w:p>
    <w:p w14:paraId="33AC70FF" w14:textId="77777777" w:rsidR="00A41DBB" w:rsidRPr="00252D7B" w:rsidRDefault="00A41DBB" w:rsidP="00F100A9">
      <w:pPr>
        <w:pStyle w:val="Ttulo2"/>
      </w:pPr>
      <w:bookmarkStart w:id="333" w:name="_Toc95906800"/>
      <w:bookmarkStart w:id="334" w:name="_Toc97215844"/>
      <w:bookmarkStart w:id="335" w:name="_Toc103680569"/>
      <w:r w:rsidRPr="00252D7B">
        <w:lastRenderedPageBreak/>
        <w:t>Gestão de licitações e contratos</w:t>
      </w:r>
      <w:bookmarkEnd w:id="330"/>
      <w:bookmarkEnd w:id="331"/>
      <w:bookmarkEnd w:id="332"/>
      <w:bookmarkEnd w:id="333"/>
      <w:bookmarkEnd w:id="334"/>
      <w:bookmarkEnd w:id="335"/>
    </w:p>
    <w:p w14:paraId="7977ADBE" w14:textId="1E1F1E76" w:rsidR="00A41DBB" w:rsidRPr="00252D7B" w:rsidRDefault="00A41DBB" w:rsidP="00A41DBB">
      <w:pPr>
        <w:spacing w:before="120" w:after="120"/>
        <w:jc w:val="both"/>
        <w:rPr>
          <w:rFonts w:asciiTheme="minorHAnsi" w:hAnsiTheme="minorHAnsi" w:cstheme="minorHAnsi"/>
          <w:sz w:val="24"/>
          <w:szCs w:val="24"/>
        </w:rPr>
      </w:pPr>
      <w:bookmarkStart w:id="336" w:name="_Toc94012538"/>
      <w:bookmarkStart w:id="337" w:name="_Toc95830273"/>
      <w:r w:rsidRPr="00252D7B">
        <w:rPr>
          <w:rFonts w:asciiTheme="minorHAnsi" w:hAnsiTheme="minorHAnsi" w:cstheme="minorHAnsi"/>
          <w:sz w:val="24"/>
          <w:szCs w:val="24"/>
        </w:rPr>
        <w:t xml:space="preserve">Após subconcessão da FIOL 1 a favor da </w:t>
      </w:r>
      <w:r w:rsidR="0030527B">
        <w:rPr>
          <w:rFonts w:asciiTheme="minorHAnsi" w:hAnsiTheme="minorHAnsi" w:cstheme="minorHAnsi"/>
          <w:sz w:val="24"/>
          <w:szCs w:val="24"/>
        </w:rPr>
        <w:t>Bahia Mineração S.A.</w:t>
      </w:r>
      <w:r w:rsidRPr="00252D7B">
        <w:rPr>
          <w:rFonts w:asciiTheme="minorHAnsi" w:hAnsiTheme="minorHAnsi" w:cstheme="minorHAnsi"/>
          <w:sz w:val="24"/>
          <w:szCs w:val="24"/>
        </w:rPr>
        <w:t xml:space="preserve"> e assinatura do 3º Termo Aditivo ao Contrato de Concessão Original da Estrada de Ferro Vitória à Minas entre União e a Companhia Vale do Rio Doce S.A., as atividades da Valec passaram a se concentrar no término das obras da FIOL e ao atendimento de suas obrigações quanto à futura implantação da FICO. </w:t>
      </w:r>
    </w:p>
    <w:p w14:paraId="7F513A52" w14:textId="77777777" w:rsidR="00A41DBB" w:rsidRPr="00252D7B" w:rsidRDefault="00A41DBB" w:rsidP="00A41DBB">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Desse modo, as contratações realizadas no exercício de 2021 tiveram por finalidade o desenvolvimento desses dois empreendimentos, além do atendimento das atividades acessórias necessárias para a sua consecução.</w:t>
      </w:r>
    </w:p>
    <w:p w14:paraId="5218D3AC" w14:textId="20B9A45C" w:rsidR="00CF6DA7" w:rsidRDefault="00CF6DA7" w:rsidP="00301826">
      <w:pPr>
        <w:spacing w:before="120"/>
        <w:rPr>
          <w:rFonts w:asciiTheme="minorHAnsi" w:hAnsiTheme="minorHAnsi" w:cstheme="minorHAnsi"/>
          <w:sz w:val="24"/>
          <w:szCs w:val="24"/>
        </w:rPr>
      </w:pPr>
    </w:p>
    <w:p w14:paraId="0CE31A1E" w14:textId="77777777" w:rsidR="005C4137" w:rsidRPr="00252D7B" w:rsidRDefault="005C4137" w:rsidP="00301826">
      <w:pPr>
        <w:spacing w:before="120"/>
        <w:rPr>
          <w:rFonts w:asciiTheme="minorHAnsi" w:hAnsiTheme="minorHAnsi" w:cstheme="minorHAnsi"/>
          <w:sz w:val="24"/>
          <w:szCs w:val="24"/>
        </w:rPr>
      </w:pPr>
    </w:p>
    <w:p w14:paraId="67EAFB5D" w14:textId="77777777" w:rsidR="00A41DBB" w:rsidRPr="00252D7B" w:rsidRDefault="00A41DBB" w:rsidP="00A41DBB">
      <w:pPr>
        <w:pStyle w:val="Ttulo3"/>
        <w:spacing w:before="120" w:after="120"/>
        <w:rPr>
          <w:rFonts w:asciiTheme="minorHAnsi" w:hAnsiTheme="minorHAnsi" w:cstheme="minorHAnsi"/>
        </w:rPr>
      </w:pPr>
      <w:bookmarkStart w:id="338" w:name="_Toc95906801"/>
      <w:bookmarkStart w:id="339" w:name="_Toc97215845"/>
      <w:bookmarkStart w:id="340" w:name="_Toc103680570"/>
      <w:bookmarkEnd w:id="336"/>
      <w:bookmarkEnd w:id="337"/>
      <w:r w:rsidRPr="00252D7B">
        <w:rPr>
          <w:rFonts w:asciiTheme="minorHAnsi" w:hAnsiTheme="minorHAnsi" w:cstheme="minorHAnsi"/>
        </w:rPr>
        <w:t>Conformidade legal: principais normas internas e mecanismos de controle e prevenção de irregularidades ou falhas utilizados</w:t>
      </w:r>
      <w:bookmarkEnd w:id="338"/>
      <w:bookmarkEnd w:id="339"/>
      <w:bookmarkEnd w:id="340"/>
    </w:p>
    <w:p w14:paraId="3CBA15EC" w14:textId="58F8D1AF" w:rsidR="00A41DBB" w:rsidRPr="00252D7B" w:rsidRDefault="00A41DBB" w:rsidP="00A41DBB">
      <w:pPr>
        <w:spacing w:before="120" w:after="120"/>
        <w:jc w:val="both"/>
        <w:rPr>
          <w:rFonts w:asciiTheme="minorHAnsi" w:hAnsiTheme="minorHAnsi" w:cstheme="minorHAnsi"/>
          <w:sz w:val="24"/>
          <w:szCs w:val="24"/>
        </w:rPr>
      </w:pPr>
      <w:bookmarkStart w:id="341" w:name="_Toc94012539"/>
      <w:bookmarkStart w:id="342" w:name="_Toc95830274"/>
      <w:r w:rsidRPr="00252D7B">
        <w:rPr>
          <w:rFonts w:asciiTheme="minorHAnsi" w:hAnsiTheme="minorHAnsi" w:cstheme="minorHAnsi"/>
          <w:sz w:val="24"/>
          <w:szCs w:val="24"/>
        </w:rPr>
        <w:t xml:space="preserve">Os principais normativos internos utilizados são a RESOLUÇÃO </w:t>
      </w:r>
      <w:r w:rsidR="00610C91" w:rsidRPr="00252D7B">
        <w:rPr>
          <w:rFonts w:asciiTheme="minorHAnsi" w:hAnsiTheme="minorHAnsi" w:cstheme="minorHAnsi"/>
          <w:sz w:val="24"/>
          <w:szCs w:val="24"/>
        </w:rPr>
        <w:t>Valec</w:t>
      </w:r>
      <w:r w:rsidRPr="00252D7B">
        <w:rPr>
          <w:rFonts w:asciiTheme="minorHAnsi" w:hAnsiTheme="minorHAnsi" w:cstheme="minorHAnsi"/>
          <w:sz w:val="24"/>
          <w:szCs w:val="24"/>
        </w:rPr>
        <w:t xml:space="preserve"> Nº 2/2021/CONSAD-</w:t>
      </w:r>
      <w:r w:rsidR="00610C91" w:rsidRPr="00252D7B">
        <w:rPr>
          <w:rFonts w:asciiTheme="minorHAnsi" w:hAnsiTheme="minorHAnsi" w:cstheme="minorHAnsi"/>
          <w:sz w:val="24"/>
          <w:szCs w:val="24"/>
        </w:rPr>
        <w:t>Valec</w:t>
      </w:r>
      <w:r w:rsidRPr="00252D7B">
        <w:rPr>
          <w:rFonts w:asciiTheme="minorHAnsi" w:hAnsiTheme="minorHAnsi" w:cstheme="minorHAnsi"/>
          <w:sz w:val="24"/>
          <w:szCs w:val="24"/>
        </w:rPr>
        <w:t xml:space="preserve"> (Regulamento Interno de Licitações e Contratos), a RESOLUÇÃO </w:t>
      </w:r>
      <w:r w:rsidR="00610C91" w:rsidRPr="00252D7B">
        <w:rPr>
          <w:rFonts w:asciiTheme="minorHAnsi" w:hAnsiTheme="minorHAnsi" w:cstheme="minorHAnsi"/>
          <w:sz w:val="24"/>
          <w:szCs w:val="24"/>
        </w:rPr>
        <w:t>Valec</w:t>
      </w:r>
      <w:r w:rsidRPr="00252D7B">
        <w:rPr>
          <w:rFonts w:asciiTheme="minorHAnsi" w:hAnsiTheme="minorHAnsi" w:cstheme="minorHAnsi"/>
          <w:sz w:val="24"/>
          <w:szCs w:val="24"/>
        </w:rPr>
        <w:t xml:space="preserve"> Nº 2/2021/DIREX-</w:t>
      </w:r>
      <w:r w:rsidR="00610C91" w:rsidRPr="00252D7B">
        <w:rPr>
          <w:rFonts w:asciiTheme="minorHAnsi" w:hAnsiTheme="minorHAnsi" w:cstheme="minorHAnsi"/>
          <w:sz w:val="24"/>
          <w:szCs w:val="24"/>
        </w:rPr>
        <w:t>Valec</w:t>
      </w:r>
      <w:r w:rsidRPr="00252D7B">
        <w:rPr>
          <w:rFonts w:asciiTheme="minorHAnsi" w:hAnsiTheme="minorHAnsi" w:cstheme="minorHAnsi"/>
          <w:sz w:val="24"/>
          <w:szCs w:val="24"/>
        </w:rPr>
        <w:t>/PRESI-</w:t>
      </w:r>
      <w:r w:rsidR="00610C91" w:rsidRPr="00252D7B">
        <w:rPr>
          <w:rFonts w:asciiTheme="minorHAnsi" w:hAnsiTheme="minorHAnsi" w:cstheme="minorHAnsi"/>
          <w:sz w:val="24"/>
          <w:szCs w:val="24"/>
        </w:rPr>
        <w:t>Valec</w:t>
      </w:r>
      <w:r w:rsidRPr="00252D7B">
        <w:rPr>
          <w:rFonts w:asciiTheme="minorHAnsi" w:hAnsiTheme="minorHAnsi" w:cstheme="minorHAnsi"/>
          <w:sz w:val="24"/>
          <w:szCs w:val="24"/>
        </w:rPr>
        <w:t xml:space="preserve"> (Norma de Gestão e Fiscalização de Contratos relacionados às atividades meio) e RESOLUÇÃO DIREX Nº 12, DE 01 DE DEZEMBRO DE 2020 (Norma de Gestão e Fiscalização Contratos de Engenharia) e as RESOLUÇÕES DIREX Nº 003, DE 24 DE JUNHO DE 2020 e Nº 005, DE 10 DE AGOSTO DE 2020 (Regramento do sistema de credenciamento como meio de contratação direta).</w:t>
      </w:r>
    </w:p>
    <w:p w14:paraId="1DEC670B" w14:textId="470CC908" w:rsidR="00CF6DA7" w:rsidRDefault="00CF6DA7" w:rsidP="00301826">
      <w:pPr>
        <w:spacing w:before="120"/>
        <w:rPr>
          <w:rFonts w:asciiTheme="minorHAnsi" w:hAnsiTheme="minorHAnsi" w:cstheme="minorHAnsi"/>
          <w:sz w:val="24"/>
          <w:szCs w:val="24"/>
        </w:rPr>
      </w:pPr>
    </w:p>
    <w:p w14:paraId="50891EDB" w14:textId="77777777" w:rsidR="005C4137" w:rsidRPr="00252D7B" w:rsidRDefault="005C4137" w:rsidP="00301826">
      <w:pPr>
        <w:spacing w:before="120"/>
        <w:rPr>
          <w:rFonts w:asciiTheme="minorHAnsi" w:hAnsiTheme="minorHAnsi" w:cstheme="minorHAnsi"/>
          <w:sz w:val="24"/>
          <w:szCs w:val="24"/>
        </w:rPr>
      </w:pPr>
    </w:p>
    <w:p w14:paraId="5D529DBF" w14:textId="77777777" w:rsidR="00A41DBB" w:rsidRPr="00252D7B" w:rsidRDefault="00A41DBB" w:rsidP="00A41DBB">
      <w:pPr>
        <w:pStyle w:val="Ttulo3"/>
        <w:spacing w:before="120" w:after="120"/>
        <w:rPr>
          <w:rFonts w:asciiTheme="minorHAnsi" w:hAnsiTheme="minorHAnsi" w:cstheme="minorHAnsi"/>
        </w:rPr>
      </w:pPr>
      <w:bookmarkStart w:id="343" w:name="_Toc95906802"/>
      <w:bookmarkStart w:id="344" w:name="_Toc97215846"/>
      <w:bookmarkStart w:id="345" w:name="_Toc103680571"/>
      <w:bookmarkEnd w:id="341"/>
      <w:bookmarkEnd w:id="342"/>
      <w:r w:rsidRPr="00252D7B">
        <w:rPr>
          <w:rFonts w:asciiTheme="minorHAnsi" w:hAnsiTheme="minorHAnsi" w:cstheme="minorHAnsi"/>
        </w:rPr>
        <w:t>Resumo dos valores de contratações classificadas por pelos principais tipos de serviço ou bens, bem como com a indicação das áreas da organização favorecidas com a aquisição</w:t>
      </w:r>
      <w:bookmarkEnd w:id="343"/>
      <w:bookmarkEnd w:id="344"/>
      <w:bookmarkEnd w:id="345"/>
    </w:p>
    <w:p w14:paraId="457A9602" w14:textId="3304B356" w:rsidR="00A41DBB" w:rsidRPr="00252D7B" w:rsidRDefault="00A41DBB" w:rsidP="00A41DBB">
      <w:pPr>
        <w:spacing w:before="120" w:after="120"/>
        <w:jc w:val="both"/>
        <w:rPr>
          <w:rFonts w:asciiTheme="minorHAnsi" w:eastAsiaTheme="minorHAnsi" w:hAnsiTheme="minorHAnsi" w:cstheme="minorHAnsi"/>
          <w:sz w:val="24"/>
          <w:szCs w:val="24"/>
          <w:lang w:bidi="ar-SA"/>
        </w:rPr>
      </w:pPr>
      <w:bookmarkStart w:id="346" w:name="_Toc64571546"/>
      <w:bookmarkStart w:id="347" w:name="_Toc94012540"/>
      <w:bookmarkStart w:id="348" w:name="_Toc95830275"/>
      <w:r w:rsidRPr="00252D7B">
        <w:rPr>
          <w:rFonts w:asciiTheme="minorHAnsi" w:eastAsiaTheme="minorHAnsi" w:hAnsiTheme="minorHAnsi" w:cstheme="minorHAnsi"/>
          <w:sz w:val="24"/>
          <w:szCs w:val="24"/>
          <w:lang w:bidi="ar-SA"/>
        </w:rPr>
        <w:t xml:space="preserve">Em 2021 foram formalizados 37 contratos de despesa, tendo um deles sido anulado, e 1 de receita. Além disso, foram efetivados 37 Termos de Credenciamento, dos quais decorreram 25 contratações em 2021. </w:t>
      </w:r>
    </w:p>
    <w:p w14:paraId="18168813" w14:textId="2577C431" w:rsidR="003F0B7E" w:rsidRPr="00252D7B" w:rsidRDefault="003F0B7E" w:rsidP="003F0B7E">
      <w:pPr>
        <w:pStyle w:val="Legenda"/>
        <w:keepNext/>
        <w:jc w:val="center"/>
        <w:rPr>
          <w:rFonts w:asciiTheme="minorHAnsi" w:hAnsiTheme="minorHAnsi" w:cstheme="minorHAnsi"/>
          <w:sz w:val="20"/>
          <w:szCs w:val="20"/>
        </w:rPr>
      </w:pPr>
      <w:bookmarkStart w:id="349" w:name="_Toc103680678"/>
      <w:r w:rsidRPr="00252D7B">
        <w:rPr>
          <w:rFonts w:asciiTheme="minorHAnsi" w:hAnsiTheme="minorHAnsi" w:cstheme="minorHAnsi"/>
          <w:sz w:val="20"/>
          <w:szCs w:val="20"/>
        </w:rPr>
        <w:t xml:space="preserve">Tabela </w:t>
      </w:r>
      <w:r w:rsidRPr="00252D7B">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Tabela \* ARABIC </w:instrText>
      </w:r>
      <w:r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16</w:t>
      </w:r>
      <w:r w:rsidRPr="00252D7B">
        <w:rPr>
          <w:rFonts w:asciiTheme="minorHAnsi" w:hAnsiTheme="minorHAnsi" w:cstheme="minorHAnsi"/>
          <w:sz w:val="20"/>
          <w:szCs w:val="20"/>
        </w:rPr>
        <w:fldChar w:fldCharType="end"/>
      </w:r>
      <w:r w:rsidRPr="00252D7B">
        <w:rPr>
          <w:rFonts w:asciiTheme="minorHAnsi" w:hAnsiTheme="minorHAnsi" w:cstheme="minorHAnsi"/>
          <w:sz w:val="20"/>
          <w:szCs w:val="20"/>
        </w:rPr>
        <w:t xml:space="preserve"> </w:t>
      </w:r>
      <w:r w:rsidR="001A0A10" w:rsidRPr="00252D7B">
        <w:rPr>
          <w:rFonts w:asciiTheme="minorHAnsi" w:hAnsiTheme="minorHAnsi" w:cstheme="minorHAnsi"/>
          <w:sz w:val="20"/>
          <w:szCs w:val="20"/>
        </w:rPr>
        <w:t>–</w:t>
      </w:r>
      <w:r w:rsidRPr="00252D7B">
        <w:rPr>
          <w:rFonts w:asciiTheme="minorHAnsi" w:hAnsiTheme="minorHAnsi" w:cstheme="minorHAnsi"/>
          <w:sz w:val="20"/>
          <w:szCs w:val="20"/>
        </w:rPr>
        <w:t xml:space="preserve"> Resumo das contratações</w:t>
      </w:r>
      <w:bookmarkEnd w:id="349"/>
    </w:p>
    <w:tbl>
      <w:tblPr>
        <w:tblStyle w:val="Tabelacomgrade10"/>
        <w:tblW w:w="9736" w:type="dxa"/>
        <w:tblInd w:w="5" w:type="dxa"/>
        <w:tblLook w:val="04A0" w:firstRow="1" w:lastRow="0" w:firstColumn="1" w:lastColumn="0" w:noHBand="0" w:noVBand="1"/>
      </w:tblPr>
      <w:tblGrid>
        <w:gridCol w:w="4531"/>
        <w:gridCol w:w="2268"/>
        <w:gridCol w:w="2937"/>
      </w:tblGrid>
      <w:tr w:rsidR="00A41DBB" w:rsidRPr="00252D7B" w14:paraId="0E4A1C01" w14:textId="77777777" w:rsidTr="00AE0B7A">
        <w:trPr>
          <w:tblHeader/>
        </w:trPr>
        <w:tc>
          <w:tcPr>
            <w:tcW w:w="4531" w:type="dxa"/>
            <w:tcBorders>
              <w:left w:val="nil"/>
            </w:tcBorders>
            <w:shd w:val="clear" w:color="auto" w:fill="D9D9D9" w:themeFill="background1" w:themeFillShade="D9"/>
            <w:hideMark/>
          </w:tcPr>
          <w:p w14:paraId="590CD18C"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color w:val="000000"/>
                <w:lang w:bidi="ar-SA"/>
              </w:rPr>
            </w:pPr>
            <w:bookmarkStart w:id="350" w:name="_Hlk96508438"/>
            <w:r w:rsidRPr="00252D7B">
              <w:rPr>
                <w:rFonts w:asciiTheme="minorHAnsi" w:eastAsia="Times New Roman" w:hAnsiTheme="minorHAnsi" w:cstheme="minorHAnsi"/>
                <w:b/>
                <w:bCs/>
                <w:color w:val="000000"/>
                <w:lang w:bidi="ar-SA"/>
              </w:rPr>
              <w:t>Principais Tipos de Serviços ou Bens</w:t>
            </w:r>
          </w:p>
        </w:tc>
        <w:tc>
          <w:tcPr>
            <w:tcW w:w="2268" w:type="dxa"/>
            <w:shd w:val="clear" w:color="auto" w:fill="D9D9D9" w:themeFill="background1" w:themeFillShade="D9"/>
            <w:hideMark/>
          </w:tcPr>
          <w:p w14:paraId="5BCFCC43"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color w:val="000000"/>
                <w:lang w:bidi="ar-SA"/>
              </w:rPr>
            </w:pPr>
            <w:r w:rsidRPr="00252D7B">
              <w:rPr>
                <w:rFonts w:asciiTheme="minorHAnsi" w:eastAsia="Times New Roman" w:hAnsiTheme="minorHAnsi" w:cstheme="minorHAnsi"/>
                <w:b/>
                <w:bCs/>
                <w:color w:val="000000"/>
                <w:lang w:bidi="ar-SA"/>
              </w:rPr>
              <w:t>Valor</w:t>
            </w:r>
          </w:p>
        </w:tc>
        <w:tc>
          <w:tcPr>
            <w:tcW w:w="2937" w:type="dxa"/>
            <w:tcBorders>
              <w:right w:val="nil"/>
            </w:tcBorders>
            <w:shd w:val="clear" w:color="auto" w:fill="D9D9D9" w:themeFill="background1" w:themeFillShade="D9"/>
          </w:tcPr>
          <w:p w14:paraId="4DDC0F77"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color w:val="000000"/>
                <w:lang w:bidi="ar-SA"/>
              </w:rPr>
            </w:pPr>
            <w:r w:rsidRPr="00252D7B">
              <w:rPr>
                <w:rFonts w:asciiTheme="minorHAnsi" w:eastAsia="Times New Roman" w:hAnsiTheme="minorHAnsi" w:cstheme="minorHAnsi"/>
                <w:b/>
                <w:bCs/>
                <w:color w:val="000000"/>
                <w:lang w:bidi="ar-SA"/>
              </w:rPr>
              <w:t>Áreas Favorecidas</w:t>
            </w:r>
          </w:p>
        </w:tc>
      </w:tr>
      <w:tr w:rsidR="00A41DBB" w:rsidRPr="00252D7B" w14:paraId="00EB3882" w14:textId="77777777" w:rsidTr="00E03684">
        <w:tc>
          <w:tcPr>
            <w:tcW w:w="4531" w:type="dxa"/>
            <w:tcBorders>
              <w:left w:val="nil"/>
            </w:tcBorders>
          </w:tcPr>
          <w:p w14:paraId="4C2108B0" w14:textId="77777777" w:rsidR="00A41DBB" w:rsidRPr="00252D7B" w:rsidRDefault="00A41DBB" w:rsidP="00E03684">
            <w:pPr>
              <w:widowControl/>
              <w:autoSpaceDE/>
              <w:autoSpaceDN/>
              <w:spacing w:before="120" w:after="120"/>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Vigilância</w:t>
            </w:r>
          </w:p>
        </w:tc>
        <w:tc>
          <w:tcPr>
            <w:tcW w:w="2268" w:type="dxa"/>
          </w:tcPr>
          <w:p w14:paraId="2A5715DD"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R$ 765.222,28</w:t>
            </w:r>
          </w:p>
        </w:tc>
        <w:tc>
          <w:tcPr>
            <w:tcW w:w="2937" w:type="dxa"/>
            <w:tcBorders>
              <w:right w:val="nil"/>
            </w:tcBorders>
          </w:tcPr>
          <w:p w14:paraId="69EE9586"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Diversas</w:t>
            </w:r>
          </w:p>
        </w:tc>
      </w:tr>
      <w:tr w:rsidR="00A41DBB" w:rsidRPr="00252D7B" w14:paraId="49FE7855" w14:textId="77777777" w:rsidTr="00E03684">
        <w:tc>
          <w:tcPr>
            <w:tcW w:w="4531" w:type="dxa"/>
            <w:tcBorders>
              <w:left w:val="nil"/>
            </w:tcBorders>
          </w:tcPr>
          <w:p w14:paraId="5AE38C3F" w14:textId="77777777" w:rsidR="00A41DBB" w:rsidRPr="00252D7B" w:rsidRDefault="00A41DBB" w:rsidP="00E03684">
            <w:pPr>
              <w:widowControl/>
              <w:autoSpaceDE/>
              <w:autoSpaceDN/>
              <w:spacing w:before="120" w:after="120"/>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Aluguel</w:t>
            </w:r>
          </w:p>
        </w:tc>
        <w:tc>
          <w:tcPr>
            <w:tcW w:w="2268" w:type="dxa"/>
          </w:tcPr>
          <w:p w14:paraId="66882F7E"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R$ 39.096,48</w:t>
            </w:r>
          </w:p>
        </w:tc>
        <w:tc>
          <w:tcPr>
            <w:tcW w:w="2937" w:type="dxa"/>
            <w:tcBorders>
              <w:right w:val="nil"/>
            </w:tcBorders>
          </w:tcPr>
          <w:p w14:paraId="1192DB94"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Diversas</w:t>
            </w:r>
          </w:p>
        </w:tc>
      </w:tr>
      <w:tr w:rsidR="00A41DBB" w:rsidRPr="00252D7B" w14:paraId="2AD1BF2B" w14:textId="77777777" w:rsidTr="00E03684">
        <w:tc>
          <w:tcPr>
            <w:tcW w:w="4531" w:type="dxa"/>
            <w:tcBorders>
              <w:left w:val="nil"/>
            </w:tcBorders>
          </w:tcPr>
          <w:p w14:paraId="425B3E3A" w14:textId="77777777" w:rsidR="00A41DBB" w:rsidRPr="00252D7B" w:rsidRDefault="00A41DBB" w:rsidP="00E03684">
            <w:pPr>
              <w:widowControl/>
              <w:autoSpaceDE/>
              <w:autoSpaceDN/>
              <w:spacing w:before="120" w:after="120"/>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Motorista</w:t>
            </w:r>
          </w:p>
        </w:tc>
        <w:tc>
          <w:tcPr>
            <w:tcW w:w="2268" w:type="dxa"/>
          </w:tcPr>
          <w:p w14:paraId="416F1FBF"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R$ 718.357,92</w:t>
            </w:r>
          </w:p>
        </w:tc>
        <w:tc>
          <w:tcPr>
            <w:tcW w:w="2937" w:type="dxa"/>
            <w:tcBorders>
              <w:right w:val="nil"/>
            </w:tcBorders>
          </w:tcPr>
          <w:p w14:paraId="5F21B2B5"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Diversas</w:t>
            </w:r>
          </w:p>
        </w:tc>
      </w:tr>
      <w:tr w:rsidR="00A41DBB" w:rsidRPr="00252D7B" w14:paraId="74829D94" w14:textId="77777777" w:rsidTr="00E03684">
        <w:tc>
          <w:tcPr>
            <w:tcW w:w="4531" w:type="dxa"/>
            <w:tcBorders>
              <w:left w:val="nil"/>
            </w:tcBorders>
          </w:tcPr>
          <w:p w14:paraId="4B9FA04C" w14:textId="77777777" w:rsidR="00A41DBB" w:rsidRPr="00252D7B" w:rsidRDefault="00A41DBB" w:rsidP="00E03684">
            <w:pPr>
              <w:widowControl/>
              <w:autoSpaceDE/>
              <w:autoSpaceDN/>
              <w:spacing w:before="120" w:after="120"/>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TI - Tecnologia da Informação</w:t>
            </w:r>
          </w:p>
        </w:tc>
        <w:tc>
          <w:tcPr>
            <w:tcW w:w="2268" w:type="dxa"/>
          </w:tcPr>
          <w:p w14:paraId="45D56EFB"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R$ 13.211.437,95</w:t>
            </w:r>
          </w:p>
        </w:tc>
        <w:tc>
          <w:tcPr>
            <w:tcW w:w="2937" w:type="dxa"/>
            <w:tcBorders>
              <w:right w:val="nil"/>
            </w:tcBorders>
          </w:tcPr>
          <w:p w14:paraId="280F7830"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Diversas</w:t>
            </w:r>
          </w:p>
        </w:tc>
      </w:tr>
      <w:tr w:rsidR="00A41DBB" w:rsidRPr="00252D7B" w14:paraId="67DA1066" w14:textId="77777777" w:rsidTr="00E03684">
        <w:tc>
          <w:tcPr>
            <w:tcW w:w="4531" w:type="dxa"/>
            <w:tcBorders>
              <w:left w:val="nil"/>
            </w:tcBorders>
          </w:tcPr>
          <w:p w14:paraId="51E4364B" w14:textId="77777777" w:rsidR="00A41DBB" w:rsidRPr="00252D7B" w:rsidRDefault="00A41DBB" w:rsidP="00E03684">
            <w:pPr>
              <w:widowControl/>
              <w:autoSpaceDE/>
              <w:autoSpaceDN/>
              <w:spacing w:before="120" w:after="120"/>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Publicidade Legal</w:t>
            </w:r>
          </w:p>
        </w:tc>
        <w:tc>
          <w:tcPr>
            <w:tcW w:w="2268" w:type="dxa"/>
          </w:tcPr>
          <w:p w14:paraId="3B03BB14"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R$ 1.920.000,00</w:t>
            </w:r>
          </w:p>
        </w:tc>
        <w:tc>
          <w:tcPr>
            <w:tcW w:w="2937" w:type="dxa"/>
            <w:tcBorders>
              <w:right w:val="nil"/>
            </w:tcBorders>
          </w:tcPr>
          <w:p w14:paraId="192CD452"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Diversas</w:t>
            </w:r>
          </w:p>
        </w:tc>
      </w:tr>
      <w:tr w:rsidR="00A41DBB" w:rsidRPr="00252D7B" w14:paraId="053BA3C1" w14:textId="77777777" w:rsidTr="00E03684">
        <w:tc>
          <w:tcPr>
            <w:tcW w:w="4531" w:type="dxa"/>
            <w:tcBorders>
              <w:left w:val="nil"/>
            </w:tcBorders>
          </w:tcPr>
          <w:p w14:paraId="33B40541" w14:textId="77777777" w:rsidR="00A41DBB" w:rsidRPr="00252D7B" w:rsidRDefault="00A41DBB" w:rsidP="00E03684">
            <w:pPr>
              <w:widowControl/>
              <w:autoSpaceDE/>
              <w:autoSpaceDN/>
              <w:spacing w:before="120" w:after="120"/>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Obras e serviços de engenharia</w:t>
            </w:r>
          </w:p>
        </w:tc>
        <w:tc>
          <w:tcPr>
            <w:tcW w:w="2268" w:type="dxa"/>
          </w:tcPr>
          <w:p w14:paraId="1C3A4D2E"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R$ 564.348.328,97</w:t>
            </w:r>
          </w:p>
        </w:tc>
        <w:tc>
          <w:tcPr>
            <w:tcW w:w="2937" w:type="dxa"/>
            <w:tcBorders>
              <w:right w:val="nil"/>
            </w:tcBorders>
          </w:tcPr>
          <w:p w14:paraId="03AFAAE4"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Diretoria de Empreendimentos</w:t>
            </w:r>
          </w:p>
        </w:tc>
      </w:tr>
      <w:tr w:rsidR="00A41DBB" w:rsidRPr="00252D7B" w14:paraId="1528435B" w14:textId="77777777" w:rsidTr="00E03684">
        <w:tc>
          <w:tcPr>
            <w:tcW w:w="4531" w:type="dxa"/>
            <w:tcBorders>
              <w:left w:val="nil"/>
            </w:tcBorders>
          </w:tcPr>
          <w:p w14:paraId="5C05DC0F" w14:textId="77777777" w:rsidR="00A41DBB" w:rsidRPr="00252D7B" w:rsidRDefault="00A41DBB" w:rsidP="00E03684">
            <w:pPr>
              <w:widowControl/>
              <w:autoSpaceDE/>
              <w:autoSpaceDN/>
              <w:spacing w:before="120" w:after="120"/>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lastRenderedPageBreak/>
              <w:t>Programa de estágio e aprendizagem</w:t>
            </w:r>
          </w:p>
        </w:tc>
        <w:tc>
          <w:tcPr>
            <w:tcW w:w="2268" w:type="dxa"/>
          </w:tcPr>
          <w:p w14:paraId="67D80716"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R$ 1.014.600,00</w:t>
            </w:r>
          </w:p>
        </w:tc>
        <w:tc>
          <w:tcPr>
            <w:tcW w:w="2937" w:type="dxa"/>
            <w:tcBorders>
              <w:right w:val="nil"/>
            </w:tcBorders>
          </w:tcPr>
          <w:p w14:paraId="6594B673"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Diversas</w:t>
            </w:r>
          </w:p>
        </w:tc>
      </w:tr>
      <w:tr w:rsidR="00A41DBB" w:rsidRPr="00252D7B" w14:paraId="159BB02F" w14:textId="77777777" w:rsidTr="00E03684">
        <w:tc>
          <w:tcPr>
            <w:tcW w:w="4531" w:type="dxa"/>
            <w:tcBorders>
              <w:left w:val="nil"/>
            </w:tcBorders>
          </w:tcPr>
          <w:p w14:paraId="44ACAAE9" w14:textId="77777777" w:rsidR="00A41DBB" w:rsidRPr="00252D7B" w:rsidRDefault="00A41DBB" w:rsidP="00E03684">
            <w:pPr>
              <w:widowControl/>
              <w:autoSpaceDE/>
              <w:autoSpaceDN/>
              <w:spacing w:before="120" w:after="120"/>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Fornecimento de bens permanentes</w:t>
            </w:r>
          </w:p>
        </w:tc>
        <w:tc>
          <w:tcPr>
            <w:tcW w:w="2268" w:type="dxa"/>
          </w:tcPr>
          <w:p w14:paraId="2F2596F8"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R$ 65.184,98</w:t>
            </w:r>
          </w:p>
        </w:tc>
        <w:tc>
          <w:tcPr>
            <w:tcW w:w="2937" w:type="dxa"/>
            <w:tcBorders>
              <w:right w:val="nil"/>
            </w:tcBorders>
          </w:tcPr>
          <w:p w14:paraId="501D7844"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Diversas</w:t>
            </w:r>
          </w:p>
        </w:tc>
      </w:tr>
      <w:tr w:rsidR="00A41DBB" w:rsidRPr="00252D7B" w14:paraId="67FD14A9" w14:textId="77777777" w:rsidTr="00E03684">
        <w:trPr>
          <w:trHeight w:val="595"/>
        </w:trPr>
        <w:tc>
          <w:tcPr>
            <w:tcW w:w="4531" w:type="dxa"/>
            <w:tcBorders>
              <w:left w:val="nil"/>
            </w:tcBorders>
          </w:tcPr>
          <w:p w14:paraId="10C2A8A2" w14:textId="77777777" w:rsidR="00A41DBB" w:rsidRPr="00252D7B" w:rsidRDefault="00A41DBB" w:rsidP="00E03684">
            <w:pPr>
              <w:widowControl/>
              <w:autoSpaceDE/>
              <w:autoSpaceDN/>
              <w:spacing w:before="120" w:after="120"/>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Descontaminação, higienização, avaliação e classificação documental do acervo de arquivístico.</w:t>
            </w:r>
          </w:p>
        </w:tc>
        <w:tc>
          <w:tcPr>
            <w:tcW w:w="2268" w:type="dxa"/>
          </w:tcPr>
          <w:p w14:paraId="16CC131D"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R$ 995.445,72</w:t>
            </w:r>
          </w:p>
        </w:tc>
        <w:tc>
          <w:tcPr>
            <w:tcW w:w="2937" w:type="dxa"/>
            <w:tcBorders>
              <w:right w:val="nil"/>
            </w:tcBorders>
          </w:tcPr>
          <w:p w14:paraId="2E060538"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Superintendência Administrativa</w:t>
            </w:r>
          </w:p>
          <w:p w14:paraId="38030C56"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color w:val="000000"/>
                <w:lang w:bidi="ar-SA"/>
              </w:rPr>
            </w:pPr>
          </w:p>
        </w:tc>
      </w:tr>
      <w:tr w:rsidR="00A41DBB" w:rsidRPr="00252D7B" w14:paraId="792158CF" w14:textId="77777777" w:rsidTr="00E03684">
        <w:trPr>
          <w:trHeight w:val="378"/>
        </w:trPr>
        <w:tc>
          <w:tcPr>
            <w:tcW w:w="4531" w:type="dxa"/>
            <w:tcBorders>
              <w:left w:val="nil"/>
            </w:tcBorders>
          </w:tcPr>
          <w:p w14:paraId="730E73EE" w14:textId="77777777" w:rsidR="00A41DBB" w:rsidRPr="00252D7B" w:rsidRDefault="00A41DBB" w:rsidP="00E03684">
            <w:pPr>
              <w:widowControl/>
              <w:autoSpaceDE/>
              <w:autoSpaceDN/>
              <w:spacing w:before="120" w:after="120"/>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Capacitação Conselheiros e DIREX - Lei nº 13.303</w:t>
            </w:r>
          </w:p>
        </w:tc>
        <w:tc>
          <w:tcPr>
            <w:tcW w:w="2268" w:type="dxa"/>
          </w:tcPr>
          <w:p w14:paraId="0C8257D1"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R$ 297.600,00</w:t>
            </w:r>
          </w:p>
        </w:tc>
        <w:tc>
          <w:tcPr>
            <w:tcW w:w="2937" w:type="dxa"/>
            <w:tcBorders>
              <w:right w:val="nil"/>
            </w:tcBorders>
          </w:tcPr>
          <w:p w14:paraId="7F6FA532"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 xml:space="preserve">Alta Administração </w:t>
            </w:r>
          </w:p>
        </w:tc>
      </w:tr>
      <w:tr w:rsidR="00A41DBB" w:rsidRPr="00252D7B" w14:paraId="0CF0DCAC" w14:textId="77777777" w:rsidTr="00E03684">
        <w:tc>
          <w:tcPr>
            <w:tcW w:w="4531" w:type="dxa"/>
            <w:tcBorders>
              <w:left w:val="nil"/>
            </w:tcBorders>
          </w:tcPr>
          <w:p w14:paraId="0F5901E7" w14:textId="77777777" w:rsidR="00A41DBB" w:rsidRPr="00252D7B" w:rsidRDefault="00A41DBB" w:rsidP="00E03684">
            <w:pPr>
              <w:widowControl/>
              <w:autoSpaceDE/>
              <w:autoSpaceDN/>
              <w:spacing w:before="120" w:after="120"/>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Outros</w:t>
            </w:r>
          </w:p>
        </w:tc>
        <w:tc>
          <w:tcPr>
            <w:tcW w:w="2268" w:type="dxa"/>
          </w:tcPr>
          <w:p w14:paraId="64AAA267"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R$ 105.377,95</w:t>
            </w:r>
          </w:p>
        </w:tc>
        <w:tc>
          <w:tcPr>
            <w:tcW w:w="2937" w:type="dxa"/>
            <w:tcBorders>
              <w:right w:val="nil"/>
            </w:tcBorders>
          </w:tcPr>
          <w:p w14:paraId="01253F0F"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Diversas</w:t>
            </w:r>
          </w:p>
        </w:tc>
      </w:tr>
      <w:bookmarkEnd w:id="350"/>
    </w:tbl>
    <w:p w14:paraId="4E70C29E" w14:textId="5EDB854E" w:rsidR="00A41DBB" w:rsidRPr="00252D7B" w:rsidRDefault="00A41DBB" w:rsidP="00A41DBB">
      <w:pPr>
        <w:spacing w:before="120" w:after="120"/>
        <w:rPr>
          <w:rFonts w:asciiTheme="minorHAnsi" w:hAnsiTheme="minorHAnsi" w:cstheme="minorHAnsi"/>
        </w:rPr>
      </w:pPr>
    </w:p>
    <w:p w14:paraId="2695E360" w14:textId="77777777" w:rsidR="00CF6DA7" w:rsidRPr="00252D7B" w:rsidRDefault="00CF6DA7" w:rsidP="00A41DBB">
      <w:pPr>
        <w:spacing w:before="120" w:after="120"/>
        <w:rPr>
          <w:rFonts w:asciiTheme="minorHAnsi" w:hAnsiTheme="minorHAnsi" w:cstheme="minorHAnsi"/>
        </w:rPr>
      </w:pPr>
    </w:p>
    <w:p w14:paraId="56E6FFA0" w14:textId="77777777" w:rsidR="00A41DBB" w:rsidRPr="00252D7B" w:rsidRDefault="00A41DBB" w:rsidP="00A41DBB">
      <w:pPr>
        <w:pStyle w:val="Ttulo3"/>
        <w:spacing w:before="120" w:after="120"/>
        <w:rPr>
          <w:rFonts w:asciiTheme="minorHAnsi" w:hAnsiTheme="minorHAnsi" w:cstheme="minorHAnsi"/>
        </w:rPr>
      </w:pPr>
      <w:bookmarkStart w:id="351" w:name="_Toc95906803"/>
      <w:bookmarkStart w:id="352" w:name="_Toc97215847"/>
      <w:bookmarkStart w:id="353" w:name="_Toc103680572"/>
      <w:bookmarkEnd w:id="346"/>
      <w:bookmarkEnd w:id="347"/>
      <w:bookmarkEnd w:id="348"/>
      <w:r w:rsidRPr="00252D7B">
        <w:rPr>
          <w:rFonts w:asciiTheme="minorHAnsi" w:hAnsiTheme="minorHAnsi" w:cstheme="minorHAnsi"/>
        </w:rPr>
        <w:t>Contratações mais relevantes, sua associação aos objetivos estratégicos e justificativas para essas contratações</w:t>
      </w:r>
      <w:bookmarkEnd w:id="351"/>
      <w:bookmarkEnd w:id="352"/>
      <w:bookmarkEnd w:id="353"/>
    </w:p>
    <w:p w14:paraId="76E98592" w14:textId="77777777" w:rsidR="00A41DBB" w:rsidRPr="00252D7B" w:rsidRDefault="00A41DBB" w:rsidP="00A41DBB">
      <w:pPr>
        <w:spacing w:before="120" w:after="120"/>
        <w:jc w:val="both"/>
        <w:rPr>
          <w:rFonts w:asciiTheme="minorHAnsi" w:hAnsiTheme="minorHAnsi" w:cstheme="minorHAnsi"/>
          <w:sz w:val="24"/>
          <w:szCs w:val="24"/>
        </w:rPr>
      </w:pPr>
      <w:bookmarkStart w:id="354" w:name="_Toc64571547"/>
      <w:bookmarkStart w:id="355" w:name="_Toc94012541"/>
      <w:bookmarkStart w:id="356" w:name="_Toc95830276"/>
    </w:p>
    <w:p w14:paraId="32667DE9" w14:textId="2CD1F93F" w:rsidR="00A41DBB" w:rsidRPr="00252D7B" w:rsidRDefault="00A41DBB" w:rsidP="003F0B7E">
      <w:pPr>
        <w:spacing w:before="120" w:after="120"/>
        <w:jc w:val="both"/>
        <w:rPr>
          <w:rFonts w:asciiTheme="minorHAnsi" w:hAnsiTheme="minorHAnsi" w:cstheme="minorHAnsi"/>
          <w:sz w:val="20"/>
          <w:szCs w:val="20"/>
        </w:rPr>
      </w:pPr>
      <w:r w:rsidRPr="00252D7B">
        <w:rPr>
          <w:rFonts w:asciiTheme="minorHAnsi" w:hAnsiTheme="minorHAnsi" w:cstheme="minorHAnsi"/>
          <w:sz w:val="24"/>
          <w:szCs w:val="24"/>
        </w:rPr>
        <w:t xml:space="preserve">O ano de 2021 foi marcado por diversas contratações importantes, das quais pode-se destacar as abaixo identificadas, totalmente alinhadas aos objetivos estratégicos da Valec, uma vez que contribuem </w:t>
      </w:r>
      <w:r w:rsidRPr="00252D7B">
        <w:rPr>
          <w:rFonts w:asciiTheme="minorHAnsi" w:hAnsiTheme="minorHAnsi" w:cstheme="minorHAnsi"/>
          <w:color w:val="000000"/>
          <w:sz w:val="24"/>
          <w:szCs w:val="24"/>
        </w:rPr>
        <w:t>para a ampliação da oferta de transporte ferroviário de carga e de passageiros, assim como a redução do custo logístico no Brasil, visam promover melhoria contínua em estudos, projetos e obras para o sistema ferroviário, prover infraestrutura física, tecnológica e suporte logístico integrado com segurança, dentre outros.</w:t>
      </w:r>
    </w:p>
    <w:p w14:paraId="4547E6AF" w14:textId="73219077" w:rsidR="00301826" w:rsidRPr="00252D7B" w:rsidRDefault="00A53EFA" w:rsidP="00301826">
      <w:pPr>
        <w:pStyle w:val="Legenda"/>
        <w:keepNext/>
        <w:jc w:val="center"/>
        <w:rPr>
          <w:rFonts w:asciiTheme="minorHAnsi" w:hAnsiTheme="minorHAnsi" w:cstheme="minorHAnsi"/>
          <w:sz w:val="20"/>
          <w:szCs w:val="20"/>
        </w:rPr>
      </w:pPr>
      <w:bookmarkStart w:id="357" w:name="_Toc103680725"/>
      <w:r w:rsidRPr="00252D7B">
        <w:rPr>
          <w:rFonts w:asciiTheme="minorHAnsi" w:hAnsiTheme="minorHAnsi" w:cstheme="minorHAnsi"/>
          <w:sz w:val="20"/>
          <w:szCs w:val="20"/>
        </w:rPr>
        <w:t xml:space="preserve">Quadro </w:t>
      </w:r>
      <w:r w:rsidRPr="00252D7B">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Quadro \* ARABIC </w:instrText>
      </w:r>
      <w:r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6</w:t>
      </w:r>
      <w:r w:rsidRPr="00252D7B">
        <w:rPr>
          <w:rFonts w:asciiTheme="minorHAnsi" w:hAnsiTheme="minorHAnsi" w:cstheme="minorHAnsi"/>
          <w:sz w:val="20"/>
          <w:szCs w:val="20"/>
        </w:rPr>
        <w:fldChar w:fldCharType="end"/>
      </w:r>
      <w:r w:rsidR="00301826" w:rsidRPr="00252D7B">
        <w:rPr>
          <w:rFonts w:asciiTheme="minorHAnsi" w:hAnsiTheme="minorHAnsi" w:cstheme="minorHAnsi"/>
          <w:sz w:val="20"/>
          <w:szCs w:val="20"/>
        </w:rPr>
        <w:t xml:space="preserve"> </w:t>
      </w:r>
      <w:r w:rsidR="003F0B7E" w:rsidRPr="00252D7B">
        <w:rPr>
          <w:rFonts w:asciiTheme="minorHAnsi" w:hAnsiTheme="minorHAnsi" w:cstheme="minorHAnsi"/>
          <w:sz w:val="20"/>
          <w:szCs w:val="20"/>
        </w:rPr>
        <w:t>–</w:t>
      </w:r>
      <w:r w:rsidR="00301826" w:rsidRPr="00252D7B">
        <w:rPr>
          <w:rFonts w:asciiTheme="minorHAnsi" w:hAnsiTheme="minorHAnsi" w:cstheme="minorHAnsi"/>
          <w:sz w:val="20"/>
          <w:szCs w:val="20"/>
        </w:rPr>
        <w:t xml:space="preserve"> Contratações mais relevantes</w:t>
      </w:r>
      <w:bookmarkEnd w:id="357"/>
    </w:p>
    <w:tbl>
      <w:tblPr>
        <w:tblStyle w:val="Tabelacomgrade10"/>
        <w:tblW w:w="9736" w:type="dxa"/>
        <w:tblInd w:w="0" w:type="dxa"/>
        <w:tblLook w:val="04A0" w:firstRow="1" w:lastRow="0" w:firstColumn="1" w:lastColumn="0" w:noHBand="0" w:noVBand="1"/>
      </w:tblPr>
      <w:tblGrid>
        <w:gridCol w:w="9736"/>
      </w:tblGrid>
      <w:tr w:rsidR="00A41DBB" w:rsidRPr="00252D7B" w14:paraId="6656DC0E" w14:textId="77777777" w:rsidTr="00301826">
        <w:tc>
          <w:tcPr>
            <w:tcW w:w="9736" w:type="dxa"/>
            <w:shd w:val="clear" w:color="auto" w:fill="D9D9D9"/>
            <w:hideMark/>
          </w:tcPr>
          <w:p w14:paraId="11362C86"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color w:val="000000"/>
                <w:lang w:bidi="ar-SA"/>
              </w:rPr>
            </w:pPr>
            <w:r w:rsidRPr="00252D7B">
              <w:rPr>
                <w:rFonts w:asciiTheme="minorHAnsi" w:eastAsia="Times New Roman" w:hAnsiTheme="minorHAnsi" w:cstheme="minorHAnsi"/>
                <w:b/>
                <w:bCs/>
                <w:color w:val="000000"/>
                <w:lang w:bidi="ar-SA"/>
              </w:rPr>
              <w:t xml:space="preserve">Objeto </w:t>
            </w:r>
            <w:r w:rsidRPr="00AE0B7A">
              <w:rPr>
                <w:rFonts w:asciiTheme="minorHAnsi" w:eastAsia="Times New Roman" w:hAnsiTheme="minorHAnsi" w:cstheme="minorHAnsi"/>
                <w:b/>
                <w:bCs/>
                <w:color w:val="000000"/>
                <w:shd w:val="clear" w:color="auto" w:fill="D9D9D9" w:themeFill="background1" w:themeFillShade="D9"/>
                <w:lang w:bidi="ar-SA"/>
              </w:rPr>
              <w:t>e Justificativa da Contratação</w:t>
            </w:r>
          </w:p>
        </w:tc>
      </w:tr>
      <w:tr w:rsidR="00A41DBB" w:rsidRPr="00252D7B" w14:paraId="4A5C0B67" w14:textId="77777777" w:rsidTr="00E03684">
        <w:tc>
          <w:tcPr>
            <w:tcW w:w="9736" w:type="dxa"/>
          </w:tcPr>
          <w:p w14:paraId="2D44FAF3" w14:textId="144313A7" w:rsidR="00A41DBB" w:rsidRPr="00252D7B" w:rsidRDefault="00A41DBB" w:rsidP="00E03684">
            <w:pPr>
              <w:widowControl/>
              <w:autoSpaceDE/>
              <w:autoSpaceDN/>
              <w:spacing w:before="120" w:after="120"/>
              <w:jc w:val="both"/>
              <w:rPr>
                <w:rFonts w:asciiTheme="minorHAnsi" w:eastAsia="Times New Roman" w:hAnsiTheme="minorHAnsi" w:cstheme="minorHAnsi"/>
                <w:b/>
                <w:bCs/>
                <w:color w:val="000000"/>
                <w:lang w:bidi="ar-SA"/>
              </w:rPr>
            </w:pPr>
            <w:r w:rsidRPr="00252D7B">
              <w:rPr>
                <w:rFonts w:asciiTheme="minorHAnsi" w:hAnsiTheme="minorHAnsi" w:cstheme="minorHAnsi"/>
                <w:color w:val="000000"/>
              </w:rPr>
              <w:t xml:space="preserve">Objeto: elaboração dos projetos básico e executivo de engenharia e execução dos serviços remanescentes para conclusão das obras do lote </w:t>
            </w:r>
            <w:r w:rsidR="00044743">
              <w:rPr>
                <w:rFonts w:asciiTheme="minorHAnsi" w:hAnsiTheme="minorHAnsi" w:cstheme="minorHAnsi"/>
                <w:color w:val="000000"/>
              </w:rPr>
              <w:t>0</w:t>
            </w:r>
            <w:r w:rsidRPr="00252D7B">
              <w:rPr>
                <w:rFonts w:asciiTheme="minorHAnsi" w:hAnsiTheme="minorHAnsi" w:cstheme="minorHAnsi"/>
                <w:color w:val="000000"/>
              </w:rPr>
              <w:t>6F da FIOL (</w:t>
            </w:r>
            <w:r w:rsidRPr="00252D7B">
              <w:rPr>
                <w:rFonts w:asciiTheme="minorHAnsi" w:eastAsia="Times New Roman" w:hAnsiTheme="minorHAnsi" w:cstheme="minorHAnsi"/>
                <w:color w:val="000000"/>
                <w:lang w:bidi="ar-SA"/>
              </w:rPr>
              <w:t>CT 33/2021 (</w:t>
            </w:r>
            <w:r w:rsidRPr="00252D7B">
              <w:rPr>
                <w:rStyle w:val="Forte"/>
                <w:rFonts w:asciiTheme="minorHAnsi" w:hAnsiTheme="minorHAnsi" w:cstheme="minorHAnsi"/>
                <w:b w:val="0"/>
                <w:bCs w:val="0"/>
                <w:color w:val="000000"/>
              </w:rPr>
              <w:t>CONSÓRCIO TT- FIOL LOTE 6F-A)</w:t>
            </w:r>
            <w:r w:rsidRPr="00252D7B">
              <w:rPr>
                <w:rFonts w:asciiTheme="minorHAnsi" w:hAnsiTheme="minorHAnsi" w:cstheme="minorHAnsi"/>
                <w:color w:val="000000"/>
              </w:rPr>
              <w:t>. Justificativa: Continuidade da construção da FIOL 2, que tem como objetivo principal contribuir para alterar a matriz de transportes brasileira, substituindo, gradativamente, o transporte rodoviário pelo ferroviário na troca de cargas entre o Oeste, o Centro e o Leste do País, constituindo importante corredor logístico de escoamento de minério do sul do estado da Bahia e de grãos do Oeste.</w:t>
            </w:r>
          </w:p>
        </w:tc>
      </w:tr>
      <w:tr w:rsidR="00A41DBB" w:rsidRPr="00252D7B" w14:paraId="3182EA11" w14:textId="77777777" w:rsidTr="00E03684">
        <w:tc>
          <w:tcPr>
            <w:tcW w:w="9736" w:type="dxa"/>
          </w:tcPr>
          <w:p w14:paraId="482E4110" w14:textId="40D83F0B" w:rsidR="00A41DBB" w:rsidRPr="00252D7B" w:rsidRDefault="00A41DBB" w:rsidP="00E03684">
            <w:pPr>
              <w:widowControl/>
              <w:autoSpaceDE/>
              <w:autoSpaceDN/>
              <w:spacing w:before="120" w:after="120"/>
              <w:jc w:val="both"/>
              <w:rPr>
                <w:rFonts w:asciiTheme="minorHAnsi" w:eastAsia="Times New Roman" w:hAnsiTheme="minorHAnsi" w:cstheme="minorHAnsi"/>
                <w:color w:val="000000"/>
                <w:lang w:bidi="ar-SA"/>
              </w:rPr>
            </w:pPr>
            <w:r w:rsidRPr="00252D7B">
              <w:rPr>
                <w:rFonts w:asciiTheme="minorHAnsi" w:hAnsiTheme="minorHAnsi" w:cstheme="minorHAnsi"/>
                <w:color w:val="000000"/>
              </w:rPr>
              <w:t xml:space="preserve">Objeto: execução dos serviços de gestão espeleológica da FIOL (CT 25/2021 (CONSÓRCIO HE ESPELEOLÓGICO). Justificativa: Permitir que sejam adotadas as medidas de mitigação e/ou compensação dos possíveis impactos decorrentes da implantação e operação dos empreendimentos ferroviários sobre os atributos físicos, bióticos e/ou socioeconômicos do patrimônio espeleológico, tanto o já identificado quanto o que, porventura, ainda será encontrado, a fim de evitar a suspensão ou indeferimento do pedido de renovação de licenças já emitidas (e, consequentemente, das obras em andamento), aplicação de sanções administrativas à </w:t>
            </w:r>
            <w:r w:rsidR="00610C91" w:rsidRPr="00252D7B">
              <w:rPr>
                <w:rFonts w:asciiTheme="minorHAnsi" w:hAnsiTheme="minorHAnsi" w:cstheme="minorHAnsi"/>
                <w:color w:val="000000"/>
              </w:rPr>
              <w:t>Valec</w:t>
            </w:r>
            <w:r w:rsidRPr="00252D7B">
              <w:rPr>
                <w:rFonts w:asciiTheme="minorHAnsi" w:hAnsiTheme="minorHAnsi" w:cstheme="minorHAnsi"/>
                <w:color w:val="000000"/>
              </w:rPr>
              <w:t xml:space="preserve"> e aos seus dirigentes, bem como impedir a emissão de novas licenças eventualmente necessárias para a continuidade das obras.</w:t>
            </w:r>
          </w:p>
        </w:tc>
      </w:tr>
      <w:tr w:rsidR="00A41DBB" w:rsidRPr="00252D7B" w14:paraId="5150216C" w14:textId="77777777" w:rsidTr="00E03684">
        <w:tc>
          <w:tcPr>
            <w:tcW w:w="9736" w:type="dxa"/>
          </w:tcPr>
          <w:p w14:paraId="065A4D32" w14:textId="17E868A7" w:rsidR="00A41DBB" w:rsidRPr="00252D7B" w:rsidRDefault="00A41DBB" w:rsidP="00E03684">
            <w:pPr>
              <w:widowControl/>
              <w:autoSpaceDE/>
              <w:autoSpaceDN/>
              <w:spacing w:before="120" w:after="120"/>
              <w:jc w:val="both"/>
              <w:rPr>
                <w:rFonts w:asciiTheme="minorHAnsi" w:hAnsiTheme="minorHAnsi" w:cstheme="minorHAnsi"/>
                <w:color w:val="000000"/>
              </w:rPr>
            </w:pPr>
            <w:r w:rsidRPr="00252D7B">
              <w:rPr>
                <w:rFonts w:asciiTheme="minorHAnsi" w:hAnsiTheme="minorHAnsi" w:cstheme="minorHAnsi"/>
                <w:color w:val="000000"/>
              </w:rPr>
              <w:t>Objeto: prestação de serviços de desapropriação, monitoramento e gestão fundiária na Ferrovia de Integração Oeste-Leste</w:t>
            </w:r>
            <w:r w:rsidR="000E211C">
              <w:rPr>
                <w:rFonts w:asciiTheme="minorHAnsi" w:hAnsiTheme="minorHAnsi" w:cstheme="minorHAnsi"/>
                <w:color w:val="000000"/>
              </w:rPr>
              <w:t xml:space="preserve"> – FIOL</w:t>
            </w:r>
            <w:r w:rsidRPr="00252D7B">
              <w:rPr>
                <w:rFonts w:asciiTheme="minorHAnsi" w:hAnsiTheme="minorHAnsi" w:cstheme="minorHAnsi"/>
                <w:color w:val="000000"/>
              </w:rPr>
              <w:t xml:space="preserve"> e na Ferrovia de Integração Centro Oeste – FICO, por meio de produtos, por um período de 24 (vinte e quatro meses. Justificativa: Apoio para a conclusão dos processos de desapropriação em curso na FIOL e para a execução de desapropriação de áreas para a implantação da FICO prevista como obrigação da Valec no Anexo IX do </w:t>
            </w:r>
            <w:r w:rsidRPr="00252D7B">
              <w:rPr>
                <w:rFonts w:asciiTheme="minorHAnsi" w:hAnsiTheme="minorHAnsi" w:cstheme="minorHAnsi"/>
              </w:rPr>
              <w:t>3º Termo Aditivo ao Contrato de Concessão Original da Estrada de Ferro Vitória à Minas entre União e a Companhia Vale do Rio Doce S.A.</w:t>
            </w:r>
          </w:p>
        </w:tc>
      </w:tr>
    </w:tbl>
    <w:p w14:paraId="193CE2E8" w14:textId="77777777" w:rsidR="00AE0B7A" w:rsidRPr="00252D7B" w:rsidRDefault="00AE0B7A" w:rsidP="00A41DBB">
      <w:pPr>
        <w:spacing w:before="120" w:after="120"/>
        <w:rPr>
          <w:rFonts w:asciiTheme="minorHAnsi" w:hAnsiTheme="minorHAnsi" w:cstheme="minorHAnsi"/>
        </w:rPr>
      </w:pPr>
    </w:p>
    <w:p w14:paraId="65C83B16" w14:textId="77777777" w:rsidR="00A41DBB" w:rsidRPr="00252D7B" w:rsidRDefault="00A41DBB" w:rsidP="00A41DBB">
      <w:pPr>
        <w:pStyle w:val="Ttulo3"/>
        <w:spacing w:before="120" w:after="120"/>
        <w:rPr>
          <w:rFonts w:asciiTheme="minorHAnsi" w:hAnsiTheme="minorHAnsi" w:cstheme="minorHAnsi"/>
        </w:rPr>
      </w:pPr>
      <w:bookmarkStart w:id="358" w:name="_Toc95906804"/>
      <w:bookmarkStart w:id="359" w:name="_Toc97215848"/>
      <w:bookmarkStart w:id="360" w:name="_Toc103680573"/>
      <w:bookmarkEnd w:id="354"/>
      <w:bookmarkEnd w:id="355"/>
      <w:bookmarkEnd w:id="356"/>
      <w:r w:rsidRPr="00252D7B">
        <w:rPr>
          <w:rFonts w:asciiTheme="minorHAnsi" w:hAnsiTheme="minorHAnsi" w:cstheme="minorHAnsi"/>
        </w:rPr>
        <w:t>Contratações diretas: participação nos processos de contratação, principais tipos e justificativas para realização.</w:t>
      </w:r>
      <w:bookmarkEnd w:id="358"/>
      <w:bookmarkEnd w:id="359"/>
      <w:bookmarkEnd w:id="360"/>
    </w:p>
    <w:p w14:paraId="4D8FA7DD" w14:textId="6A4E5383" w:rsidR="00A41DBB" w:rsidRPr="00252D7B" w:rsidRDefault="00A41DBB" w:rsidP="00A41DBB">
      <w:pPr>
        <w:spacing w:before="120" w:after="120"/>
        <w:jc w:val="both"/>
        <w:rPr>
          <w:rFonts w:asciiTheme="minorHAnsi" w:hAnsiTheme="minorHAnsi" w:cstheme="minorHAnsi"/>
          <w:sz w:val="24"/>
          <w:szCs w:val="24"/>
        </w:rPr>
      </w:pPr>
      <w:bookmarkStart w:id="361" w:name="_Toc94012542"/>
      <w:bookmarkStart w:id="362" w:name="_Toc95830277"/>
      <w:r w:rsidRPr="00252D7B">
        <w:rPr>
          <w:rFonts w:asciiTheme="minorHAnsi" w:hAnsiTheme="minorHAnsi" w:cstheme="minorHAnsi"/>
          <w:sz w:val="24"/>
          <w:szCs w:val="24"/>
        </w:rPr>
        <w:t>O valor total das contratações diretas processadas pela área de licitações e contratos foi de R$ 6.092.729,48 (seis milhões, noventa e dois mil, setecentos e vinte e nove reais e quarenta e oito centavos) o que equivale a aproximadamente 1,35% (um inteiro e trinta e cinco centésimos por cento) do total de contratações</w:t>
      </w:r>
      <w:r w:rsidRPr="00252D7B">
        <w:rPr>
          <w:rFonts w:asciiTheme="minorHAnsi" w:hAnsiTheme="minorHAnsi" w:cstheme="minorHAnsi"/>
          <w:b/>
          <w:sz w:val="24"/>
          <w:szCs w:val="24"/>
        </w:rPr>
        <w:t>.</w:t>
      </w:r>
    </w:p>
    <w:p w14:paraId="59E6ADBE" w14:textId="77777777" w:rsidR="00D41A97" w:rsidRPr="00252D7B" w:rsidRDefault="00D41A97" w:rsidP="00A41DBB">
      <w:pPr>
        <w:spacing w:before="120" w:after="120"/>
        <w:jc w:val="both"/>
        <w:rPr>
          <w:rFonts w:asciiTheme="minorHAnsi" w:hAnsiTheme="minorHAnsi" w:cstheme="minorHAnsi"/>
          <w:sz w:val="24"/>
          <w:szCs w:val="24"/>
        </w:rPr>
      </w:pPr>
    </w:p>
    <w:p w14:paraId="1CDAED57" w14:textId="7F8F4C39" w:rsidR="003E1E74" w:rsidRPr="00252D7B" w:rsidRDefault="003E1E74" w:rsidP="003E1E74">
      <w:pPr>
        <w:pStyle w:val="Legenda"/>
        <w:keepNext/>
        <w:jc w:val="center"/>
        <w:rPr>
          <w:rFonts w:asciiTheme="minorHAnsi" w:hAnsiTheme="minorHAnsi" w:cstheme="minorHAnsi"/>
          <w:sz w:val="20"/>
          <w:szCs w:val="20"/>
        </w:rPr>
      </w:pPr>
      <w:bookmarkStart w:id="363" w:name="_Toc103680679"/>
      <w:r w:rsidRPr="00252D7B">
        <w:rPr>
          <w:rFonts w:asciiTheme="minorHAnsi" w:hAnsiTheme="minorHAnsi" w:cstheme="minorHAnsi"/>
          <w:sz w:val="20"/>
          <w:szCs w:val="20"/>
        </w:rPr>
        <w:t xml:space="preserve">Tabela </w:t>
      </w:r>
      <w:r w:rsidRPr="00252D7B">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Tabela \* ARABIC </w:instrText>
      </w:r>
      <w:r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17</w:t>
      </w:r>
      <w:r w:rsidRPr="00252D7B">
        <w:rPr>
          <w:rFonts w:asciiTheme="minorHAnsi" w:hAnsiTheme="minorHAnsi" w:cstheme="minorHAnsi"/>
          <w:sz w:val="20"/>
          <w:szCs w:val="20"/>
        </w:rPr>
        <w:fldChar w:fldCharType="end"/>
      </w:r>
      <w:r w:rsidRPr="00252D7B">
        <w:rPr>
          <w:rFonts w:asciiTheme="minorHAnsi" w:hAnsiTheme="minorHAnsi" w:cstheme="minorHAnsi"/>
          <w:sz w:val="20"/>
          <w:szCs w:val="20"/>
        </w:rPr>
        <w:t xml:space="preserve"> </w:t>
      </w:r>
      <w:r w:rsidR="003F0B7E" w:rsidRPr="00252D7B">
        <w:rPr>
          <w:rFonts w:asciiTheme="minorHAnsi" w:hAnsiTheme="minorHAnsi" w:cstheme="minorHAnsi"/>
          <w:sz w:val="20"/>
          <w:szCs w:val="20"/>
        </w:rPr>
        <w:t>–</w:t>
      </w:r>
      <w:r w:rsidRPr="00252D7B">
        <w:rPr>
          <w:rFonts w:asciiTheme="minorHAnsi" w:hAnsiTheme="minorHAnsi" w:cstheme="minorHAnsi"/>
          <w:sz w:val="20"/>
          <w:szCs w:val="20"/>
        </w:rPr>
        <w:t xml:space="preserve"> Resumo das contratações diretas</w:t>
      </w:r>
      <w:bookmarkEnd w:id="363"/>
    </w:p>
    <w:tbl>
      <w:tblPr>
        <w:tblStyle w:val="Tabelacomgrade10"/>
        <w:tblW w:w="9736" w:type="dxa"/>
        <w:tblInd w:w="5" w:type="dxa"/>
        <w:tblLook w:val="04A0" w:firstRow="1" w:lastRow="0" w:firstColumn="1" w:lastColumn="0" w:noHBand="0" w:noVBand="1"/>
      </w:tblPr>
      <w:tblGrid>
        <w:gridCol w:w="2689"/>
        <w:gridCol w:w="2268"/>
        <w:gridCol w:w="4779"/>
      </w:tblGrid>
      <w:tr w:rsidR="00A41DBB" w:rsidRPr="00252D7B" w14:paraId="2FD18C82" w14:textId="77777777" w:rsidTr="00E03684">
        <w:tc>
          <w:tcPr>
            <w:tcW w:w="2689" w:type="dxa"/>
            <w:tcBorders>
              <w:left w:val="nil"/>
            </w:tcBorders>
            <w:shd w:val="clear" w:color="auto" w:fill="D9D9D9"/>
            <w:hideMark/>
          </w:tcPr>
          <w:p w14:paraId="5A39B957"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color w:val="000000"/>
                <w:lang w:bidi="ar-SA"/>
              </w:rPr>
            </w:pPr>
            <w:bookmarkStart w:id="364" w:name="_Hlk96509463"/>
            <w:r w:rsidRPr="00252D7B">
              <w:rPr>
                <w:rFonts w:asciiTheme="minorHAnsi" w:eastAsia="Times New Roman" w:hAnsiTheme="minorHAnsi" w:cstheme="minorHAnsi"/>
                <w:b/>
                <w:bCs/>
                <w:color w:val="000000"/>
                <w:lang w:bidi="ar-SA"/>
              </w:rPr>
              <w:t>Principais Tipos</w:t>
            </w:r>
          </w:p>
        </w:tc>
        <w:tc>
          <w:tcPr>
            <w:tcW w:w="2268" w:type="dxa"/>
            <w:shd w:val="clear" w:color="auto" w:fill="D9D9D9"/>
            <w:hideMark/>
          </w:tcPr>
          <w:p w14:paraId="73881F43"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color w:val="000000"/>
                <w:lang w:bidi="ar-SA"/>
              </w:rPr>
            </w:pPr>
            <w:r w:rsidRPr="00252D7B">
              <w:rPr>
                <w:rFonts w:asciiTheme="minorHAnsi" w:eastAsia="Times New Roman" w:hAnsiTheme="minorHAnsi" w:cstheme="minorHAnsi"/>
                <w:b/>
                <w:bCs/>
                <w:color w:val="000000"/>
                <w:lang w:bidi="ar-SA"/>
              </w:rPr>
              <w:t>Valor</w:t>
            </w:r>
          </w:p>
        </w:tc>
        <w:tc>
          <w:tcPr>
            <w:tcW w:w="4779" w:type="dxa"/>
            <w:tcBorders>
              <w:right w:val="nil"/>
            </w:tcBorders>
            <w:shd w:val="clear" w:color="auto" w:fill="D9D9D9"/>
          </w:tcPr>
          <w:p w14:paraId="48243351"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color w:val="000000"/>
                <w:lang w:bidi="ar-SA"/>
              </w:rPr>
            </w:pPr>
            <w:r w:rsidRPr="00252D7B">
              <w:rPr>
                <w:rFonts w:asciiTheme="minorHAnsi" w:eastAsia="Times New Roman" w:hAnsiTheme="minorHAnsi" w:cstheme="minorHAnsi"/>
                <w:b/>
                <w:bCs/>
                <w:color w:val="000000"/>
                <w:lang w:bidi="ar-SA"/>
              </w:rPr>
              <w:t>Justificativa</w:t>
            </w:r>
          </w:p>
        </w:tc>
      </w:tr>
      <w:tr w:rsidR="00A41DBB" w:rsidRPr="00252D7B" w14:paraId="5A3530F4" w14:textId="77777777" w:rsidTr="00E03684">
        <w:tc>
          <w:tcPr>
            <w:tcW w:w="2689" w:type="dxa"/>
            <w:tcBorders>
              <w:left w:val="nil"/>
            </w:tcBorders>
          </w:tcPr>
          <w:p w14:paraId="15082827" w14:textId="77777777" w:rsidR="00A41DBB" w:rsidRPr="00252D7B" w:rsidRDefault="00A41DBB" w:rsidP="00E03684">
            <w:pPr>
              <w:widowControl/>
              <w:autoSpaceDE/>
              <w:autoSpaceDN/>
              <w:spacing w:before="120" w:after="120"/>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Dispensa de Licitação</w:t>
            </w:r>
          </w:p>
        </w:tc>
        <w:tc>
          <w:tcPr>
            <w:tcW w:w="2268" w:type="dxa"/>
          </w:tcPr>
          <w:p w14:paraId="74F91A3C"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color w:val="000000"/>
                <w:lang w:bidi="ar-SA"/>
              </w:rPr>
            </w:pPr>
            <w:r w:rsidRPr="00252D7B">
              <w:rPr>
                <w:rFonts w:asciiTheme="minorHAnsi" w:hAnsiTheme="minorHAnsi" w:cstheme="minorHAnsi"/>
                <w:color w:val="000000"/>
              </w:rPr>
              <w:t xml:space="preserve">R$ 2.190.413,70 </w:t>
            </w:r>
          </w:p>
        </w:tc>
        <w:tc>
          <w:tcPr>
            <w:tcW w:w="4779" w:type="dxa"/>
            <w:tcBorders>
              <w:right w:val="nil"/>
            </w:tcBorders>
          </w:tcPr>
          <w:p w14:paraId="1370673C"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Art. 29, incisos V, II, IX e VII, da Lei nº 13.303/2016</w:t>
            </w:r>
          </w:p>
        </w:tc>
      </w:tr>
      <w:tr w:rsidR="00A41DBB" w:rsidRPr="00252D7B" w14:paraId="0538BFB1" w14:textId="77777777" w:rsidTr="00E03684">
        <w:tc>
          <w:tcPr>
            <w:tcW w:w="2689" w:type="dxa"/>
            <w:tcBorders>
              <w:left w:val="nil"/>
            </w:tcBorders>
          </w:tcPr>
          <w:p w14:paraId="45A3D768" w14:textId="77777777" w:rsidR="00A41DBB" w:rsidRPr="00252D7B" w:rsidRDefault="00A41DBB" w:rsidP="00E03684">
            <w:pPr>
              <w:widowControl/>
              <w:autoSpaceDE/>
              <w:autoSpaceDN/>
              <w:spacing w:before="120" w:after="120"/>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Inexigibilidade de Licitação</w:t>
            </w:r>
          </w:p>
        </w:tc>
        <w:tc>
          <w:tcPr>
            <w:tcW w:w="2268" w:type="dxa"/>
          </w:tcPr>
          <w:p w14:paraId="398B97A9"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R$ 2.732.027,66</w:t>
            </w:r>
          </w:p>
        </w:tc>
        <w:tc>
          <w:tcPr>
            <w:tcW w:w="4779" w:type="dxa"/>
            <w:tcBorders>
              <w:right w:val="nil"/>
            </w:tcBorders>
          </w:tcPr>
          <w:p w14:paraId="3B45F0EE"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Art. 30, caput, incisos I e II, alínea “f”, da Lei nº 13.303/2016</w:t>
            </w:r>
          </w:p>
        </w:tc>
      </w:tr>
      <w:tr w:rsidR="00A41DBB" w:rsidRPr="00252D7B" w14:paraId="0BCD3C86" w14:textId="77777777" w:rsidTr="00E03684">
        <w:tc>
          <w:tcPr>
            <w:tcW w:w="2689" w:type="dxa"/>
            <w:tcBorders>
              <w:left w:val="nil"/>
            </w:tcBorders>
          </w:tcPr>
          <w:p w14:paraId="6D1EABFC" w14:textId="77777777" w:rsidR="00A41DBB" w:rsidRPr="00252D7B" w:rsidRDefault="00A41DBB" w:rsidP="00E03684">
            <w:pPr>
              <w:widowControl/>
              <w:autoSpaceDE/>
              <w:autoSpaceDN/>
              <w:spacing w:before="120" w:after="120"/>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Credenciamento</w:t>
            </w:r>
          </w:p>
        </w:tc>
        <w:tc>
          <w:tcPr>
            <w:tcW w:w="2268" w:type="dxa"/>
          </w:tcPr>
          <w:p w14:paraId="4CB8D5B6"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R$ 2.158.886,22</w:t>
            </w:r>
          </w:p>
        </w:tc>
        <w:tc>
          <w:tcPr>
            <w:tcW w:w="4779" w:type="dxa"/>
            <w:tcBorders>
              <w:right w:val="nil"/>
            </w:tcBorders>
          </w:tcPr>
          <w:p w14:paraId="69EB87FF"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Art. 30, caput, da Lei nº 13.303/2016</w:t>
            </w:r>
          </w:p>
        </w:tc>
      </w:tr>
      <w:bookmarkEnd w:id="364"/>
    </w:tbl>
    <w:p w14:paraId="6E6D3F10" w14:textId="77777777" w:rsidR="00301826" w:rsidRPr="00252D7B" w:rsidRDefault="00301826" w:rsidP="00A41DBB">
      <w:pPr>
        <w:spacing w:before="120" w:after="120"/>
        <w:rPr>
          <w:rFonts w:asciiTheme="minorHAnsi" w:hAnsiTheme="minorHAnsi" w:cstheme="minorHAnsi"/>
          <w:sz w:val="24"/>
          <w:szCs w:val="24"/>
        </w:rPr>
      </w:pPr>
    </w:p>
    <w:p w14:paraId="09528B06" w14:textId="61B2E694" w:rsidR="00806F29" w:rsidRPr="00252D7B" w:rsidRDefault="00A41DBB" w:rsidP="00CF6DA7">
      <w:pPr>
        <w:spacing w:before="120" w:after="120"/>
        <w:rPr>
          <w:rFonts w:asciiTheme="minorHAnsi" w:hAnsiTheme="minorHAnsi" w:cstheme="minorHAnsi"/>
          <w:sz w:val="24"/>
          <w:szCs w:val="24"/>
        </w:rPr>
      </w:pPr>
      <w:r w:rsidRPr="00252D7B">
        <w:rPr>
          <w:rFonts w:asciiTheme="minorHAnsi" w:hAnsiTheme="minorHAnsi" w:cstheme="minorHAnsi"/>
          <w:sz w:val="24"/>
          <w:szCs w:val="24"/>
        </w:rPr>
        <w:t>É importante, ainda, registrar a formalização de 01 (um) Termo de Execução Descentralizada – TED e 01 (um) Termo de Colaboração</w:t>
      </w:r>
      <w:r w:rsidR="00D41A97" w:rsidRPr="00252D7B">
        <w:rPr>
          <w:rFonts w:asciiTheme="minorHAnsi" w:hAnsiTheme="minorHAnsi" w:cstheme="minorHAnsi"/>
          <w:sz w:val="24"/>
          <w:szCs w:val="24"/>
        </w:rPr>
        <w:t xml:space="preserve"> (Tabela </w:t>
      </w:r>
      <w:r w:rsidR="0067629F">
        <w:rPr>
          <w:rFonts w:asciiTheme="minorHAnsi" w:hAnsiTheme="minorHAnsi" w:cstheme="minorHAnsi"/>
          <w:sz w:val="24"/>
          <w:szCs w:val="24"/>
        </w:rPr>
        <w:t>18</w:t>
      </w:r>
      <w:r w:rsidR="00D41A97" w:rsidRPr="00252D7B">
        <w:rPr>
          <w:rFonts w:asciiTheme="minorHAnsi" w:hAnsiTheme="minorHAnsi" w:cstheme="minorHAnsi"/>
          <w:sz w:val="24"/>
          <w:szCs w:val="24"/>
        </w:rPr>
        <w:t>).</w:t>
      </w:r>
      <w:r w:rsidRPr="00252D7B">
        <w:rPr>
          <w:rFonts w:asciiTheme="minorHAnsi" w:hAnsiTheme="minorHAnsi" w:cstheme="minorHAnsi"/>
          <w:sz w:val="24"/>
          <w:szCs w:val="24"/>
        </w:rPr>
        <w:t xml:space="preserve"> </w:t>
      </w:r>
    </w:p>
    <w:p w14:paraId="0A0ACEE6" w14:textId="77777777" w:rsidR="00A41DBB" w:rsidRPr="00252D7B" w:rsidRDefault="00A41DBB" w:rsidP="00A41DBB">
      <w:pPr>
        <w:spacing w:before="120" w:after="120"/>
        <w:rPr>
          <w:rFonts w:asciiTheme="minorHAnsi" w:hAnsiTheme="minorHAnsi" w:cstheme="minorHAnsi"/>
          <w:sz w:val="24"/>
          <w:szCs w:val="24"/>
        </w:rPr>
      </w:pPr>
    </w:p>
    <w:p w14:paraId="78588433" w14:textId="6B07565A" w:rsidR="003F0B7E" w:rsidRPr="00252D7B" w:rsidRDefault="003F0B7E" w:rsidP="003F0B7E">
      <w:pPr>
        <w:pStyle w:val="Legenda"/>
        <w:keepNext/>
        <w:jc w:val="center"/>
        <w:rPr>
          <w:rFonts w:asciiTheme="minorHAnsi" w:hAnsiTheme="minorHAnsi" w:cstheme="minorHAnsi"/>
        </w:rPr>
      </w:pPr>
      <w:bookmarkStart w:id="365" w:name="_Toc103680680"/>
      <w:r w:rsidRPr="00252D7B">
        <w:rPr>
          <w:rFonts w:asciiTheme="minorHAnsi" w:hAnsiTheme="minorHAnsi" w:cstheme="minorHAnsi"/>
        </w:rPr>
        <w:t xml:space="preserve">Tabela </w:t>
      </w:r>
      <w:r w:rsidR="00025945" w:rsidRPr="00252D7B">
        <w:rPr>
          <w:rFonts w:asciiTheme="minorHAnsi" w:hAnsiTheme="minorHAnsi" w:cstheme="minorHAnsi"/>
        </w:rPr>
        <w:fldChar w:fldCharType="begin"/>
      </w:r>
      <w:r w:rsidR="00025945" w:rsidRPr="00252D7B">
        <w:rPr>
          <w:rFonts w:asciiTheme="minorHAnsi" w:hAnsiTheme="minorHAnsi" w:cstheme="minorHAnsi"/>
        </w:rPr>
        <w:instrText xml:space="preserve"> SEQ Tabela \* ARABIC </w:instrText>
      </w:r>
      <w:r w:rsidR="00025945" w:rsidRPr="00252D7B">
        <w:rPr>
          <w:rFonts w:asciiTheme="minorHAnsi" w:hAnsiTheme="minorHAnsi" w:cstheme="minorHAnsi"/>
        </w:rPr>
        <w:fldChar w:fldCharType="separate"/>
      </w:r>
      <w:r w:rsidR="00C12888">
        <w:rPr>
          <w:rFonts w:asciiTheme="minorHAnsi" w:hAnsiTheme="minorHAnsi" w:cstheme="minorHAnsi"/>
          <w:noProof/>
        </w:rPr>
        <w:t>18</w:t>
      </w:r>
      <w:r w:rsidR="00025945" w:rsidRPr="00252D7B">
        <w:rPr>
          <w:rFonts w:asciiTheme="minorHAnsi" w:hAnsiTheme="minorHAnsi" w:cstheme="minorHAnsi"/>
          <w:noProof/>
        </w:rPr>
        <w:fldChar w:fldCharType="end"/>
      </w:r>
      <w:r w:rsidRPr="00252D7B">
        <w:rPr>
          <w:rFonts w:asciiTheme="minorHAnsi" w:hAnsiTheme="minorHAnsi" w:cstheme="minorHAnsi"/>
        </w:rPr>
        <w:t xml:space="preserve"> – Outros instrumentos</w:t>
      </w:r>
      <w:bookmarkEnd w:id="365"/>
    </w:p>
    <w:tbl>
      <w:tblPr>
        <w:tblStyle w:val="Tabelacomgrade10"/>
        <w:tblW w:w="9736" w:type="dxa"/>
        <w:tblInd w:w="5" w:type="dxa"/>
        <w:tblLook w:val="04A0" w:firstRow="1" w:lastRow="0" w:firstColumn="1" w:lastColumn="0" w:noHBand="0" w:noVBand="1"/>
      </w:tblPr>
      <w:tblGrid>
        <w:gridCol w:w="2122"/>
        <w:gridCol w:w="4252"/>
        <w:gridCol w:w="3362"/>
      </w:tblGrid>
      <w:tr w:rsidR="00A41DBB" w:rsidRPr="00252D7B" w14:paraId="323EF781" w14:textId="77777777" w:rsidTr="00E03684">
        <w:tc>
          <w:tcPr>
            <w:tcW w:w="2122" w:type="dxa"/>
            <w:tcBorders>
              <w:left w:val="nil"/>
            </w:tcBorders>
            <w:shd w:val="clear" w:color="auto" w:fill="D9D9D9"/>
            <w:hideMark/>
          </w:tcPr>
          <w:p w14:paraId="5028D507"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color w:val="000000"/>
                <w:lang w:bidi="ar-SA"/>
              </w:rPr>
            </w:pPr>
            <w:r w:rsidRPr="00252D7B">
              <w:rPr>
                <w:rFonts w:asciiTheme="minorHAnsi" w:eastAsia="Times New Roman" w:hAnsiTheme="minorHAnsi" w:cstheme="minorHAnsi"/>
                <w:b/>
                <w:bCs/>
                <w:color w:val="000000"/>
                <w:lang w:bidi="ar-SA"/>
              </w:rPr>
              <w:t>Instrumento</w:t>
            </w:r>
          </w:p>
        </w:tc>
        <w:tc>
          <w:tcPr>
            <w:tcW w:w="4252" w:type="dxa"/>
            <w:shd w:val="clear" w:color="auto" w:fill="D9D9D9"/>
            <w:hideMark/>
          </w:tcPr>
          <w:p w14:paraId="49813EB1"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color w:val="000000"/>
                <w:lang w:bidi="ar-SA"/>
              </w:rPr>
            </w:pPr>
            <w:r w:rsidRPr="00252D7B">
              <w:rPr>
                <w:rFonts w:asciiTheme="minorHAnsi" w:eastAsia="Times New Roman" w:hAnsiTheme="minorHAnsi" w:cstheme="minorHAnsi"/>
                <w:b/>
                <w:bCs/>
                <w:color w:val="000000"/>
                <w:lang w:bidi="ar-SA"/>
              </w:rPr>
              <w:t>Objeto</w:t>
            </w:r>
          </w:p>
        </w:tc>
        <w:tc>
          <w:tcPr>
            <w:tcW w:w="3362" w:type="dxa"/>
            <w:tcBorders>
              <w:right w:val="nil"/>
            </w:tcBorders>
            <w:shd w:val="clear" w:color="auto" w:fill="D9D9D9"/>
          </w:tcPr>
          <w:p w14:paraId="7E4EDB46"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color w:val="000000"/>
                <w:lang w:bidi="ar-SA"/>
              </w:rPr>
            </w:pPr>
            <w:r w:rsidRPr="00252D7B">
              <w:rPr>
                <w:rFonts w:asciiTheme="minorHAnsi" w:eastAsia="Times New Roman" w:hAnsiTheme="minorHAnsi" w:cstheme="minorHAnsi"/>
                <w:b/>
                <w:bCs/>
                <w:color w:val="000000"/>
                <w:lang w:bidi="ar-SA"/>
              </w:rPr>
              <w:t>Partes</w:t>
            </w:r>
          </w:p>
        </w:tc>
      </w:tr>
      <w:tr w:rsidR="00A41DBB" w:rsidRPr="00252D7B" w14:paraId="4F41DF2D" w14:textId="77777777" w:rsidTr="00E03684">
        <w:tc>
          <w:tcPr>
            <w:tcW w:w="2122" w:type="dxa"/>
            <w:tcBorders>
              <w:left w:val="nil"/>
            </w:tcBorders>
          </w:tcPr>
          <w:p w14:paraId="34A9D912" w14:textId="77777777" w:rsidR="00A41DBB" w:rsidRPr="00252D7B" w:rsidRDefault="00A41DBB" w:rsidP="00E03684">
            <w:pPr>
              <w:widowControl/>
              <w:autoSpaceDE/>
              <w:autoSpaceDN/>
              <w:spacing w:before="120" w:after="120"/>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TED nº 001/2021</w:t>
            </w:r>
          </w:p>
        </w:tc>
        <w:tc>
          <w:tcPr>
            <w:tcW w:w="4252" w:type="dxa"/>
          </w:tcPr>
          <w:p w14:paraId="72F94CC5"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color w:val="000000"/>
                <w:lang w:bidi="ar-SA"/>
              </w:rPr>
            </w:pPr>
            <w:r w:rsidRPr="00252D7B">
              <w:rPr>
                <w:rFonts w:asciiTheme="minorHAnsi" w:hAnsiTheme="minorHAnsi" w:cstheme="minorHAnsi"/>
                <w:color w:val="000000"/>
              </w:rPr>
              <w:t>Execução de produtos e serviços de comunicação corporativa.</w:t>
            </w:r>
          </w:p>
        </w:tc>
        <w:tc>
          <w:tcPr>
            <w:tcW w:w="3362" w:type="dxa"/>
            <w:tcBorders>
              <w:right w:val="nil"/>
            </w:tcBorders>
          </w:tcPr>
          <w:p w14:paraId="61031B79" w14:textId="27A8BCA4" w:rsidR="00A41DBB" w:rsidRPr="00252D7B" w:rsidRDefault="00610C91" w:rsidP="00E03684">
            <w:pPr>
              <w:spacing w:before="120" w:after="120"/>
              <w:jc w:val="center"/>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Valec</w:t>
            </w:r>
            <w:r w:rsidR="00A41DBB" w:rsidRPr="00252D7B">
              <w:rPr>
                <w:rFonts w:asciiTheme="minorHAnsi" w:eastAsia="Times New Roman" w:hAnsiTheme="minorHAnsi" w:cstheme="minorHAnsi"/>
                <w:color w:val="000000"/>
                <w:lang w:bidi="ar-SA"/>
              </w:rPr>
              <w:t xml:space="preserve"> e Min. Da Ciência, Tecnologia e Inovações - MCTI</w:t>
            </w:r>
          </w:p>
        </w:tc>
      </w:tr>
      <w:tr w:rsidR="00A41DBB" w:rsidRPr="00252D7B" w14:paraId="3807C79D" w14:textId="77777777" w:rsidTr="00E03684">
        <w:tc>
          <w:tcPr>
            <w:tcW w:w="2122" w:type="dxa"/>
            <w:tcBorders>
              <w:left w:val="nil"/>
            </w:tcBorders>
          </w:tcPr>
          <w:p w14:paraId="2D1BA29B" w14:textId="77777777" w:rsidR="00A41DBB" w:rsidRPr="00252D7B" w:rsidRDefault="00A41DBB" w:rsidP="00E03684">
            <w:pPr>
              <w:widowControl/>
              <w:autoSpaceDE/>
              <w:autoSpaceDN/>
              <w:spacing w:before="120" w:after="120"/>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Termo de Colaboração nº 001/2021</w:t>
            </w:r>
          </w:p>
        </w:tc>
        <w:tc>
          <w:tcPr>
            <w:tcW w:w="4252" w:type="dxa"/>
          </w:tcPr>
          <w:p w14:paraId="1839E54F" w14:textId="7C653AFE" w:rsidR="00A41DBB" w:rsidRPr="00252D7B" w:rsidRDefault="00A41DBB" w:rsidP="00E03684">
            <w:pPr>
              <w:widowControl/>
              <w:autoSpaceDE/>
              <w:autoSpaceDN/>
              <w:spacing w:before="120" w:after="120"/>
              <w:jc w:val="center"/>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 xml:space="preserve">Acesso a conteúdo normativo, </w:t>
            </w:r>
            <w:r w:rsidRPr="00252D7B">
              <w:rPr>
                <w:rFonts w:asciiTheme="minorHAnsi" w:hAnsiTheme="minorHAnsi" w:cstheme="minorHAnsi"/>
                <w:color w:val="000000"/>
              </w:rPr>
              <w:t>revisão e a elaboração do acervo de normativos da </w:t>
            </w:r>
            <w:r w:rsidR="00610C91" w:rsidRPr="00252D7B">
              <w:rPr>
                <w:rStyle w:val="Forte"/>
                <w:rFonts w:asciiTheme="minorHAnsi" w:hAnsiTheme="minorHAnsi" w:cstheme="minorHAnsi"/>
                <w:b w:val="0"/>
                <w:bCs w:val="0"/>
                <w:color w:val="000000"/>
              </w:rPr>
              <w:t>Valec</w:t>
            </w:r>
            <w:r w:rsidRPr="00252D7B">
              <w:rPr>
                <w:rStyle w:val="Forte"/>
                <w:rFonts w:asciiTheme="minorHAnsi" w:hAnsiTheme="minorHAnsi" w:cstheme="minorHAnsi"/>
                <w:b w:val="0"/>
                <w:bCs w:val="0"/>
                <w:color w:val="000000"/>
              </w:rPr>
              <w:t>.</w:t>
            </w:r>
          </w:p>
        </w:tc>
        <w:tc>
          <w:tcPr>
            <w:tcW w:w="3362" w:type="dxa"/>
            <w:tcBorders>
              <w:right w:val="nil"/>
            </w:tcBorders>
          </w:tcPr>
          <w:p w14:paraId="001EC8BE"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color w:val="000000"/>
                <w:lang w:bidi="ar-SA"/>
              </w:rPr>
            </w:pPr>
            <w:r w:rsidRPr="00252D7B">
              <w:rPr>
                <w:rFonts w:asciiTheme="minorHAnsi" w:eastAsia="Times New Roman" w:hAnsiTheme="minorHAnsi" w:cstheme="minorHAnsi"/>
                <w:color w:val="000000"/>
                <w:lang w:bidi="ar-SA"/>
              </w:rPr>
              <w:t>Associação Brasileira de Normas Técnicas - ABNT</w:t>
            </w:r>
          </w:p>
        </w:tc>
      </w:tr>
    </w:tbl>
    <w:p w14:paraId="1D819A6B" w14:textId="05684C2B" w:rsidR="00A41DBB" w:rsidRPr="00252D7B" w:rsidRDefault="00A41DBB" w:rsidP="001A1EB0">
      <w:pPr>
        <w:widowControl/>
        <w:autoSpaceDE/>
        <w:autoSpaceDN/>
        <w:spacing w:before="120"/>
        <w:jc w:val="both"/>
        <w:rPr>
          <w:rFonts w:asciiTheme="minorHAnsi" w:hAnsiTheme="minorHAnsi" w:cstheme="minorHAnsi"/>
          <w:sz w:val="24"/>
          <w:szCs w:val="24"/>
        </w:rPr>
      </w:pPr>
    </w:p>
    <w:p w14:paraId="0D3EC66C" w14:textId="77777777" w:rsidR="00CF6DA7" w:rsidRPr="00252D7B" w:rsidRDefault="00CF6DA7" w:rsidP="001A1EB0">
      <w:pPr>
        <w:widowControl/>
        <w:autoSpaceDE/>
        <w:autoSpaceDN/>
        <w:spacing w:before="120"/>
        <w:jc w:val="both"/>
        <w:rPr>
          <w:rFonts w:asciiTheme="minorHAnsi" w:hAnsiTheme="minorHAnsi" w:cstheme="minorHAnsi"/>
          <w:sz w:val="24"/>
          <w:szCs w:val="24"/>
        </w:rPr>
      </w:pPr>
    </w:p>
    <w:p w14:paraId="100DCE92" w14:textId="77777777" w:rsidR="00A41DBB" w:rsidRPr="00252D7B" w:rsidRDefault="00A41DBB" w:rsidP="00A41DBB">
      <w:pPr>
        <w:pStyle w:val="Ttulo3"/>
        <w:spacing w:before="120" w:after="120"/>
        <w:rPr>
          <w:rFonts w:asciiTheme="minorHAnsi" w:hAnsiTheme="minorHAnsi" w:cstheme="minorHAnsi"/>
        </w:rPr>
      </w:pPr>
      <w:bookmarkStart w:id="366" w:name="_Toc95906805"/>
      <w:bookmarkStart w:id="367" w:name="_Toc97215849"/>
      <w:bookmarkStart w:id="368" w:name="_Toc103680574"/>
      <w:bookmarkEnd w:id="361"/>
      <w:bookmarkEnd w:id="362"/>
      <w:r w:rsidRPr="00252D7B">
        <w:rPr>
          <w:rFonts w:asciiTheme="minorHAnsi" w:hAnsiTheme="minorHAnsi" w:cstheme="minorHAnsi"/>
        </w:rPr>
        <w:t>Principais metas não alcançadas, principais desafios, ações e perspectivas para os próximos exercícios.</w:t>
      </w:r>
      <w:bookmarkStart w:id="369" w:name="_Toc64571549"/>
      <w:bookmarkStart w:id="370" w:name="_Toc94012543"/>
      <w:bookmarkStart w:id="371" w:name="_Toc95830278"/>
      <w:bookmarkStart w:id="372" w:name="_Toc64571550"/>
      <w:bookmarkStart w:id="373" w:name="_Toc94012544"/>
      <w:bookmarkStart w:id="374" w:name="_Toc95830279"/>
      <w:bookmarkEnd w:id="366"/>
      <w:bookmarkEnd w:id="367"/>
      <w:bookmarkEnd w:id="368"/>
    </w:p>
    <w:p w14:paraId="6F9CC459" w14:textId="77777777" w:rsidR="001A0A10" w:rsidRPr="00252D7B" w:rsidRDefault="00A41DBB" w:rsidP="00A41DBB">
      <w:pPr>
        <w:widowControl/>
        <w:autoSpaceDE/>
        <w:autoSpaceDN/>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A normatização de diversos processos é um dos desafios para os próximos exercícios, em especial:</w:t>
      </w:r>
    </w:p>
    <w:p w14:paraId="34114A2A" w14:textId="58EF4592" w:rsidR="001A0A10" w:rsidRPr="00252D7B" w:rsidRDefault="00EB4F32" w:rsidP="001A0A10">
      <w:pPr>
        <w:pStyle w:val="PargrafodaLista"/>
        <w:numPr>
          <w:ilvl w:val="0"/>
          <w:numId w:val="4"/>
        </w:numPr>
        <w:spacing w:before="120" w:after="120"/>
        <w:ind w:left="992" w:hanging="357"/>
        <w:contextualSpacing w:val="0"/>
        <w:jc w:val="both"/>
        <w:rPr>
          <w:rFonts w:asciiTheme="minorHAnsi" w:hAnsiTheme="minorHAnsi" w:cstheme="minorHAnsi"/>
          <w:sz w:val="24"/>
          <w:szCs w:val="24"/>
        </w:rPr>
      </w:pPr>
      <w:r w:rsidRPr="00252D7B">
        <w:rPr>
          <w:rFonts w:asciiTheme="minorHAnsi" w:hAnsiTheme="minorHAnsi" w:cstheme="minorHAnsi"/>
          <w:sz w:val="24"/>
          <w:szCs w:val="24"/>
        </w:rPr>
        <w:t>O</w:t>
      </w:r>
      <w:r w:rsidR="00A41DBB" w:rsidRPr="00252D7B">
        <w:rPr>
          <w:rFonts w:asciiTheme="minorHAnsi" w:hAnsiTheme="minorHAnsi" w:cstheme="minorHAnsi"/>
          <w:sz w:val="24"/>
          <w:szCs w:val="24"/>
        </w:rPr>
        <w:t xml:space="preserve"> estabelecimento de diretrizes para a realização de </w:t>
      </w:r>
      <w:r w:rsidR="00A41DBB" w:rsidRPr="00252D7B">
        <w:rPr>
          <w:rFonts w:asciiTheme="minorHAnsi" w:hAnsiTheme="minorHAnsi" w:cstheme="minorHAnsi"/>
          <w:i/>
          <w:iCs/>
          <w:sz w:val="24"/>
          <w:szCs w:val="24"/>
        </w:rPr>
        <w:t>Due Diligence</w:t>
      </w:r>
      <w:r w:rsidR="00A41DBB" w:rsidRPr="00252D7B">
        <w:rPr>
          <w:rFonts w:asciiTheme="minorHAnsi" w:hAnsiTheme="minorHAnsi" w:cstheme="minorHAnsi"/>
          <w:sz w:val="24"/>
          <w:szCs w:val="24"/>
        </w:rPr>
        <w:t xml:space="preserve"> nas contratações;</w:t>
      </w:r>
    </w:p>
    <w:p w14:paraId="72A57255" w14:textId="77777777" w:rsidR="00EB4F32" w:rsidRPr="00252D7B" w:rsidRDefault="00EB4F32" w:rsidP="001A0A10">
      <w:pPr>
        <w:pStyle w:val="PargrafodaLista"/>
        <w:numPr>
          <w:ilvl w:val="0"/>
          <w:numId w:val="4"/>
        </w:numPr>
        <w:spacing w:before="120" w:after="120"/>
        <w:ind w:left="992" w:hanging="357"/>
        <w:contextualSpacing w:val="0"/>
        <w:jc w:val="both"/>
        <w:rPr>
          <w:rFonts w:asciiTheme="minorHAnsi" w:hAnsiTheme="minorHAnsi" w:cstheme="minorHAnsi"/>
          <w:sz w:val="24"/>
          <w:szCs w:val="24"/>
        </w:rPr>
      </w:pPr>
      <w:r w:rsidRPr="00252D7B">
        <w:rPr>
          <w:rFonts w:asciiTheme="minorHAnsi" w:hAnsiTheme="minorHAnsi" w:cstheme="minorHAnsi"/>
          <w:sz w:val="24"/>
          <w:szCs w:val="24"/>
        </w:rPr>
        <w:t>O</w:t>
      </w:r>
      <w:r w:rsidR="00A41DBB" w:rsidRPr="00252D7B">
        <w:rPr>
          <w:rFonts w:asciiTheme="minorHAnsi" w:hAnsiTheme="minorHAnsi" w:cstheme="minorHAnsi"/>
          <w:sz w:val="24"/>
          <w:szCs w:val="24"/>
        </w:rPr>
        <w:t>timização dos procedimentos de aplicação de sanções, por meio de atualização da Norma vigente e implementação de recursos tecnológicos para seu acompanhamento;</w:t>
      </w:r>
    </w:p>
    <w:p w14:paraId="7A6643AB" w14:textId="77777777" w:rsidR="00EB4F32" w:rsidRPr="00252D7B" w:rsidRDefault="00EB4F32" w:rsidP="001A0A10">
      <w:pPr>
        <w:pStyle w:val="PargrafodaLista"/>
        <w:numPr>
          <w:ilvl w:val="0"/>
          <w:numId w:val="4"/>
        </w:numPr>
        <w:spacing w:before="120" w:after="120"/>
        <w:ind w:left="992" w:hanging="357"/>
        <w:contextualSpacing w:val="0"/>
        <w:jc w:val="both"/>
        <w:rPr>
          <w:rFonts w:asciiTheme="minorHAnsi" w:hAnsiTheme="minorHAnsi" w:cstheme="minorHAnsi"/>
          <w:sz w:val="24"/>
          <w:szCs w:val="24"/>
        </w:rPr>
      </w:pPr>
      <w:r w:rsidRPr="00252D7B">
        <w:rPr>
          <w:rFonts w:asciiTheme="minorHAnsi" w:hAnsiTheme="minorHAnsi" w:cstheme="minorHAnsi"/>
          <w:sz w:val="24"/>
          <w:szCs w:val="24"/>
        </w:rPr>
        <w:t>A</w:t>
      </w:r>
      <w:r w:rsidR="00A41DBB" w:rsidRPr="00252D7B">
        <w:rPr>
          <w:rFonts w:asciiTheme="minorHAnsi" w:hAnsiTheme="minorHAnsi" w:cstheme="minorHAnsi"/>
          <w:sz w:val="24"/>
          <w:szCs w:val="24"/>
        </w:rPr>
        <w:t>provação do Manual de Garantias Contratuais, a fim de melhor orientar os gestores e fiscais de contrato quanto ao seu recebimento;</w:t>
      </w:r>
    </w:p>
    <w:p w14:paraId="4A6AE41C" w14:textId="77777777" w:rsidR="00EB4F32" w:rsidRPr="00252D7B" w:rsidRDefault="00A41DBB" w:rsidP="001A0A10">
      <w:pPr>
        <w:pStyle w:val="PargrafodaLista"/>
        <w:numPr>
          <w:ilvl w:val="0"/>
          <w:numId w:val="4"/>
        </w:numPr>
        <w:spacing w:before="120" w:after="120"/>
        <w:ind w:left="992" w:hanging="357"/>
        <w:contextualSpacing w:val="0"/>
        <w:jc w:val="both"/>
        <w:rPr>
          <w:rFonts w:asciiTheme="minorHAnsi" w:hAnsiTheme="minorHAnsi" w:cstheme="minorHAnsi"/>
          <w:sz w:val="24"/>
          <w:szCs w:val="24"/>
        </w:rPr>
      </w:pPr>
      <w:r w:rsidRPr="00252D7B">
        <w:rPr>
          <w:rFonts w:asciiTheme="minorHAnsi" w:hAnsiTheme="minorHAnsi" w:cstheme="minorHAnsi"/>
          <w:sz w:val="24"/>
          <w:szCs w:val="24"/>
        </w:rPr>
        <w:lastRenderedPageBreak/>
        <w:t>Norma específica para Reconhecimento de Dívida;</w:t>
      </w:r>
    </w:p>
    <w:p w14:paraId="6226269B" w14:textId="77777777" w:rsidR="00EB4F32" w:rsidRPr="00252D7B" w:rsidRDefault="00EB4F32" w:rsidP="001A0A10">
      <w:pPr>
        <w:pStyle w:val="PargrafodaLista"/>
        <w:numPr>
          <w:ilvl w:val="0"/>
          <w:numId w:val="4"/>
        </w:numPr>
        <w:spacing w:before="120" w:after="120"/>
        <w:ind w:left="992" w:hanging="357"/>
        <w:contextualSpacing w:val="0"/>
        <w:jc w:val="both"/>
        <w:rPr>
          <w:rFonts w:asciiTheme="minorHAnsi" w:hAnsiTheme="minorHAnsi" w:cstheme="minorHAnsi"/>
          <w:sz w:val="24"/>
          <w:szCs w:val="24"/>
        </w:rPr>
      </w:pPr>
      <w:r w:rsidRPr="00252D7B">
        <w:rPr>
          <w:rFonts w:asciiTheme="minorHAnsi" w:hAnsiTheme="minorHAnsi" w:cstheme="minorHAnsi"/>
          <w:sz w:val="24"/>
          <w:szCs w:val="24"/>
        </w:rPr>
        <w:t>I</w:t>
      </w:r>
      <w:r w:rsidR="00A41DBB" w:rsidRPr="00252D7B">
        <w:rPr>
          <w:rFonts w:asciiTheme="minorHAnsi" w:hAnsiTheme="minorHAnsi" w:cstheme="minorHAnsi"/>
          <w:sz w:val="24"/>
          <w:szCs w:val="24"/>
        </w:rPr>
        <w:t>mplementação de novas minutas de Editais e Contratos padrão aprovadas previamente pela Procuradoria Jurídica</w:t>
      </w:r>
      <w:bookmarkEnd w:id="369"/>
      <w:bookmarkEnd w:id="370"/>
      <w:bookmarkEnd w:id="371"/>
      <w:r w:rsidR="00A41DBB" w:rsidRPr="00252D7B">
        <w:rPr>
          <w:rFonts w:asciiTheme="minorHAnsi" w:hAnsiTheme="minorHAnsi" w:cstheme="minorHAnsi"/>
          <w:sz w:val="24"/>
          <w:szCs w:val="24"/>
        </w:rPr>
        <w:t>;</w:t>
      </w:r>
    </w:p>
    <w:p w14:paraId="0021E91C" w14:textId="77777777" w:rsidR="00EB4F32" w:rsidRPr="00252D7B" w:rsidRDefault="00EB4F32" w:rsidP="001A0A10">
      <w:pPr>
        <w:pStyle w:val="PargrafodaLista"/>
        <w:numPr>
          <w:ilvl w:val="0"/>
          <w:numId w:val="4"/>
        </w:numPr>
        <w:spacing w:before="120" w:after="120"/>
        <w:ind w:left="992" w:hanging="357"/>
        <w:contextualSpacing w:val="0"/>
        <w:jc w:val="both"/>
        <w:rPr>
          <w:rFonts w:asciiTheme="minorHAnsi" w:hAnsiTheme="minorHAnsi" w:cstheme="minorHAnsi"/>
          <w:sz w:val="24"/>
          <w:szCs w:val="24"/>
        </w:rPr>
      </w:pPr>
      <w:r w:rsidRPr="00252D7B">
        <w:rPr>
          <w:rFonts w:asciiTheme="minorHAnsi" w:hAnsiTheme="minorHAnsi" w:cstheme="minorHAnsi"/>
          <w:sz w:val="24"/>
          <w:szCs w:val="24"/>
        </w:rPr>
        <w:t>C</w:t>
      </w:r>
      <w:r w:rsidR="00A41DBB" w:rsidRPr="00252D7B">
        <w:rPr>
          <w:rFonts w:asciiTheme="minorHAnsi" w:hAnsiTheme="minorHAnsi" w:cstheme="minorHAnsi"/>
          <w:sz w:val="24"/>
          <w:szCs w:val="24"/>
        </w:rPr>
        <w:t>onclusão do mapeamento dos processos;</w:t>
      </w:r>
    </w:p>
    <w:p w14:paraId="7CBA6664" w14:textId="634EF78A" w:rsidR="00A41DBB" w:rsidRPr="00252D7B" w:rsidRDefault="00EB4F32" w:rsidP="001A0A10">
      <w:pPr>
        <w:pStyle w:val="PargrafodaLista"/>
        <w:numPr>
          <w:ilvl w:val="0"/>
          <w:numId w:val="4"/>
        </w:numPr>
        <w:spacing w:before="120" w:after="120"/>
        <w:ind w:left="992" w:hanging="357"/>
        <w:contextualSpacing w:val="0"/>
        <w:jc w:val="both"/>
        <w:rPr>
          <w:rFonts w:asciiTheme="minorHAnsi" w:hAnsiTheme="minorHAnsi" w:cstheme="minorHAnsi"/>
          <w:sz w:val="24"/>
          <w:szCs w:val="24"/>
        </w:rPr>
      </w:pPr>
      <w:r w:rsidRPr="00252D7B">
        <w:rPr>
          <w:rFonts w:asciiTheme="minorHAnsi" w:hAnsiTheme="minorHAnsi" w:cstheme="minorHAnsi"/>
          <w:sz w:val="24"/>
          <w:szCs w:val="24"/>
        </w:rPr>
        <w:t>E</w:t>
      </w:r>
      <w:r w:rsidR="00A41DBB" w:rsidRPr="00252D7B">
        <w:rPr>
          <w:rFonts w:asciiTheme="minorHAnsi" w:hAnsiTheme="minorHAnsi" w:cstheme="minorHAnsi"/>
          <w:sz w:val="24"/>
          <w:szCs w:val="24"/>
        </w:rPr>
        <w:t>laboração de Regulamento de Vendas.</w:t>
      </w:r>
    </w:p>
    <w:p w14:paraId="01F15220" w14:textId="0EEE49B0" w:rsidR="001C366F" w:rsidRPr="00252D7B" w:rsidRDefault="001C366F">
      <w:pPr>
        <w:widowControl/>
        <w:autoSpaceDE/>
        <w:autoSpaceDN/>
        <w:spacing w:after="160" w:line="259" w:lineRule="auto"/>
        <w:rPr>
          <w:rFonts w:asciiTheme="minorHAnsi" w:hAnsiTheme="minorHAnsi" w:cstheme="minorHAnsi"/>
          <w:sz w:val="24"/>
          <w:szCs w:val="24"/>
        </w:rPr>
      </w:pPr>
      <w:r w:rsidRPr="00252D7B">
        <w:rPr>
          <w:rFonts w:asciiTheme="minorHAnsi" w:hAnsiTheme="minorHAnsi" w:cstheme="minorHAnsi"/>
          <w:sz w:val="24"/>
          <w:szCs w:val="24"/>
        </w:rPr>
        <w:br w:type="page"/>
      </w:r>
    </w:p>
    <w:p w14:paraId="4030E29A" w14:textId="77777777" w:rsidR="00A41DBB" w:rsidRPr="00252D7B" w:rsidRDefault="00A41DBB" w:rsidP="00F100A9">
      <w:pPr>
        <w:pStyle w:val="Ttulo2"/>
      </w:pPr>
      <w:bookmarkStart w:id="375" w:name="_Toc95906806"/>
      <w:bookmarkStart w:id="376" w:name="_Toc97215850"/>
      <w:bookmarkStart w:id="377" w:name="_Toc103680575"/>
      <w:r w:rsidRPr="00252D7B">
        <w:lastRenderedPageBreak/>
        <w:t>Gestão patrimonial e de infraestrutura</w:t>
      </w:r>
      <w:bookmarkEnd w:id="372"/>
      <w:bookmarkEnd w:id="373"/>
      <w:bookmarkEnd w:id="374"/>
      <w:bookmarkEnd w:id="375"/>
      <w:bookmarkEnd w:id="376"/>
      <w:bookmarkEnd w:id="377"/>
    </w:p>
    <w:p w14:paraId="6998850F" w14:textId="7F4E4563" w:rsidR="00A41DBB" w:rsidRPr="00252D7B" w:rsidRDefault="00A41DBB" w:rsidP="001A1EB0">
      <w:pPr>
        <w:spacing w:before="120" w:after="120"/>
        <w:jc w:val="both"/>
        <w:rPr>
          <w:rFonts w:asciiTheme="minorHAnsi" w:hAnsiTheme="minorHAnsi" w:cstheme="minorHAnsi"/>
          <w:sz w:val="24"/>
          <w:szCs w:val="24"/>
        </w:rPr>
      </w:pPr>
      <w:bookmarkStart w:id="378" w:name="_Toc94012546"/>
      <w:bookmarkStart w:id="379" w:name="_Toc95830280"/>
      <w:r w:rsidRPr="00252D7B">
        <w:rPr>
          <w:rFonts w:asciiTheme="minorHAnsi" w:hAnsiTheme="minorHAnsi" w:cstheme="minorHAnsi"/>
          <w:sz w:val="24"/>
          <w:szCs w:val="24"/>
        </w:rPr>
        <w:t>O ativo patrimonial da Valec é composto por bens imóveis, intangíveis e edificações, distribuídos ao longo dos trajetos das ferrovias FNS e FIOL, além da sede, em Brasília/DF, totalizando um patrimônio de R$ 20.236.851,96 (vinte milhões, duzentos e trinta e seis mil, oitocentos e cinquenta e um reais e noventa e seis centavos), em valor contábil.</w:t>
      </w:r>
    </w:p>
    <w:p w14:paraId="13EDB9BE" w14:textId="77777777" w:rsidR="00854A4C" w:rsidRPr="00252D7B" w:rsidRDefault="00854A4C" w:rsidP="001A1EB0">
      <w:pPr>
        <w:spacing w:before="120" w:after="120"/>
        <w:jc w:val="both"/>
        <w:rPr>
          <w:rFonts w:asciiTheme="minorHAnsi" w:hAnsiTheme="minorHAnsi" w:cstheme="minorHAnsi"/>
          <w:sz w:val="24"/>
          <w:szCs w:val="24"/>
        </w:rPr>
      </w:pPr>
    </w:p>
    <w:p w14:paraId="1B35718F" w14:textId="5660F297" w:rsidR="00A41DBB" w:rsidRPr="00252D7B" w:rsidRDefault="00A41DBB" w:rsidP="00A41DBB">
      <w:pPr>
        <w:pStyle w:val="Legenda"/>
        <w:keepNext/>
        <w:spacing w:before="120" w:after="120"/>
        <w:jc w:val="center"/>
        <w:rPr>
          <w:rFonts w:asciiTheme="minorHAnsi" w:hAnsiTheme="minorHAnsi" w:cstheme="minorHAnsi"/>
          <w:sz w:val="20"/>
          <w:szCs w:val="20"/>
        </w:rPr>
      </w:pPr>
      <w:bookmarkStart w:id="380" w:name="_Toc103680756"/>
      <w:r w:rsidRPr="00252D7B">
        <w:rPr>
          <w:rFonts w:asciiTheme="minorHAnsi" w:hAnsiTheme="minorHAnsi" w:cstheme="minorHAnsi"/>
          <w:sz w:val="20"/>
          <w:szCs w:val="20"/>
        </w:rPr>
        <w:t xml:space="preserve">Figura </w:t>
      </w:r>
      <w:r w:rsidR="00F46BDB" w:rsidRPr="00252D7B">
        <w:rPr>
          <w:rFonts w:asciiTheme="minorHAnsi" w:hAnsiTheme="minorHAnsi" w:cstheme="minorHAnsi"/>
          <w:sz w:val="20"/>
          <w:szCs w:val="20"/>
        </w:rPr>
        <w:fldChar w:fldCharType="begin"/>
      </w:r>
      <w:r w:rsidR="00F46BDB" w:rsidRPr="00252D7B">
        <w:rPr>
          <w:rFonts w:asciiTheme="minorHAnsi" w:hAnsiTheme="minorHAnsi" w:cstheme="minorHAnsi"/>
          <w:sz w:val="20"/>
          <w:szCs w:val="20"/>
        </w:rPr>
        <w:instrText xml:space="preserve"> SEQ Figura \* ARABIC </w:instrText>
      </w:r>
      <w:r w:rsidR="00F46BDB"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20</w:t>
      </w:r>
      <w:r w:rsidR="00F46BDB" w:rsidRPr="00252D7B">
        <w:rPr>
          <w:rFonts w:asciiTheme="minorHAnsi" w:hAnsiTheme="minorHAnsi" w:cstheme="minorHAnsi"/>
          <w:sz w:val="20"/>
          <w:szCs w:val="20"/>
        </w:rPr>
        <w:fldChar w:fldCharType="end"/>
      </w:r>
      <w:r w:rsidRPr="00252D7B">
        <w:rPr>
          <w:rFonts w:asciiTheme="minorHAnsi" w:hAnsiTheme="minorHAnsi" w:cstheme="minorHAnsi"/>
          <w:sz w:val="20"/>
          <w:szCs w:val="20"/>
        </w:rPr>
        <w:t xml:space="preserve"> – Resultados da Gestão Patrimonial</w:t>
      </w:r>
      <w:bookmarkEnd w:id="380"/>
    </w:p>
    <w:p w14:paraId="6C523E02" w14:textId="77777777" w:rsidR="00A41DBB" w:rsidRPr="00252D7B" w:rsidRDefault="00A41DBB" w:rsidP="00A41DBB">
      <w:pPr>
        <w:spacing w:before="120" w:after="120"/>
        <w:jc w:val="center"/>
        <w:rPr>
          <w:rFonts w:asciiTheme="minorHAnsi" w:hAnsiTheme="minorHAnsi" w:cstheme="minorHAnsi"/>
        </w:rPr>
      </w:pPr>
      <w:r w:rsidRPr="00252D7B">
        <w:rPr>
          <w:rFonts w:asciiTheme="minorHAnsi" w:hAnsiTheme="minorHAnsi" w:cstheme="minorHAnsi"/>
          <w:noProof/>
        </w:rPr>
        <w:drawing>
          <wp:inline distT="0" distB="0" distL="0" distR="0" wp14:anchorId="559DE8E7" wp14:editId="0EDE024B">
            <wp:extent cx="4127376" cy="2297876"/>
            <wp:effectExtent l="0" t="0" r="6985" b="7620"/>
            <wp:docPr id="1130521998" name="Imagem 1130521998"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Interface gráfica do usuário&#10;&#10;Descrição gerada automaticamente"/>
                    <pic:cNvPicPr/>
                  </pic:nvPicPr>
                  <pic:blipFill>
                    <a:blip r:embed="rId78"/>
                    <a:stretch>
                      <a:fillRect/>
                    </a:stretch>
                  </pic:blipFill>
                  <pic:spPr>
                    <a:xfrm>
                      <a:off x="0" y="0"/>
                      <a:ext cx="4207361" cy="2342407"/>
                    </a:xfrm>
                    <a:prstGeom prst="rect">
                      <a:avLst/>
                    </a:prstGeom>
                  </pic:spPr>
                </pic:pic>
              </a:graphicData>
            </a:graphic>
          </wp:inline>
        </w:drawing>
      </w:r>
    </w:p>
    <w:p w14:paraId="2A21C25F" w14:textId="44F89B8D" w:rsidR="00A41DBB" w:rsidRPr="00252D7B" w:rsidRDefault="00A41DBB" w:rsidP="001C366F">
      <w:pPr>
        <w:pStyle w:val="Legenda"/>
        <w:keepNext/>
        <w:spacing w:before="120" w:after="120"/>
        <w:jc w:val="center"/>
        <w:rPr>
          <w:rFonts w:asciiTheme="minorHAnsi" w:hAnsiTheme="minorHAnsi" w:cstheme="minorHAnsi"/>
          <w:sz w:val="20"/>
          <w:szCs w:val="20"/>
        </w:rPr>
      </w:pPr>
      <w:r w:rsidRPr="00252D7B">
        <w:rPr>
          <w:rFonts w:asciiTheme="minorHAnsi" w:hAnsiTheme="minorHAnsi" w:cstheme="minorHAnsi"/>
          <w:sz w:val="20"/>
          <w:szCs w:val="20"/>
        </w:rPr>
        <w:t xml:space="preserve">   Fonte: SIADS</w:t>
      </w:r>
    </w:p>
    <w:p w14:paraId="3BC34827" w14:textId="77777777" w:rsidR="001C366F" w:rsidRPr="00252D7B" w:rsidRDefault="001C366F" w:rsidP="001C366F">
      <w:pPr>
        <w:rPr>
          <w:rFonts w:asciiTheme="minorHAnsi" w:hAnsiTheme="minorHAnsi" w:cstheme="minorHAnsi"/>
        </w:rPr>
      </w:pPr>
    </w:p>
    <w:p w14:paraId="6C2A82DC" w14:textId="14B26E16" w:rsidR="00A41DBB" w:rsidRPr="00252D7B" w:rsidRDefault="00A41DBB" w:rsidP="00A41DBB">
      <w:pPr>
        <w:pStyle w:val="Legenda"/>
        <w:keepNext/>
        <w:spacing w:before="120" w:after="120"/>
        <w:jc w:val="center"/>
        <w:rPr>
          <w:rFonts w:asciiTheme="minorHAnsi" w:hAnsiTheme="minorHAnsi" w:cstheme="minorHAnsi"/>
          <w:sz w:val="20"/>
          <w:szCs w:val="20"/>
        </w:rPr>
      </w:pPr>
      <w:bookmarkStart w:id="381" w:name="_Toc103680757"/>
      <w:r w:rsidRPr="00252D7B">
        <w:rPr>
          <w:rFonts w:asciiTheme="minorHAnsi" w:hAnsiTheme="minorHAnsi" w:cstheme="minorHAnsi"/>
          <w:sz w:val="20"/>
          <w:szCs w:val="20"/>
        </w:rPr>
        <w:t xml:space="preserve">Figura </w:t>
      </w:r>
      <w:r w:rsidR="00F46BDB" w:rsidRPr="00252D7B">
        <w:rPr>
          <w:rFonts w:asciiTheme="minorHAnsi" w:hAnsiTheme="minorHAnsi" w:cstheme="minorHAnsi"/>
          <w:sz w:val="20"/>
          <w:szCs w:val="20"/>
        </w:rPr>
        <w:fldChar w:fldCharType="begin"/>
      </w:r>
      <w:r w:rsidR="00F46BDB" w:rsidRPr="00252D7B">
        <w:rPr>
          <w:rFonts w:asciiTheme="minorHAnsi" w:hAnsiTheme="minorHAnsi" w:cstheme="minorHAnsi"/>
          <w:sz w:val="20"/>
          <w:szCs w:val="20"/>
        </w:rPr>
        <w:instrText xml:space="preserve"> SEQ Figura \* ARABIC </w:instrText>
      </w:r>
      <w:r w:rsidR="00F46BDB"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21</w:t>
      </w:r>
      <w:r w:rsidR="00F46BDB" w:rsidRPr="00252D7B">
        <w:rPr>
          <w:rFonts w:asciiTheme="minorHAnsi" w:hAnsiTheme="minorHAnsi" w:cstheme="minorHAnsi"/>
          <w:sz w:val="20"/>
          <w:szCs w:val="20"/>
        </w:rPr>
        <w:fldChar w:fldCharType="end"/>
      </w:r>
      <w:r w:rsidRPr="00252D7B">
        <w:rPr>
          <w:rFonts w:asciiTheme="minorHAnsi" w:hAnsiTheme="minorHAnsi" w:cstheme="minorHAnsi"/>
          <w:sz w:val="20"/>
          <w:szCs w:val="20"/>
        </w:rPr>
        <w:t xml:space="preserve"> – Distribuição Patrimonial por Valor Contábil</w:t>
      </w:r>
      <w:bookmarkEnd w:id="381"/>
    </w:p>
    <w:p w14:paraId="35EB35A6" w14:textId="77777777" w:rsidR="00A41DBB" w:rsidRPr="00252D7B" w:rsidRDefault="00A41DBB" w:rsidP="00A41DBB">
      <w:pPr>
        <w:spacing w:before="120" w:after="120"/>
        <w:jc w:val="center"/>
        <w:rPr>
          <w:rFonts w:asciiTheme="minorHAnsi" w:hAnsiTheme="minorHAnsi" w:cstheme="minorHAnsi"/>
        </w:rPr>
      </w:pPr>
      <w:r w:rsidRPr="00252D7B">
        <w:rPr>
          <w:rFonts w:asciiTheme="minorHAnsi" w:hAnsiTheme="minorHAnsi" w:cstheme="minorHAnsi"/>
          <w:noProof/>
        </w:rPr>
        <w:drawing>
          <wp:inline distT="0" distB="0" distL="0" distR="0" wp14:anchorId="6E1B72B6" wp14:editId="67EC31DB">
            <wp:extent cx="2713512" cy="3132870"/>
            <wp:effectExtent l="0" t="0" r="0" b="0"/>
            <wp:docPr id="1130521999" name="Imagem 1130521999"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Mapa&#10;&#10;Descrição gerada automaticamente"/>
                    <pic:cNvPicPr/>
                  </pic:nvPicPr>
                  <pic:blipFill rotWithShape="1">
                    <a:blip r:embed="rId79"/>
                    <a:srcRect t="15449"/>
                    <a:stretch/>
                  </pic:blipFill>
                  <pic:spPr bwMode="auto">
                    <a:xfrm>
                      <a:off x="0" y="0"/>
                      <a:ext cx="2771840" cy="3200212"/>
                    </a:xfrm>
                    <a:prstGeom prst="rect">
                      <a:avLst/>
                    </a:prstGeom>
                    <a:ln>
                      <a:noFill/>
                    </a:ln>
                    <a:extLst>
                      <a:ext uri="{53640926-AAD7-44D8-BBD7-CCE9431645EC}">
                        <a14:shadowObscured xmlns:a14="http://schemas.microsoft.com/office/drawing/2010/main"/>
                      </a:ext>
                    </a:extLst>
                  </pic:spPr>
                </pic:pic>
              </a:graphicData>
            </a:graphic>
          </wp:inline>
        </w:drawing>
      </w:r>
    </w:p>
    <w:p w14:paraId="1B75E15F" w14:textId="57D43EC9" w:rsidR="00A41DBB" w:rsidRPr="00252D7B" w:rsidRDefault="00A41DBB" w:rsidP="001C366F">
      <w:pPr>
        <w:pStyle w:val="Legenda"/>
        <w:keepNext/>
        <w:spacing w:before="120" w:after="120"/>
        <w:jc w:val="center"/>
        <w:rPr>
          <w:rFonts w:asciiTheme="minorHAnsi" w:hAnsiTheme="minorHAnsi" w:cstheme="minorHAnsi"/>
          <w:sz w:val="20"/>
          <w:szCs w:val="20"/>
        </w:rPr>
      </w:pPr>
      <w:r w:rsidRPr="00252D7B">
        <w:rPr>
          <w:rFonts w:asciiTheme="minorHAnsi" w:hAnsiTheme="minorHAnsi" w:cstheme="minorHAnsi"/>
          <w:sz w:val="20"/>
          <w:szCs w:val="20"/>
        </w:rPr>
        <w:t>Fonte: SIADS</w:t>
      </w:r>
    </w:p>
    <w:p w14:paraId="1453B89B" w14:textId="77777777" w:rsidR="00A41DBB" w:rsidRPr="00252D7B" w:rsidRDefault="00A41DBB" w:rsidP="00A41DBB">
      <w:pPr>
        <w:spacing w:before="120" w:after="120"/>
        <w:jc w:val="both"/>
        <w:rPr>
          <w:rFonts w:asciiTheme="minorHAnsi" w:hAnsiTheme="minorHAnsi" w:cstheme="minorHAnsi"/>
        </w:rPr>
      </w:pPr>
    </w:p>
    <w:p w14:paraId="6ADDC389" w14:textId="77777777" w:rsidR="00A41DBB" w:rsidRPr="00252D7B" w:rsidRDefault="00A41DBB" w:rsidP="00A41DBB">
      <w:pPr>
        <w:spacing w:before="120" w:after="120"/>
        <w:jc w:val="both"/>
        <w:rPr>
          <w:rFonts w:asciiTheme="minorHAnsi" w:hAnsiTheme="minorHAnsi" w:cstheme="minorHAnsi"/>
          <w:sz w:val="24"/>
          <w:szCs w:val="24"/>
          <w:lang w:eastAsia="pt-BR"/>
        </w:rPr>
      </w:pPr>
      <w:r w:rsidRPr="00252D7B">
        <w:rPr>
          <w:rFonts w:asciiTheme="minorHAnsi" w:hAnsiTheme="minorHAnsi" w:cstheme="minorHAnsi"/>
          <w:sz w:val="24"/>
          <w:szCs w:val="24"/>
          <w:lang w:eastAsia="pt-BR"/>
        </w:rPr>
        <w:t xml:space="preserve">Além da estrutura patrimonial, parte da fluidez das atividades de construção da Valec são garantidas pelos serviços de suporte logístico, quais sejam: gestão documental e arquivística; locação de </w:t>
      </w:r>
      <w:r w:rsidRPr="00252D7B">
        <w:rPr>
          <w:rFonts w:asciiTheme="minorHAnsi" w:hAnsiTheme="minorHAnsi" w:cstheme="minorHAnsi"/>
          <w:sz w:val="24"/>
          <w:szCs w:val="24"/>
          <w:lang w:eastAsia="pt-BR"/>
        </w:rPr>
        <w:lastRenderedPageBreak/>
        <w:t>veículos, motoristas, diárias e passagens para transporte de empregados e autoridades; vigilância para canteiros de obras e escritórios; patrimônio para uso dos empregados; infraestrutura adequada para as equipes de produção intelectual; limpeza e conservação que tem garantido a Valec como zona livre de COVID-19.</w:t>
      </w:r>
    </w:p>
    <w:p w14:paraId="58A34592" w14:textId="2EB8AFB8" w:rsidR="00A41DBB" w:rsidRPr="00252D7B" w:rsidRDefault="00A41DBB" w:rsidP="00A41DBB">
      <w:pPr>
        <w:spacing w:before="120" w:after="120"/>
        <w:jc w:val="both"/>
        <w:rPr>
          <w:rFonts w:asciiTheme="minorHAnsi" w:hAnsiTheme="minorHAnsi" w:cstheme="minorHAnsi"/>
          <w:sz w:val="24"/>
          <w:szCs w:val="24"/>
          <w:lang w:eastAsia="pt-BR"/>
        </w:rPr>
      </w:pPr>
      <w:r w:rsidRPr="00252D7B">
        <w:rPr>
          <w:rFonts w:asciiTheme="minorHAnsi" w:hAnsiTheme="minorHAnsi" w:cstheme="minorHAnsi"/>
          <w:sz w:val="24"/>
          <w:szCs w:val="24"/>
          <w:lang w:eastAsia="pt-BR"/>
        </w:rPr>
        <w:t xml:space="preserve">Para compreensão dos gastos efetuados com tais serviços, </w:t>
      </w:r>
      <w:r w:rsidR="005D1A8F" w:rsidRPr="00252D7B">
        <w:rPr>
          <w:rFonts w:asciiTheme="minorHAnsi" w:hAnsiTheme="minorHAnsi" w:cstheme="minorHAnsi"/>
          <w:sz w:val="24"/>
          <w:szCs w:val="24"/>
          <w:lang w:eastAsia="pt-BR"/>
        </w:rPr>
        <w:t xml:space="preserve">a </w:t>
      </w:r>
      <w:r w:rsidR="005D1A8F" w:rsidRPr="00252D7B">
        <w:rPr>
          <w:rFonts w:asciiTheme="minorHAnsi" w:hAnsiTheme="minorHAnsi" w:cstheme="minorHAnsi"/>
          <w:sz w:val="24"/>
          <w:szCs w:val="24"/>
          <w:lang w:eastAsia="pt-BR"/>
        </w:rPr>
        <w:fldChar w:fldCharType="begin"/>
      </w:r>
      <w:r w:rsidR="005D1A8F" w:rsidRPr="00252D7B">
        <w:rPr>
          <w:rFonts w:asciiTheme="minorHAnsi" w:hAnsiTheme="minorHAnsi" w:cstheme="minorHAnsi"/>
          <w:sz w:val="24"/>
          <w:szCs w:val="24"/>
          <w:lang w:eastAsia="pt-BR"/>
        </w:rPr>
        <w:instrText xml:space="preserve"> REF _Ref97560146 \h  \* MERGEFORMAT </w:instrText>
      </w:r>
      <w:r w:rsidR="005D1A8F" w:rsidRPr="00252D7B">
        <w:rPr>
          <w:rFonts w:asciiTheme="minorHAnsi" w:hAnsiTheme="minorHAnsi" w:cstheme="minorHAnsi"/>
          <w:sz w:val="24"/>
          <w:szCs w:val="24"/>
          <w:lang w:eastAsia="pt-BR"/>
        </w:rPr>
      </w:r>
      <w:r w:rsidR="005D1A8F" w:rsidRPr="00252D7B">
        <w:rPr>
          <w:rFonts w:asciiTheme="minorHAnsi" w:hAnsiTheme="minorHAnsi" w:cstheme="minorHAnsi"/>
          <w:sz w:val="24"/>
          <w:szCs w:val="24"/>
          <w:lang w:eastAsia="pt-BR"/>
        </w:rPr>
        <w:fldChar w:fldCharType="separate"/>
      </w:r>
      <w:r w:rsidR="00C12888" w:rsidRPr="00C12888">
        <w:rPr>
          <w:rFonts w:asciiTheme="minorHAnsi" w:hAnsiTheme="minorHAnsi" w:cstheme="minorHAnsi"/>
          <w:sz w:val="24"/>
          <w:szCs w:val="24"/>
          <w:lang w:eastAsia="pt-BR"/>
        </w:rPr>
        <w:t>Figura 22</w:t>
      </w:r>
      <w:r w:rsidR="005D1A8F" w:rsidRPr="00252D7B">
        <w:rPr>
          <w:rFonts w:asciiTheme="minorHAnsi" w:hAnsiTheme="minorHAnsi" w:cstheme="minorHAnsi"/>
          <w:sz w:val="24"/>
          <w:szCs w:val="24"/>
          <w:lang w:eastAsia="pt-BR"/>
        </w:rPr>
        <w:fldChar w:fldCharType="end"/>
      </w:r>
      <w:r w:rsidR="005D1A8F" w:rsidRPr="00252D7B">
        <w:rPr>
          <w:rFonts w:asciiTheme="minorHAnsi" w:hAnsiTheme="minorHAnsi" w:cstheme="minorHAnsi"/>
          <w:sz w:val="24"/>
          <w:szCs w:val="24"/>
          <w:lang w:eastAsia="pt-BR"/>
        </w:rPr>
        <w:t xml:space="preserve"> </w:t>
      </w:r>
      <w:r w:rsidRPr="00252D7B">
        <w:rPr>
          <w:rFonts w:asciiTheme="minorHAnsi" w:hAnsiTheme="minorHAnsi" w:cstheme="minorHAnsi"/>
          <w:sz w:val="24"/>
          <w:szCs w:val="24"/>
          <w:lang w:eastAsia="pt-BR"/>
        </w:rPr>
        <w:t>apresenta a relação dos principais grupos contratuais e valores dispendidos no ano de 2021</w:t>
      </w:r>
      <w:r w:rsidR="005D1A8F" w:rsidRPr="00252D7B">
        <w:rPr>
          <w:rFonts w:asciiTheme="minorHAnsi" w:hAnsiTheme="minorHAnsi" w:cstheme="minorHAnsi"/>
          <w:sz w:val="24"/>
          <w:szCs w:val="24"/>
          <w:lang w:eastAsia="pt-BR"/>
        </w:rPr>
        <w:t>.</w:t>
      </w:r>
    </w:p>
    <w:p w14:paraId="4AAA77B5" w14:textId="77777777" w:rsidR="00854A4C" w:rsidRPr="00252D7B" w:rsidRDefault="00854A4C" w:rsidP="00A41DBB">
      <w:pPr>
        <w:spacing w:before="120" w:after="120"/>
        <w:jc w:val="both"/>
        <w:rPr>
          <w:rFonts w:asciiTheme="minorHAnsi" w:hAnsiTheme="minorHAnsi" w:cstheme="minorHAnsi"/>
          <w:sz w:val="24"/>
          <w:szCs w:val="24"/>
          <w:lang w:eastAsia="pt-BR"/>
        </w:rPr>
      </w:pPr>
    </w:p>
    <w:p w14:paraId="0AB0D3F9" w14:textId="75AFEEA1" w:rsidR="00A41DBB" w:rsidRPr="00252D7B" w:rsidRDefault="00A41DBB" w:rsidP="00A41DBB">
      <w:pPr>
        <w:pStyle w:val="Legenda"/>
        <w:keepNext/>
        <w:spacing w:before="120" w:after="120"/>
        <w:jc w:val="center"/>
        <w:rPr>
          <w:rFonts w:asciiTheme="minorHAnsi" w:hAnsiTheme="minorHAnsi" w:cstheme="minorHAnsi"/>
          <w:sz w:val="20"/>
          <w:szCs w:val="20"/>
        </w:rPr>
      </w:pPr>
      <w:bookmarkStart w:id="382" w:name="_Ref97560146"/>
      <w:bookmarkStart w:id="383" w:name="_Toc103680758"/>
      <w:r w:rsidRPr="00252D7B">
        <w:rPr>
          <w:rFonts w:asciiTheme="minorHAnsi" w:hAnsiTheme="minorHAnsi" w:cstheme="minorHAnsi"/>
          <w:sz w:val="20"/>
          <w:szCs w:val="20"/>
        </w:rPr>
        <w:t xml:space="preserve">Figura </w:t>
      </w:r>
      <w:r w:rsidR="00F46BDB" w:rsidRPr="00252D7B">
        <w:rPr>
          <w:rFonts w:asciiTheme="minorHAnsi" w:hAnsiTheme="minorHAnsi" w:cstheme="minorHAnsi"/>
          <w:sz w:val="20"/>
          <w:szCs w:val="20"/>
        </w:rPr>
        <w:fldChar w:fldCharType="begin"/>
      </w:r>
      <w:r w:rsidR="00F46BDB" w:rsidRPr="00252D7B">
        <w:rPr>
          <w:rFonts w:asciiTheme="minorHAnsi" w:hAnsiTheme="minorHAnsi" w:cstheme="minorHAnsi"/>
          <w:sz w:val="20"/>
          <w:szCs w:val="20"/>
        </w:rPr>
        <w:instrText xml:space="preserve"> SEQ Figura \* ARABIC </w:instrText>
      </w:r>
      <w:r w:rsidR="00F46BDB"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22</w:t>
      </w:r>
      <w:r w:rsidR="00F46BDB" w:rsidRPr="00252D7B">
        <w:rPr>
          <w:rFonts w:asciiTheme="minorHAnsi" w:hAnsiTheme="minorHAnsi" w:cstheme="minorHAnsi"/>
          <w:sz w:val="20"/>
          <w:szCs w:val="20"/>
        </w:rPr>
        <w:fldChar w:fldCharType="end"/>
      </w:r>
      <w:bookmarkEnd w:id="382"/>
      <w:r w:rsidRPr="00252D7B">
        <w:rPr>
          <w:rFonts w:asciiTheme="minorHAnsi" w:hAnsiTheme="minorHAnsi" w:cstheme="minorHAnsi"/>
          <w:sz w:val="20"/>
          <w:szCs w:val="20"/>
        </w:rPr>
        <w:t xml:space="preserve"> </w:t>
      </w:r>
      <w:r w:rsidR="00AF7AE4" w:rsidRPr="00252D7B">
        <w:rPr>
          <w:rFonts w:asciiTheme="minorHAnsi" w:hAnsiTheme="minorHAnsi" w:cstheme="minorHAnsi"/>
          <w:sz w:val="20"/>
          <w:szCs w:val="20"/>
        </w:rPr>
        <w:t>–</w:t>
      </w:r>
      <w:r w:rsidRPr="00252D7B">
        <w:rPr>
          <w:rFonts w:asciiTheme="minorHAnsi" w:hAnsiTheme="minorHAnsi" w:cstheme="minorHAnsi"/>
          <w:sz w:val="20"/>
          <w:szCs w:val="20"/>
        </w:rPr>
        <w:t xml:space="preserve"> Custos dos serviços administrativos 2021</w:t>
      </w:r>
      <w:bookmarkEnd w:id="383"/>
    </w:p>
    <w:p w14:paraId="3CC0BA72" w14:textId="77777777" w:rsidR="00A41DBB" w:rsidRPr="00252D7B" w:rsidRDefault="00A41DBB" w:rsidP="00A41DBB">
      <w:pPr>
        <w:spacing w:before="120" w:after="120"/>
        <w:jc w:val="center"/>
        <w:rPr>
          <w:rFonts w:asciiTheme="minorHAnsi" w:hAnsiTheme="minorHAnsi" w:cstheme="minorHAnsi"/>
        </w:rPr>
      </w:pPr>
      <w:r w:rsidRPr="00252D7B">
        <w:rPr>
          <w:rFonts w:asciiTheme="minorHAnsi" w:hAnsiTheme="minorHAnsi" w:cstheme="minorHAnsi"/>
          <w:noProof/>
        </w:rPr>
        <w:drawing>
          <wp:inline distT="0" distB="0" distL="0" distR="0" wp14:anchorId="37EC0A81" wp14:editId="78EBA79A">
            <wp:extent cx="4966853" cy="2147826"/>
            <wp:effectExtent l="0" t="0" r="5715" b="5080"/>
            <wp:docPr id="32" name="Imagem 32" descr="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Linha do tempo&#10;&#10;Descrição gerada automaticamente"/>
                    <pic:cNvPicPr/>
                  </pic:nvPicPr>
                  <pic:blipFill rotWithShape="1">
                    <a:blip r:embed="rId80"/>
                    <a:srcRect t="16792"/>
                    <a:stretch/>
                  </pic:blipFill>
                  <pic:spPr bwMode="auto">
                    <a:xfrm>
                      <a:off x="0" y="0"/>
                      <a:ext cx="4977319" cy="2152352"/>
                    </a:xfrm>
                    <a:prstGeom prst="rect">
                      <a:avLst/>
                    </a:prstGeom>
                    <a:ln>
                      <a:noFill/>
                    </a:ln>
                    <a:extLst>
                      <a:ext uri="{53640926-AAD7-44D8-BBD7-CCE9431645EC}">
                        <a14:shadowObscured xmlns:a14="http://schemas.microsoft.com/office/drawing/2010/main"/>
                      </a:ext>
                    </a:extLst>
                  </pic:spPr>
                </pic:pic>
              </a:graphicData>
            </a:graphic>
          </wp:inline>
        </w:drawing>
      </w:r>
    </w:p>
    <w:p w14:paraId="48BD69BA" w14:textId="46465599" w:rsidR="00A41DBB" w:rsidRPr="00252D7B" w:rsidRDefault="00A41DBB" w:rsidP="001C366F">
      <w:pPr>
        <w:pStyle w:val="Legenda"/>
        <w:keepNext/>
        <w:spacing w:before="120" w:after="120"/>
        <w:jc w:val="center"/>
        <w:rPr>
          <w:rFonts w:asciiTheme="minorHAnsi" w:hAnsiTheme="minorHAnsi" w:cstheme="minorHAnsi"/>
          <w:sz w:val="20"/>
          <w:szCs w:val="20"/>
        </w:rPr>
      </w:pPr>
      <w:r w:rsidRPr="00252D7B">
        <w:rPr>
          <w:rFonts w:asciiTheme="minorHAnsi" w:hAnsiTheme="minorHAnsi" w:cstheme="minorHAnsi"/>
          <w:sz w:val="20"/>
          <w:szCs w:val="20"/>
        </w:rPr>
        <w:t>Fonte: SIAFI</w:t>
      </w:r>
    </w:p>
    <w:p w14:paraId="258DD4E5" w14:textId="433D2623" w:rsidR="00A41DBB" w:rsidRPr="00252D7B" w:rsidRDefault="00A41DBB" w:rsidP="00A41DBB">
      <w:pPr>
        <w:spacing w:before="120" w:after="120"/>
        <w:rPr>
          <w:rFonts w:asciiTheme="minorHAnsi" w:hAnsiTheme="minorHAnsi" w:cstheme="minorHAnsi"/>
        </w:rPr>
      </w:pPr>
    </w:p>
    <w:p w14:paraId="1BECD360" w14:textId="77777777" w:rsidR="00CF6DA7" w:rsidRPr="00252D7B" w:rsidRDefault="00CF6DA7" w:rsidP="00A41DBB">
      <w:pPr>
        <w:spacing w:before="120" w:after="120"/>
        <w:rPr>
          <w:rFonts w:asciiTheme="minorHAnsi" w:hAnsiTheme="minorHAnsi" w:cstheme="minorHAnsi"/>
        </w:rPr>
      </w:pPr>
    </w:p>
    <w:p w14:paraId="4D2D243E" w14:textId="77777777" w:rsidR="00A41DBB" w:rsidRPr="00252D7B" w:rsidRDefault="00A41DBB" w:rsidP="00A41DBB">
      <w:pPr>
        <w:pStyle w:val="Ttulo3"/>
        <w:spacing w:before="120" w:after="120"/>
        <w:rPr>
          <w:rFonts w:asciiTheme="minorHAnsi" w:hAnsiTheme="minorHAnsi" w:cstheme="minorHAnsi"/>
        </w:rPr>
      </w:pPr>
      <w:bookmarkStart w:id="384" w:name="_Toc95906807"/>
      <w:bookmarkStart w:id="385" w:name="_Toc97215851"/>
      <w:bookmarkStart w:id="386" w:name="_Toc103680576"/>
      <w:bookmarkEnd w:id="378"/>
      <w:bookmarkEnd w:id="379"/>
      <w:r w:rsidRPr="00252D7B">
        <w:rPr>
          <w:rFonts w:asciiTheme="minorHAnsi" w:hAnsiTheme="minorHAnsi" w:cstheme="minorHAnsi"/>
        </w:rPr>
        <w:t>Conformidade legal: principais normas internas e mecanismos de controle e prevenção de falhas e irregularidades</w:t>
      </w:r>
      <w:bookmarkEnd w:id="384"/>
      <w:bookmarkEnd w:id="385"/>
      <w:bookmarkEnd w:id="386"/>
    </w:p>
    <w:p w14:paraId="57D42A33" w14:textId="3ED12EA3" w:rsidR="00A41DBB" w:rsidRPr="00252D7B" w:rsidRDefault="00A41DBB" w:rsidP="00A41DBB">
      <w:pPr>
        <w:spacing w:before="120" w:after="120"/>
        <w:jc w:val="both"/>
        <w:rPr>
          <w:rFonts w:asciiTheme="minorHAnsi" w:hAnsiTheme="minorHAnsi" w:cstheme="minorHAnsi"/>
          <w:sz w:val="24"/>
          <w:szCs w:val="24"/>
        </w:rPr>
      </w:pPr>
      <w:bookmarkStart w:id="387" w:name="_Toc64571552"/>
      <w:bookmarkStart w:id="388" w:name="_Toc94012547"/>
      <w:bookmarkStart w:id="389" w:name="_Toc95830281"/>
      <w:r w:rsidRPr="00252D7B">
        <w:rPr>
          <w:rFonts w:asciiTheme="minorHAnsi" w:hAnsiTheme="minorHAnsi" w:cstheme="minorHAnsi"/>
          <w:sz w:val="24"/>
          <w:szCs w:val="24"/>
        </w:rPr>
        <w:t xml:space="preserve">Os principais normativos internos e externos que disciplinam os serviços a serem executados pela área administrativa são os seguintes: Instrução Normativa SEGES/MPDG nº 5, de 26 de maio de 2017; Portaria ME nº 179, de 22 de abril de 2019; Norma Geral da Valec para Gestão de Bens Patrimoniais Móveis, Imóveis Edificados e Materiais de Consumo; Regulamento Interno de Licitações e Contratos da </w:t>
      </w:r>
      <w:r w:rsidR="00610C91" w:rsidRPr="00252D7B">
        <w:rPr>
          <w:rFonts w:asciiTheme="minorHAnsi" w:hAnsiTheme="minorHAnsi" w:cstheme="minorHAnsi"/>
          <w:sz w:val="24"/>
          <w:szCs w:val="24"/>
        </w:rPr>
        <w:t>Valec</w:t>
      </w:r>
      <w:r w:rsidRPr="00252D7B">
        <w:rPr>
          <w:rFonts w:asciiTheme="minorHAnsi" w:hAnsiTheme="minorHAnsi" w:cstheme="minorHAnsi"/>
          <w:sz w:val="24"/>
          <w:szCs w:val="24"/>
        </w:rPr>
        <w:t xml:space="preserve"> (RILC).</w:t>
      </w:r>
    </w:p>
    <w:p w14:paraId="0163D1E7" w14:textId="0DD4D7CE" w:rsidR="00A41DBB" w:rsidRPr="00252D7B" w:rsidRDefault="00A41DBB" w:rsidP="00A41DBB">
      <w:pPr>
        <w:spacing w:before="120" w:after="120"/>
        <w:rPr>
          <w:rFonts w:asciiTheme="minorHAnsi" w:hAnsiTheme="minorHAnsi" w:cstheme="minorHAnsi"/>
          <w:sz w:val="24"/>
          <w:szCs w:val="24"/>
        </w:rPr>
      </w:pPr>
    </w:p>
    <w:p w14:paraId="3967B6AE" w14:textId="77777777" w:rsidR="00CF6DA7" w:rsidRPr="00252D7B" w:rsidRDefault="00CF6DA7" w:rsidP="00A41DBB">
      <w:pPr>
        <w:spacing w:before="120" w:after="120"/>
        <w:rPr>
          <w:rFonts w:asciiTheme="minorHAnsi" w:hAnsiTheme="minorHAnsi" w:cstheme="minorHAnsi"/>
          <w:sz w:val="24"/>
          <w:szCs w:val="24"/>
        </w:rPr>
      </w:pPr>
    </w:p>
    <w:p w14:paraId="6D78498E" w14:textId="77777777" w:rsidR="00A41DBB" w:rsidRPr="00252D7B" w:rsidRDefault="00A41DBB" w:rsidP="00A41DBB">
      <w:pPr>
        <w:pStyle w:val="Ttulo3"/>
        <w:spacing w:before="120" w:after="120"/>
        <w:rPr>
          <w:rFonts w:asciiTheme="minorHAnsi" w:hAnsiTheme="minorHAnsi" w:cstheme="minorHAnsi"/>
        </w:rPr>
      </w:pPr>
      <w:bookmarkStart w:id="390" w:name="_Toc95906808"/>
      <w:bookmarkStart w:id="391" w:name="_Toc97215852"/>
      <w:bookmarkStart w:id="392" w:name="_Toc103680577"/>
      <w:bookmarkEnd w:id="387"/>
      <w:bookmarkEnd w:id="388"/>
      <w:bookmarkEnd w:id="389"/>
      <w:r w:rsidRPr="00252D7B">
        <w:rPr>
          <w:rFonts w:asciiTheme="minorHAnsi" w:hAnsiTheme="minorHAnsi" w:cstheme="minorHAnsi"/>
        </w:rPr>
        <w:t>Principais investimentos de capital (infraestrutura e equipamentos), avaliação do custo-benefício e impacto sobre os objetivos estratégicos.</w:t>
      </w:r>
      <w:bookmarkEnd w:id="390"/>
      <w:bookmarkEnd w:id="391"/>
      <w:bookmarkEnd w:id="392"/>
    </w:p>
    <w:p w14:paraId="3AAAC718" w14:textId="16572648" w:rsidR="00A41DBB" w:rsidRPr="00252D7B" w:rsidRDefault="00A41DBB" w:rsidP="00A41DBB">
      <w:pPr>
        <w:spacing w:before="120" w:after="120"/>
        <w:jc w:val="both"/>
        <w:rPr>
          <w:rFonts w:asciiTheme="minorHAnsi" w:hAnsiTheme="minorHAnsi" w:cstheme="minorHAnsi"/>
          <w:sz w:val="24"/>
          <w:szCs w:val="24"/>
        </w:rPr>
      </w:pPr>
      <w:bookmarkStart w:id="393" w:name="_Toc64571555"/>
      <w:bookmarkStart w:id="394" w:name="_Toc94012548"/>
      <w:bookmarkStart w:id="395" w:name="_Toc95830282"/>
      <w:r w:rsidRPr="00252D7B">
        <w:rPr>
          <w:rFonts w:asciiTheme="minorHAnsi" w:hAnsiTheme="minorHAnsi" w:cstheme="minorHAnsi"/>
          <w:sz w:val="24"/>
          <w:szCs w:val="24"/>
        </w:rPr>
        <w:t xml:space="preserve">No ano de 2021 foram investidos </w:t>
      </w:r>
      <w:r w:rsidR="007F2103">
        <w:rPr>
          <w:rFonts w:asciiTheme="minorHAnsi" w:hAnsiTheme="minorHAnsi" w:cstheme="minorHAnsi"/>
          <w:sz w:val="24"/>
          <w:szCs w:val="24"/>
        </w:rPr>
        <w:t xml:space="preserve">R$ </w:t>
      </w:r>
      <w:r w:rsidRPr="00252D7B">
        <w:rPr>
          <w:rFonts w:asciiTheme="minorHAnsi" w:hAnsiTheme="minorHAnsi" w:cstheme="minorHAnsi"/>
          <w:sz w:val="24"/>
          <w:szCs w:val="24"/>
        </w:rPr>
        <w:t>65.214,98 (sessenta e cinco mil, duzentos e quatorze reais e noventa e oito centavos) para provimento e padronização de equipamentos e aparelhos necessários à execução intensa e constante de reuniões por videoconferência.</w:t>
      </w:r>
    </w:p>
    <w:p w14:paraId="44A4C87F" w14:textId="39E67A23" w:rsidR="00A41DBB" w:rsidRPr="00252D7B" w:rsidRDefault="00A41DBB" w:rsidP="00A41DBB">
      <w:pPr>
        <w:spacing w:before="120" w:after="120"/>
        <w:rPr>
          <w:rFonts w:asciiTheme="minorHAnsi" w:hAnsiTheme="minorHAnsi" w:cstheme="minorHAnsi"/>
          <w:sz w:val="24"/>
          <w:szCs w:val="24"/>
        </w:rPr>
      </w:pPr>
    </w:p>
    <w:p w14:paraId="59E855A6" w14:textId="77777777" w:rsidR="00CF6DA7" w:rsidRPr="00252D7B" w:rsidRDefault="00CF6DA7" w:rsidP="00A41DBB">
      <w:pPr>
        <w:spacing w:before="120" w:after="120"/>
        <w:rPr>
          <w:rFonts w:asciiTheme="minorHAnsi" w:hAnsiTheme="minorHAnsi" w:cstheme="minorHAnsi"/>
          <w:sz w:val="24"/>
          <w:szCs w:val="24"/>
        </w:rPr>
      </w:pPr>
    </w:p>
    <w:p w14:paraId="00AC95BE" w14:textId="77777777" w:rsidR="00A41DBB" w:rsidRPr="00252D7B" w:rsidRDefault="00A41DBB" w:rsidP="00A41DBB">
      <w:pPr>
        <w:pStyle w:val="Ttulo3"/>
        <w:spacing w:before="120" w:after="120"/>
        <w:rPr>
          <w:rFonts w:asciiTheme="minorHAnsi" w:hAnsiTheme="minorHAnsi" w:cstheme="minorHAnsi"/>
        </w:rPr>
      </w:pPr>
      <w:bookmarkStart w:id="396" w:name="_Toc95906809"/>
      <w:bookmarkStart w:id="397" w:name="_Toc97215853"/>
      <w:bookmarkStart w:id="398" w:name="_Toc103680578"/>
      <w:r w:rsidRPr="00252D7B">
        <w:rPr>
          <w:rFonts w:asciiTheme="minorHAnsi" w:hAnsiTheme="minorHAnsi" w:cstheme="minorHAnsi"/>
        </w:rPr>
        <w:lastRenderedPageBreak/>
        <w:t>Desfazimento de ativos.</w:t>
      </w:r>
      <w:bookmarkEnd w:id="396"/>
      <w:bookmarkEnd w:id="397"/>
      <w:bookmarkEnd w:id="398"/>
    </w:p>
    <w:p w14:paraId="77F9592F" w14:textId="45305AA7" w:rsidR="00A41DBB" w:rsidRPr="00252D7B" w:rsidRDefault="00A41DBB" w:rsidP="00A41DBB">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Para potencializar os benefícios sociais da FIOL 1, os bens móveis e imóveis que não eram objeto da subconcessão, após cuidadosa avaliação de Comissões Patrimoniais Especiais, foram transferidos por doação ou devolução aos municípios afetados pelo empreendimento, visando o benefício da população daquelas localidades. </w:t>
      </w:r>
    </w:p>
    <w:p w14:paraId="33DF6500" w14:textId="21424C5A" w:rsidR="00A41DBB" w:rsidRPr="00252D7B" w:rsidRDefault="00A41DBB" w:rsidP="00A41DBB">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Dessa forma, os bens tiveram como destino escolas públicas, unidades de atenção à saúde e centros de acolhimento de pessoas em situação vulnerável, totalizando os valores registrados na </w:t>
      </w:r>
      <w:r w:rsidR="005E7310" w:rsidRPr="00252D7B">
        <w:rPr>
          <w:rFonts w:asciiTheme="minorHAnsi" w:hAnsiTheme="minorHAnsi" w:cstheme="minorHAnsi"/>
          <w:sz w:val="24"/>
          <w:szCs w:val="24"/>
        </w:rPr>
        <w:t xml:space="preserve">Tabela </w:t>
      </w:r>
      <w:r w:rsidR="0067629F">
        <w:rPr>
          <w:rFonts w:asciiTheme="minorHAnsi" w:hAnsiTheme="minorHAnsi" w:cstheme="minorHAnsi"/>
          <w:sz w:val="24"/>
          <w:szCs w:val="24"/>
        </w:rPr>
        <w:t>19.</w:t>
      </w:r>
    </w:p>
    <w:p w14:paraId="1C3278DC" w14:textId="77777777" w:rsidR="00A41DBB" w:rsidRPr="00252D7B" w:rsidRDefault="00A41DBB" w:rsidP="003E4E1E">
      <w:pPr>
        <w:jc w:val="both"/>
        <w:rPr>
          <w:rFonts w:asciiTheme="minorHAnsi" w:hAnsiTheme="minorHAnsi" w:cstheme="minorHAnsi"/>
          <w:sz w:val="12"/>
          <w:szCs w:val="12"/>
        </w:rPr>
      </w:pPr>
    </w:p>
    <w:p w14:paraId="57534AD0" w14:textId="17976A76" w:rsidR="00A41DBB" w:rsidRPr="00252D7B" w:rsidRDefault="00A41DBB" w:rsidP="00A41DBB">
      <w:pPr>
        <w:pStyle w:val="Legenda"/>
        <w:keepNext/>
        <w:spacing w:before="120" w:after="120"/>
        <w:jc w:val="center"/>
        <w:rPr>
          <w:rFonts w:asciiTheme="minorHAnsi" w:hAnsiTheme="minorHAnsi" w:cstheme="minorHAnsi"/>
          <w:sz w:val="20"/>
          <w:szCs w:val="20"/>
        </w:rPr>
      </w:pPr>
      <w:bookmarkStart w:id="399" w:name="_Toc103680681"/>
      <w:r w:rsidRPr="00252D7B">
        <w:rPr>
          <w:rFonts w:asciiTheme="minorHAnsi" w:hAnsiTheme="minorHAnsi" w:cstheme="minorHAnsi"/>
          <w:sz w:val="20"/>
          <w:szCs w:val="20"/>
        </w:rPr>
        <w:t xml:space="preserve">Tabela </w:t>
      </w:r>
      <w:r w:rsidRPr="00252D7B">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Tabela \* ARABIC </w:instrText>
      </w:r>
      <w:r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19</w:t>
      </w:r>
      <w:r w:rsidRPr="00252D7B">
        <w:rPr>
          <w:rFonts w:asciiTheme="minorHAnsi" w:hAnsiTheme="minorHAnsi" w:cstheme="minorHAnsi"/>
          <w:sz w:val="20"/>
          <w:szCs w:val="20"/>
        </w:rPr>
        <w:fldChar w:fldCharType="end"/>
      </w:r>
      <w:r w:rsidR="00E73F64" w:rsidRPr="00252D7B">
        <w:rPr>
          <w:rFonts w:asciiTheme="minorHAnsi" w:hAnsiTheme="minorHAnsi" w:cstheme="minorHAnsi"/>
          <w:sz w:val="20"/>
          <w:szCs w:val="20"/>
        </w:rPr>
        <w:t xml:space="preserve"> –</w:t>
      </w:r>
      <w:r w:rsidRPr="00252D7B">
        <w:rPr>
          <w:rFonts w:asciiTheme="minorHAnsi" w:hAnsiTheme="minorHAnsi" w:cstheme="minorHAnsi"/>
          <w:sz w:val="20"/>
          <w:szCs w:val="20"/>
        </w:rPr>
        <w:t xml:space="preserve"> Alienações 2021</w:t>
      </w:r>
      <w:bookmarkEnd w:id="399"/>
    </w:p>
    <w:p w14:paraId="316A04ED" w14:textId="229E2ADE" w:rsidR="00A41DBB" w:rsidRPr="00252D7B" w:rsidRDefault="00A41DBB" w:rsidP="00CF6DA7">
      <w:pPr>
        <w:jc w:val="center"/>
        <w:rPr>
          <w:rFonts w:asciiTheme="minorHAnsi" w:hAnsiTheme="minorHAnsi" w:cstheme="minorHAnsi"/>
          <w:sz w:val="24"/>
          <w:szCs w:val="24"/>
        </w:rPr>
      </w:pPr>
      <w:r w:rsidRPr="00252D7B">
        <w:rPr>
          <w:rFonts w:asciiTheme="minorHAnsi" w:hAnsiTheme="minorHAnsi" w:cstheme="minorHAnsi"/>
          <w:noProof/>
          <w:sz w:val="24"/>
          <w:szCs w:val="24"/>
        </w:rPr>
        <w:drawing>
          <wp:inline distT="0" distB="0" distL="0" distR="0" wp14:anchorId="5A6BA8B7" wp14:editId="03BABB18">
            <wp:extent cx="4224856" cy="1361060"/>
            <wp:effectExtent l="0" t="0" r="4445" b="0"/>
            <wp:docPr id="33" name="Imagem 33" descr="Calend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Calendário&#10;&#10;Descrição gerada automaticamente com confiança média"/>
                    <pic:cNvPicPr/>
                  </pic:nvPicPr>
                  <pic:blipFill rotWithShape="1">
                    <a:blip r:embed="rId81"/>
                    <a:srcRect t="39554"/>
                    <a:stretch/>
                  </pic:blipFill>
                  <pic:spPr bwMode="auto">
                    <a:xfrm>
                      <a:off x="0" y="0"/>
                      <a:ext cx="4241148" cy="1366308"/>
                    </a:xfrm>
                    <a:prstGeom prst="rect">
                      <a:avLst/>
                    </a:prstGeom>
                    <a:ln>
                      <a:noFill/>
                    </a:ln>
                    <a:extLst>
                      <a:ext uri="{53640926-AAD7-44D8-BBD7-CCE9431645EC}">
                        <a14:shadowObscured xmlns:a14="http://schemas.microsoft.com/office/drawing/2010/main"/>
                      </a:ext>
                    </a:extLst>
                  </pic:spPr>
                </pic:pic>
              </a:graphicData>
            </a:graphic>
          </wp:inline>
        </w:drawing>
      </w:r>
    </w:p>
    <w:p w14:paraId="28DF45BD" w14:textId="6F86EDA7" w:rsidR="00CF6DA7" w:rsidRPr="00252D7B" w:rsidRDefault="00CF6DA7" w:rsidP="00CF6DA7">
      <w:pPr>
        <w:jc w:val="center"/>
        <w:rPr>
          <w:rFonts w:asciiTheme="minorHAnsi" w:hAnsiTheme="minorHAnsi" w:cstheme="minorHAnsi"/>
          <w:sz w:val="24"/>
          <w:szCs w:val="24"/>
        </w:rPr>
      </w:pPr>
    </w:p>
    <w:p w14:paraId="4B4BB923" w14:textId="77777777" w:rsidR="00A41DBB" w:rsidRPr="00252D7B" w:rsidRDefault="00A41DBB" w:rsidP="00E73F64">
      <w:pPr>
        <w:pStyle w:val="Ttulo3"/>
        <w:spacing w:before="120"/>
        <w:rPr>
          <w:rFonts w:asciiTheme="minorHAnsi" w:hAnsiTheme="minorHAnsi" w:cstheme="minorHAnsi"/>
        </w:rPr>
      </w:pPr>
      <w:bookmarkStart w:id="400" w:name="_Toc95906810"/>
      <w:bookmarkStart w:id="401" w:name="_Toc97215854"/>
      <w:bookmarkStart w:id="402" w:name="_Toc103680579"/>
      <w:r w:rsidRPr="00252D7B">
        <w:rPr>
          <w:rFonts w:asciiTheme="minorHAnsi" w:hAnsiTheme="minorHAnsi" w:cstheme="minorHAnsi"/>
        </w:rPr>
        <w:t>Locações de imóveis e equipamentos.</w:t>
      </w:r>
      <w:bookmarkEnd w:id="400"/>
      <w:bookmarkEnd w:id="401"/>
      <w:bookmarkEnd w:id="402"/>
    </w:p>
    <w:p w14:paraId="330A40AB" w14:textId="2DA82DB5" w:rsidR="00A41DBB" w:rsidRPr="00252D7B" w:rsidRDefault="00A41DBB" w:rsidP="00A41DBB">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Em setembro de 2021 foi firmado o segundo termo aditivo consecutivo com o proprietário do imóvel destinado à Sede da Valec, visando expressiva redução de desembolso com aluguel.</w:t>
      </w:r>
    </w:p>
    <w:p w14:paraId="2B5FA881" w14:textId="77777777" w:rsidR="00A41DBB" w:rsidRPr="00252D7B" w:rsidRDefault="00A41DBB" w:rsidP="00A41DBB">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No aditamento foi pactuada a renúncia da aplicação do índice de reajuste contratual, com previsão de cerca de 30% para o mês de setembro/21; redução no valor mensal do aluguel de R$ 81.494,35, com alteração de R$ 431.494,35 para R$ 350.000,00; e a alteração do índice de reajuste contratual anual do atual IGP-M para o IPCA, conseguindo-se assim para a Administração um índice com histórico de variações substancialmente menores e mais estáveis.</w:t>
      </w:r>
    </w:p>
    <w:p w14:paraId="0FD0222D" w14:textId="77777777" w:rsidR="00A41DBB" w:rsidRPr="00252D7B" w:rsidRDefault="00A41DBB" w:rsidP="00854A4C">
      <w:pPr>
        <w:spacing w:before="120"/>
        <w:jc w:val="both"/>
        <w:rPr>
          <w:rFonts w:asciiTheme="minorHAnsi" w:hAnsiTheme="minorHAnsi" w:cstheme="minorHAnsi"/>
          <w:sz w:val="12"/>
          <w:szCs w:val="12"/>
        </w:rPr>
      </w:pPr>
    </w:p>
    <w:p w14:paraId="3EBBCC80" w14:textId="0249FCC1" w:rsidR="00A41DBB" w:rsidRPr="00252D7B" w:rsidRDefault="00A41DBB" w:rsidP="00A41DBB">
      <w:pPr>
        <w:pStyle w:val="Legenda"/>
        <w:keepNext/>
        <w:spacing w:before="120" w:after="120"/>
        <w:jc w:val="center"/>
        <w:rPr>
          <w:rFonts w:asciiTheme="minorHAnsi" w:hAnsiTheme="minorHAnsi" w:cstheme="minorHAnsi"/>
          <w:sz w:val="20"/>
          <w:szCs w:val="20"/>
        </w:rPr>
      </w:pPr>
      <w:bookmarkStart w:id="403" w:name="_Toc103680759"/>
      <w:r w:rsidRPr="00252D7B">
        <w:rPr>
          <w:rFonts w:asciiTheme="minorHAnsi" w:hAnsiTheme="minorHAnsi" w:cstheme="minorHAnsi"/>
          <w:sz w:val="20"/>
          <w:szCs w:val="20"/>
        </w:rPr>
        <w:t xml:space="preserve">Figura </w:t>
      </w:r>
      <w:r w:rsidR="00F46BDB" w:rsidRPr="00252D7B">
        <w:rPr>
          <w:rFonts w:asciiTheme="minorHAnsi" w:hAnsiTheme="minorHAnsi" w:cstheme="minorHAnsi"/>
          <w:sz w:val="20"/>
          <w:szCs w:val="20"/>
        </w:rPr>
        <w:fldChar w:fldCharType="begin"/>
      </w:r>
      <w:r w:rsidR="00F46BDB" w:rsidRPr="00252D7B">
        <w:rPr>
          <w:rFonts w:asciiTheme="minorHAnsi" w:hAnsiTheme="minorHAnsi" w:cstheme="minorHAnsi"/>
          <w:sz w:val="20"/>
          <w:szCs w:val="20"/>
        </w:rPr>
        <w:instrText xml:space="preserve"> SEQ Figura \* ARABIC </w:instrText>
      </w:r>
      <w:r w:rsidR="00F46BDB"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23</w:t>
      </w:r>
      <w:r w:rsidR="00F46BDB" w:rsidRPr="00252D7B">
        <w:rPr>
          <w:rFonts w:asciiTheme="minorHAnsi" w:hAnsiTheme="minorHAnsi" w:cstheme="minorHAnsi"/>
          <w:sz w:val="20"/>
          <w:szCs w:val="20"/>
        </w:rPr>
        <w:fldChar w:fldCharType="end"/>
      </w:r>
      <w:r w:rsidR="00E73F64" w:rsidRPr="00252D7B">
        <w:rPr>
          <w:rFonts w:asciiTheme="minorHAnsi" w:hAnsiTheme="minorHAnsi" w:cstheme="minorHAnsi"/>
          <w:sz w:val="20"/>
          <w:szCs w:val="20"/>
        </w:rPr>
        <w:t xml:space="preserve"> –</w:t>
      </w:r>
      <w:r w:rsidRPr="00252D7B">
        <w:rPr>
          <w:rFonts w:asciiTheme="minorHAnsi" w:hAnsiTheme="minorHAnsi" w:cstheme="minorHAnsi"/>
          <w:sz w:val="20"/>
          <w:szCs w:val="20"/>
        </w:rPr>
        <w:t xml:space="preserve"> Dados sobre a locação predial</w:t>
      </w:r>
      <w:bookmarkEnd w:id="403"/>
    </w:p>
    <w:p w14:paraId="45A10E29" w14:textId="77777777" w:rsidR="00A41DBB" w:rsidRPr="00252D7B" w:rsidRDefault="00A41DBB" w:rsidP="00A41DBB">
      <w:pPr>
        <w:spacing w:before="120" w:after="120"/>
        <w:jc w:val="center"/>
        <w:rPr>
          <w:rFonts w:asciiTheme="minorHAnsi" w:hAnsiTheme="minorHAnsi" w:cstheme="minorHAnsi"/>
        </w:rPr>
      </w:pPr>
      <w:r w:rsidRPr="00252D7B">
        <w:rPr>
          <w:rFonts w:asciiTheme="minorHAnsi" w:hAnsiTheme="minorHAnsi" w:cstheme="minorHAnsi"/>
          <w:noProof/>
        </w:rPr>
        <w:drawing>
          <wp:inline distT="0" distB="0" distL="0" distR="0" wp14:anchorId="44293769" wp14:editId="453467D5">
            <wp:extent cx="3954483" cy="2269791"/>
            <wp:effectExtent l="0" t="0" r="8255" b="0"/>
            <wp:docPr id="34" name="Imagem 34"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Uma imagem contendo Texto&#10;&#10;Descrição gerada automaticamente"/>
                    <pic:cNvPicPr/>
                  </pic:nvPicPr>
                  <pic:blipFill>
                    <a:blip r:embed="rId82"/>
                    <a:stretch>
                      <a:fillRect/>
                    </a:stretch>
                  </pic:blipFill>
                  <pic:spPr>
                    <a:xfrm>
                      <a:off x="0" y="0"/>
                      <a:ext cx="4002061" cy="2297100"/>
                    </a:xfrm>
                    <a:prstGeom prst="rect">
                      <a:avLst/>
                    </a:prstGeom>
                  </pic:spPr>
                </pic:pic>
              </a:graphicData>
            </a:graphic>
          </wp:inline>
        </w:drawing>
      </w:r>
    </w:p>
    <w:p w14:paraId="4EA9158F" w14:textId="4DE78EA7" w:rsidR="00A41DBB" w:rsidRPr="00252D7B" w:rsidRDefault="00A41DBB" w:rsidP="001C366F">
      <w:pPr>
        <w:pStyle w:val="Legenda"/>
        <w:keepNext/>
        <w:spacing w:before="120" w:after="120"/>
        <w:jc w:val="center"/>
        <w:rPr>
          <w:rFonts w:asciiTheme="minorHAnsi" w:hAnsiTheme="minorHAnsi" w:cstheme="minorHAnsi"/>
          <w:sz w:val="20"/>
          <w:szCs w:val="20"/>
        </w:rPr>
      </w:pPr>
      <w:r w:rsidRPr="00252D7B">
        <w:rPr>
          <w:rFonts w:asciiTheme="minorHAnsi" w:hAnsiTheme="minorHAnsi" w:cstheme="minorHAnsi"/>
          <w:sz w:val="20"/>
          <w:szCs w:val="20"/>
        </w:rPr>
        <w:t>Fonte: SIAFI</w:t>
      </w:r>
    </w:p>
    <w:p w14:paraId="47ACE08C" w14:textId="77777777" w:rsidR="00A41DBB" w:rsidRPr="00252D7B" w:rsidRDefault="00A41DBB" w:rsidP="00A41DBB">
      <w:pPr>
        <w:spacing w:before="120" w:after="120"/>
        <w:rPr>
          <w:rFonts w:asciiTheme="minorHAnsi" w:hAnsiTheme="minorHAnsi" w:cstheme="minorHAnsi"/>
        </w:rPr>
      </w:pPr>
    </w:p>
    <w:p w14:paraId="4E2F2D48" w14:textId="77777777" w:rsidR="00A41DBB" w:rsidRPr="00252D7B" w:rsidRDefault="00A41DBB" w:rsidP="00A41DBB">
      <w:pPr>
        <w:pStyle w:val="Ttulo3"/>
        <w:spacing w:before="120" w:after="120"/>
        <w:rPr>
          <w:rFonts w:asciiTheme="minorHAnsi" w:hAnsiTheme="minorHAnsi" w:cstheme="minorHAnsi"/>
        </w:rPr>
      </w:pPr>
      <w:bookmarkStart w:id="404" w:name="_Toc95906811"/>
      <w:bookmarkStart w:id="405" w:name="_Toc97215855"/>
      <w:bookmarkStart w:id="406" w:name="_Toc103680580"/>
      <w:r w:rsidRPr="00252D7B">
        <w:rPr>
          <w:rFonts w:asciiTheme="minorHAnsi" w:hAnsiTheme="minorHAnsi" w:cstheme="minorHAnsi"/>
        </w:rPr>
        <w:lastRenderedPageBreak/>
        <w:t>Mudanças e desmobilizações relevantes</w:t>
      </w:r>
      <w:bookmarkEnd w:id="404"/>
      <w:bookmarkEnd w:id="405"/>
      <w:bookmarkEnd w:id="406"/>
    </w:p>
    <w:p w14:paraId="02E8F582" w14:textId="6BE9404F" w:rsidR="00A41DBB" w:rsidRPr="00252D7B" w:rsidRDefault="00A41DBB" w:rsidP="00A41DBB">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Em 03 setembro de 2021, como resultado de importante agenda do Ministério da Infraestrutura para o país, foi assinado o contrato de subconcessão para construção e prestação do serviço público de transporte ferroviário de cargas associado à exploração da infraestrutura da malha ferroviária da EF-334, conhecida como Ferrovia de Integração Oeste-Leste 1 (FIOL 1).</w:t>
      </w:r>
    </w:p>
    <w:p w14:paraId="3E1F213E" w14:textId="77777777" w:rsidR="00A41DBB" w:rsidRPr="00252D7B" w:rsidRDefault="00A41DBB" w:rsidP="00A41DBB">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A subconcessão permitirá a rápida conclusão da obra e início das operações do corredor logístico da FIOL 1, vocacionado para o escoamento do minério de ferro do sul da Bahia, por meio do futuro Porto de Ilhéus.</w:t>
      </w:r>
    </w:p>
    <w:p w14:paraId="4B4B1706" w14:textId="77777777" w:rsidR="00A41DBB" w:rsidRPr="00252D7B" w:rsidRDefault="00A41DBB" w:rsidP="00A41DBB">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A transferência organizada do ativo FIOL 1 à iniciativa privada representou insigne missão à Valec, tendo em vista a coordenação de atividades operacionais necessárias à assunção logística pela Subconcessionária; e a análise conjunta das criticidades inerentes à obra, que se encontrava paralisada, sempre acompanhada de ações resolutivas e voltadas ao resguardo desse importante patrimônio público.</w:t>
      </w:r>
    </w:p>
    <w:p w14:paraId="1ABF274F" w14:textId="61A7FD55" w:rsidR="00A41DBB" w:rsidRPr="00252D7B" w:rsidRDefault="00A41DBB" w:rsidP="00A41DBB">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Concluída a assunção do empreendimento pela Subconcessionária, em 28 de setembro de 2021, foi deliberado pelo Conselho de Administração da Valec o fechamento das 4 (quatro) unidades descentralizadas da Valec, distribuídas ao longo da Ferrovia de Integração Oeste-leste 1, quais sejam: Barra do Rocha-BA, Tanhaçu-BA, Jequié-BA e Brumado-BA.</w:t>
      </w:r>
    </w:p>
    <w:p w14:paraId="3BAFF3FE" w14:textId="2F202C3E" w:rsidR="00CF6DA7" w:rsidRDefault="00CF6DA7" w:rsidP="00A41DBB">
      <w:pPr>
        <w:spacing w:before="120" w:after="120"/>
        <w:rPr>
          <w:rFonts w:asciiTheme="minorHAnsi" w:hAnsiTheme="minorHAnsi" w:cstheme="minorHAnsi"/>
        </w:rPr>
      </w:pPr>
    </w:p>
    <w:p w14:paraId="004E0E02" w14:textId="77777777" w:rsidR="005C4137" w:rsidRPr="00252D7B" w:rsidRDefault="005C4137" w:rsidP="00A41DBB">
      <w:pPr>
        <w:spacing w:before="120" w:after="120"/>
        <w:rPr>
          <w:rFonts w:asciiTheme="minorHAnsi" w:hAnsiTheme="minorHAnsi" w:cstheme="minorHAnsi"/>
        </w:rPr>
      </w:pPr>
    </w:p>
    <w:p w14:paraId="53AA4ADE" w14:textId="77777777" w:rsidR="00A41DBB" w:rsidRPr="00252D7B" w:rsidRDefault="00A41DBB" w:rsidP="00A41DBB">
      <w:pPr>
        <w:pStyle w:val="Ttulo3"/>
        <w:spacing w:before="120" w:after="120"/>
        <w:rPr>
          <w:rFonts w:asciiTheme="minorHAnsi" w:hAnsiTheme="minorHAnsi" w:cstheme="minorHAnsi"/>
        </w:rPr>
      </w:pPr>
      <w:bookmarkStart w:id="407" w:name="_Toc95906812"/>
      <w:bookmarkStart w:id="408" w:name="_Toc97215856"/>
      <w:bookmarkStart w:id="409" w:name="_Toc103680581"/>
      <w:r w:rsidRPr="00252D7B">
        <w:rPr>
          <w:rFonts w:asciiTheme="minorHAnsi" w:hAnsiTheme="minorHAnsi" w:cstheme="minorHAnsi"/>
        </w:rPr>
        <w:t>Principais desafios e ações futuras</w:t>
      </w:r>
      <w:bookmarkEnd w:id="407"/>
      <w:bookmarkEnd w:id="408"/>
      <w:bookmarkEnd w:id="409"/>
    </w:p>
    <w:p w14:paraId="19FC241F" w14:textId="77777777" w:rsidR="00825943" w:rsidRPr="00252D7B" w:rsidRDefault="00825943" w:rsidP="00A41DBB">
      <w:pPr>
        <w:pStyle w:val="Legenda"/>
        <w:keepNext/>
        <w:spacing w:before="120" w:after="120"/>
        <w:jc w:val="center"/>
        <w:rPr>
          <w:rFonts w:asciiTheme="minorHAnsi" w:hAnsiTheme="minorHAnsi" w:cstheme="minorHAnsi"/>
          <w:sz w:val="20"/>
          <w:szCs w:val="20"/>
        </w:rPr>
      </w:pPr>
    </w:p>
    <w:p w14:paraId="47070BF4" w14:textId="3FADB030" w:rsidR="00A41DBB" w:rsidRPr="00252D7B" w:rsidRDefault="00A41DBB" w:rsidP="00A41DBB">
      <w:pPr>
        <w:pStyle w:val="Legenda"/>
        <w:keepNext/>
        <w:spacing w:before="120" w:after="120"/>
        <w:jc w:val="center"/>
        <w:rPr>
          <w:rFonts w:asciiTheme="minorHAnsi" w:hAnsiTheme="minorHAnsi" w:cstheme="minorHAnsi"/>
          <w:sz w:val="20"/>
          <w:szCs w:val="20"/>
        </w:rPr>
      </w:pPr>
      <w:bookmarkStart w:id="410" w:name="_Toc103680760"/>
      <w:r w:rsidRPr="00252D7B">
        <w:rPr>
          <w:rFonts w:asciiTheme="minorHAnsi" w:hAnsiTheme="minorHAnsi" w:cstheme="minorHAnsi"/>
          <w:sz w:val="20"/>
          <w:szCs w:val="20"/>
        </w:rPr>
        <w:t xml:space="preserve">Figura </w:t>
      </w:r>
      <w:r w:rsidR="00F46BDB" w:rsidRPr="00252D7B">
        <w:rPr>
          <w:rFonts w:asciiTheme="minorHAnsi" w:hAnsiTheme="minorHAnsi" w:cstheme="minorHAnsi"/>
          <w:sz w:val="20"/>
          <w:szCs w:val="20"/>
        </w:rPr>
        <w:fldChar w:fldCharType="begin"/>
      </w:r>
      <w:r w:rsidR="00F46BDB" w:rsidRPr="00252D7B">
        <w:rPr>
          <w:rFonts w:asciiTheme="minorHAnsi" w:hAnsiTheme="minorHAnsi" w:cstheme="minorHAnsi"/>
          <w:sz w:val="20"/>
          <w:szCs w:val="20"/>
        </w:rPr>
        <w:instrText xml:space="preserve"> SEQ Figura \* ARABIC </w:instrText>
      </w:r>
      <w:r w:rsidR="00F46BDB"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24</w:t>
      </w:r>
      <w:r w:rsidR="00F46BDB" w:rsidRPr="00252D7B">
        <w:rPr>
          <w:rFonts w:asciiTheme="minorHAnsi" w:hAnsiTheme="minorHAnsi" w:cstheme="minorHAnsi"/>
          <w:sz w:val="20"/>
          <w:szCs w:val="20"/>
        </w:rPr>
        <w:fldChar w:fldCharType="end"/>
      </w:r>
      <w:r w:rsidR="00E73F64" w:rsidRPr="00252D7B">
        <w:rPr>
          <w:rFonts w:asciiTheme="minorHAnsi" w:hAnsiTheme="minorHAnsi" w:cstheme="minorHAnsi"/>
          <w:sz w:val="20"/>
          <w:szCs w:val="20"/>
        </w:rPr>
        <w:t xml:space="preserve"> –</w:t>
      </w:r>
      <w:r w:rsidRPr="00252D7B">
        <w:rPr>
          <w:rFonts w:asciiTheme="minorHAnsi" w:hAnsiTheme="minorHAnsi" w:cstheme="minorHAnsi"/>
          <w:sz w:val="20"/>
          <w:szCs w:val="20"/>
        </w:rPr>
        <w:t xml:space="preserve"> Principais desafios e ações futuras</w:t>
      </w:r>
      <w:bookmarkEnd w:id="410"/>
    </w:p>
    <w:p w14:paraId="7462594B" w14:textId="77777777" w:rsidR="00A41DBB" w:rsidRPr="00252D7B" w:rsidRDefault="00A41DBB" w:rsidP="00291F68">
      <w:pPr>
        <w:spacing w:before="120" w:after="120"/>
        <w:ind w:left="-709"/>
        <w:jc w:val="center"/>
        <w:rPr>
          <w:rFonts w:asciiTheme="minorHAnsi" w:hAnsiTheme="minorHAnsi" w:cstheme="minorHAnsi"/>
        </w:rPr>
      </w:pPr>
      <w:r w:rsidRPr="00252D7B">
        <w:rPr>
          <w:rFonts w:asciiTheme="minorHAnsi" w:hAnsiTheme="minorHAnsi" w:cstheme="minorHAnsi"/>
          <w:noProof/>
        </w:rPr>
        <w:drawing>
          <wp:inline distT="0" distB="0" distL="0" distR="0" wp14:anchorId="2D4269E0" wp14:editId="35111148">
            <wp:extent cx="7069207" cy="3629025"/>
            <wp:effectExtent l="0" t="0" r="0" b="0"/>
            <wp:docPr id="35" name="Imagem 35" descr="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Linha do tempo&#10;&#10;Descrição gerada automaticamente"/>
                    <pic:cNvPicPr/>
                  </pic:nvPicPr>
                  <pic:blipFill>
                    <a:blip r:embed="rId83"/>
                    <a:stretch>
                      <a:fillRect/>
                    </a:stretch>
                  </pic:blipFill>
                  <pic:spPr>
                    <a:xfrm>
                      <a:off x="0" y="0"/>
                      <a:ext cx="7077257" cy="3633158"/>
                    </a:xfrm>
                    <a:prstGeom prst="rect">
                      <a:avLst/>
                    </a:prstGeom>
                  </pic:spPr>
                </pic:pic>
              </a:graphicData>
            </a:graphic>
          </wp:inline>
        </w:drawing>
      </w:r>
    </w:p>
    <w:p w14:paraId="7C088149" w14:textId="77777777" w:rsidR="00A41DBB" w:rsidRPr="00252D7B" w:rsidRDefault="00A41DBB" w:rsidP="00A41DBB">
      <w:pPr>
        <w:widowControl/>
        <w:autoSpaceDE/>
        <w:autoSpaceDN/>
        <w:spacing w:before="120" w:after="120"/>
        <w:rPr>
          <w:rFonts w:asciiTheme="minorHAnsi" w:hAnsiTheme="minorHAnsi" w:cstheme="minorHAnsi"/>
        </w:rPr>
      </w:pPr>
      <w:r w:rsidRPr="00252D7B">
        <w:rPr>
          <w:rFonts w:asciiTheme="minorHAnsi" w:hAnsiTheme="minorHAnsi" w:cstheme="minorHAnsi"/>
        </w:rPr>
        <w:br w:type="page"/>
      </w:r>
    </w:p>
    <w:p w14:paraId="6D54D536" w14:textId="57603EE4" w:rsidR="00A41DBB" w:rsidRPr="00252D7B" w:rsidRDefault="00A41DBB" w:rsidP="00F100A9">
      <w:pPr>
        <w:pStyle w:val="Ttulo2"/>
      </w:pPr>
      <w:bookmarkStart w:id="411" w:name="_Toc95906813"/>
      <w:bookmarkStart w:id="412" w:name="_Toc97215857"/>
      <w:bookmarkStart w:id="413" w:name="_Toc103680582"/>
      <w:r w:rsidRPr="00252D7B">
        <w:lastRenderedPageBreak/>
        <w:t>Gestão tecnologia da informaçã</w:t>
      </w:r>
      <w:bookmarkStart w:id="414" w:name="_Toc94012550"/>
      <w:bookmarkStart w:id="415" w:name="_Toc95830283"/>
      <w:bookmarkEnd w:id="393"/>
      <w:bookmarkEnd w:id="394"/>
      <w:bookmarkEnd w:id="395"/>
      <w:bookmarkEnd w:id="411"/>
      <w:bookmarkEnd w:id="412"/>
      <w:r w:rsidR="00806F29" w:rsidRPr="00252D7B">
        <w:t>o</w:t>
      </w:r>
      <w:bookmarkEnd w:id="413"/>
    </w:p>
    <w:p w14:paraId="22598640" w14:textId="77777777" w:rsidR="00806F29" w:rsidRPr="00252D7B" w:rsidRDefault="00806F29" w:rsidP="00806F29">
      <w:pPr>
        <w:spacing w:before="120" w:after="120"/>
        <w:jc w:val="both"/>
        <w:rPr>
          <w:rFonts w:asciiTheme="minorHAnsi" w:hAnsiTheme="minorHAnsi" w:cstheme="minorHAnsi"/>
        </w:rPr>
      </w:pPr>
    </w:p>
    <w:p w14:paraId="6A847705" w14:textId="77777777" w:rsidR="00A41DBB" w:rsidRPr="00252D7B" w:rsidRDefault="00A41DBB" w:rsidP="00A41DBB">
      <w:pPr>
        <w:pStyle w:val="Ttulo3"/>
        <w:spacing w:before="120" w:after="120"/>
        <w:rPr>
          <w:rFonts w:asciiTheme="minorHAnsi" w:hAnsiTheme="minorHAnsi" w:cstheme="minorHAnsi"/>
        </w:rPr>
      </w:pPr>
      <w:bookmarkStart w:id="416" w:name="_Toc95906814"/>
      <w:bookmarkStart w:id="417" w:name="_Toc97215858"/>
      <w:bookmarkStart w:id="418" w:name="_Toc103680583"/>
      <w:bookmarkEnd w:id="414"/>
      <w:bookmarkEnd w:id="415"/>
      <w:r w:rsidRPr="00252D7B">
        <w:rPr>
          <w:rFonts w:asciiTheme="minorHAnsi" w:hAnsiTheme="minorHAnsi" w:cstheme="minorHAnsi"/>
        </w:rPr>
        <w:t>Conformidade legal</w:t>
      </w:r>
      <w:bookmarkEnd w:id="416"/>
      <w:bookmarkEnd w:id="417"/>
      <w:bookmarkEnd w:id="418"/>
    </w:p>
    <w:p w14:paraId="76D6E523" w14:textId="7902792C" w:rsidR="00A41DBB" w:rsidRPr="00252D7B" w:rsidRDefault="00A41DBB" w:rsidP="00A41DBB">
      <w:pPr>
        <w:spacing w:before="120" w:after="120"/>
        <w:jc w:val="both"/>
        <w:rPr>
          <w:rFonts w:asciiTheme="minorHAnsi" w:hAnsiTheme="minorHAnsi" w:cstheme="minorHAnsi"/>
          <w:sz w:val="24"/>
          <w:szCs w:val="24"/>
        </w:rPr>
      </w:pPr>
      <w:bookmarkStart w:id="419" w:name="_Toc94012551"/>
      <w:bookmarkStart w:id="420" w:name="_Toc95830284"/>
      <w:r w:rsidRPr="00252D7B">
        <w:rPr>
          <w:rFonts w:asciiTheme="minorHAnsi" w:hAnsiTheme="minorHAnsi" w:cstheme="minorHAnsi"/>
          <w:sz w:val="24"/>
          <w:szCs w:val="24"/>
        </w:rPr>
        <w:t>A Tecnologia da Informação usa como fundamentos legais para sua gestão os seguintes normativos: Instrução Normativa 01/2019 SGD/ME, Resolução n.º 11/2016 CGPAR, Normativos SISP e SGD, Acórdãos e Orientações dos Órgãos de Controle.</w:t>
      </w:r>
    </w:p>
    <w:p w14:paraId="2D216641" w14:textId="2471D400" w:rsidR="00A41DBB" w:rsidRPr="00252D7B" w:rsidRDefault="00A41DBB" w:rsidP="00A41DBB">
      <w:pPr>
        <w:spacing w:before="120" w:after="120"/>
        <w:rPr>
          <w:rFonts w:asciiTheme="minorHAnsi" w:hAnsiTheme="minorHAnsi" w:cstheme="minorHAnsi"/>
          <w:sz w:val="24"/>
          <w:szCs w:val="24"/>
        </w:rPr>
      </w:pPr>
    </w:p>
    <w:p w14:paraId="3DDEC843" w14:textId="77777777" w:rsidR="00CF6DA7" w:rsidRPr="00252D7B" w:rsidRDefault="00CF6DA7" w:rsidP="00A41DBB">
      <w:pPr>
        <w:spacing w:before="120" w:after="120"/>
        <w:rPr>
          <w:rFonts w:asciiTheme="minorHAnsi" w:hAnsiTheme="minorHAnsi" w:cstheme="minorHAnsi"/>
          <w:sz w:val="24"/>
          <w:szCs w:val="24"/>
        </w:rPr>
      </w:pPr>
    </w:p>
    <w:p w14:paraId="755C8CDF" w14:textId="77777777" w:rsidR="00A41DBB" w:rsidRPr="00252D7B" w:rsidRDefault="00A41DBB" w:rsidP="00A41DBB">
      <w:pPr>
        <w:pStyle w:val="Ttulo3"/>
        <w:spacing w:before="120" w:after="120"/>
        <w:rPr>
          <w:rFonts w:asciiTheme="minorHAnsi" w:hAnsiTheme="minorHAnsi" w:cstheme="minorHAnsi"/>
        </w:rPr>
      </w:pPr>
      <w:bookmarkStart w:id="421" w:name="_Toc95906815"/>
      <w:bookmarkStart w:id="422" w:name="_Toc97215859"/>
      <w:bookmarkStart w:id="423" w:name="_Toc103680584"/>
      <w:bookmarkEnd w:id="419"/>
      <w:bookmarkEnd w:id="420"/>
      <w:r w:rsidRPr="00252D7B">
        <w:rPr>
          <w:rFonts w:asciiTheme="minorHAnsi" w:hAnsiTheme="minorHAnsi" w:cstheme="minorHAnsi"/>
        </w:rPr>
        <w:t>Modelo de governança de TI</w:t>
      </w:r>
      <w:bookmarkEnd w:id="421"/>
      <w:bookmarkEnd w:id="422"/>
      <w:bookmarkEnd w:id="423"/>
    </w:p>
    <w:p w14:paraId="7A954F3A" w14:textId="76AF201E" w:rsidR="00A41DBB" w:rsidRPr="00252D7B" w:rsidRDefault="00A41DBB" w:rsidP="00A41DBB">
      <w:pPr>
        <w:spacing w:before="120" w:after="120"/>
        <w:jc w:val="both"/>
        <w:rPr>
          <w:rFonts w:asciiTheme="minorHAnsi" w:hAnsiTheme="minorHAnsi" w:cstheme="minorHAnsi"/>
          <w:sz w:val="24"/>
          <w:szCs w:val="24"/>
          <w:lang w:eastAsia="pt-BR"/>
        </w:rPr>
      </w:pPr>
      <w:bookmarkStart w:id="424" w:name="_Toc94012552"/>
      <w:bookmarkStart w:id="425" w:name="_Toc95830285"/>
      <w:r w:rsidRPr="00252D7B">
        <w:rPr>
          <w:rFonts w:asciiTheme="minorHAnsi" w:hAnsiTheme="minorHAnsi" w:cstheme="minorHAnsi"/>
          <w:sz w:val="24"/>
          <w:szCs w:val="24"/>
          <w:lang w:eastAsia="pt-BR"/>
        </w:rPr>
        <w:t>A gestão dos recursos de tecnologia da informação está submetida ao plano diretor de tecnologia que por sua vez está em consonância com a Estratégia de Governança Digital do Governo Federal que institui a Política de Governança Digital, oficializada por meio do Decreto nº 8.638, de 15 de janeiro de 2016, e revisada pela Portaria nº 107, de 2 de maio de 2018.</w:t>
      </w:r>
    </w:p>
    <w:p w14:paraId="4D0D6CF7" w14:textId="77777777" w:rsidR="00A41DBB" w:rsidRPr="00252D7B" w:rsidRDefault="00A41DBB" w:rsidP="00A41DBB">
      <w:pPr>
        <w:spacing w:before="120" w:after="120"/>
        <w:jc w:val="both"/>
        <w:rPr>
          <w:rFonts w:asciiTheme="minorHAnsi" w:hAnsiTheme="minorHAnsi" w:cstheme="minorHAnsi"/>
          <w:sz w:val="24"/>
          <w:szCs w:val="24"/>
          <w:lang w:eastAsia="pt-BR"/>
        </w:rPr>
      </w:pPr>
      <w:r w:rsidRPr="00252D7B">
        <w:rPr>
          <w:rFonts w:asciiTheme="minorHAnsi" w:hAnsiTheme="minorHAnsi" w:cstheme="minorHAnsi"/>
          <w:sz w:val="24"/>
          <w:szCs w:val="24"/>
          <w:lang w:eastAsia="pt-BR"/>
        </w:rPr>
        <w:t>A EGD direciona as ações das áreas de Tecnologia da Informação e das Comunicações (TIC) para atendimento às necessidades da sociedade, tendo por base eixos estratégicos de Prestação de Serviços, Acesso à Informação e Participação Social. O governo pretende promover um movimento de simplificação e agilização na prestação dos serviços públicos e de melhora do ambiente de negócios e da eficiência da gestão pública.</w:t>
      </w:r>
    </w:p>
    <w:p w14:paraId="171A142D" w14:textId="77777777" w:rsidR="00A41DBB" w:rsidRPr="00252D7B" w:rsidRDefault="00A41DBB" w:rsidP="00A41DBB">
      <w:pPr>
        <w:spacing w:before="120" w:after="120"/>
        <w:jc w:val="both"/>
        <w:rPr>
          <w:rFonts w:asciiTheme="minorHAnsi" w:hAnsiTheme="minorHAnsi" w:cstheme="minorHAnsi"/>
          <w:sz w:val="24"/>
          <w:szCs w:val="24"/>
          <w:lang w:eastAsia="pt-BR"/>
        </w:rPr>
      </w:pPr>
      <w:r w:rsidRPr="00252D7B">
        <w:rPr>
          <w:rFonts w:asciiTheme="minorHAnsi" w:hAnsiTheme="minorHAnsi" w:cstheme="minorHAnsi"/>
          <w:sz w:val="24"/>
          <w:szCs w:val="24"/>
          <w:lang w:eastAsia="pt-BR"/>
        </w:rPr>
        <w:t>Adotou-se, neste PDTI, como forma de alinhamento à EGD, os nove princípios que orientarão as atividades de Governança Digital na APF. São eles:</w:t>
      </w:r>
    </w:p>
    <w:p w14:paraId="5E84D105" w14:textId="115FCA65" w:rsidR="00A41DBB" w:rsidRPr="00252D7B" w:rsidRDefault="00A41DBB" w:rsidP="00825943">
      <w:pPr>
        <w:pStyle w:val="PargrafodaLista"/>
        <w:numPr>
          <w:ilvl w:val="0"/>
          <w:numId w:val="4"/>
        </w:numPr>
        <w:spacing w:before="120" w:after="120"/>
        <w:ind w:left="992" w:hanging="357"/>
        <w:contextualSpacing w:val="0"/>
        <w:jc w:val="both"/>
        <w:rPr>
          <w:rFonts w:asciiTheme="minorHAnsi" w:hAnsiTheme="minorHAnsi" w:cstheme="minorHAnsi"/>
          <w:sz w:val="24"/>
          <w:szCs w:val="24"/>
        </w:rPr>
      </w:pPr>
      <w:r w:rsidRPr="00252D7B">
        <w:rPr>
          <w:rFonts w:asciiTheme="minorHAnsi" w:hAnsiTheme="minorHAnsi" w:cstheme="minorHAnsi"/>
          <w:b/>
          <w:bCs/>
          <w:sz w:val="24"/>
          <w:szCs w:val="24"/>
        </w:rPr>
        <w:t xml:space="preserve">Foco nas necessidades da </w:t>
      </w:r>
      <w:r w:rsidR="00610C91" w:rsidRPr="00252D7B">
        <w:rPr>
          <w:rFonts w:asciiTheme="minorHAnsi" w:hAnsiTheme="minorHAnsi" w:cstheme="minorHAnsi"/>
          <w:b/>
          <w:bCs/>
          <w:sz w:val="24"/>
          <w:szCs w:val="24"/>
        </w:rPr>
        <w:t>Valec</w:t>
      </w:r>
      <w:r w:rsidRPr="00252D7B">
        <w:rPr>
          <w:rFonts w:asciiTheme="minorHAnsi" w:hAnsiTheme="minorHAnsi" w:cstheme="minorHAnsi"/>
          <w:b/>
          <w:bCs/>
          <w:sz w:val="24"/>
          <w:szCs w:val="24"/>
        </w:rPr>
        <w:t>:</w:t>
      </w:r>
      <w:r w:rsidRPr="00252D7B">
        <w:rPr>
          <w:rFonts w:asciiTheme="minorHAnsi" w:hAnsiTheme="minorHAnsi" w:cstheme="minorHAnsi"/>
          <w:sz w:val="24"/>
          <w:szCs w:val="24"/>
        </w:rPr>
        <w:t xml:space="preserve"> as necessidades da sociedade, tanto de pessoas físicas quanto jurídicas, são os principais insumos para o desenho e a entrega de serviços públicos digitais.</w:t>
      </w:r>
    </w:p>
    <w:p w14:paraId="2853A261" w14:textId="4DE0CFC3" w:rsidR="00A41DBB" w:rsidRPr="00252D7B" w:rsidRDefault="00A41DBB" w:rsidP="00825943">
      <w:pPr>
        <w:pStyle w:val="PargrafodaLista"/>
        <w:numPr>
          <w:ilvl w:val="0"/>
          <w:numId w:val="4"/>
        </w:numPr>
        <w:spacing w:before="120" w:after="120"/>
        <w:ind w:left="992" w:hanging="357"/>
        <w:contextualSpacing w:val="0"/>
        <w:jc w:val="both"/>
        <w:rPr>
          <w:rFonts w:asciiTheme="minorHAnsi" w:hAnsiTheme="minorHAnsi" w:cstheme="minorHAnsi"/>
          <w:sz w:val="24"/>
          <w:szCs w:val="24"/>
        </w:rPr>
      </w:pPr>
      <w:r w:rsidRPr="00252D7B">
        <w:rPr>
          <w:rFonts w:asciiTheme="minorHAnsi" w:hAnsiTheme="minorHAnsi" w:cstheme="minorHAnsi"/>
          <w:b/>
          <w:bCs/>
          <w:sz w:val="24"/>
          <w:szCs w:val="24"/>
        </w:rPr>
        <w:t>Abertura e transparência:</w:t>
      </w:r>
      <w:r w:rsidRPr="00252D7B">
        <w:rPr>
          <w:rFonts w:asciiTheme="minorHAnsi" w:hAnsiTheme="minorHAnsi" w:cstheme="minorHAnsi"/>
          <w:sz w:val="24"/>
          <w:szCs w:val="24"/>
        </w:rPr>
        <w:t xml:space="preserve"> ressalvado o disposto em legislação específica, dados e informações são ativos públicos que devem estar disponíveis para a sociedade, de modo a dar transparência e publicidade à aplicação dos recursos públicos nos programas e serviços, gerando benefícios sociais e econômicos.</w:t>
      </w:r>
    </w:p>
    <w:p w14:paraId="2B893CDB" w14:textId="2B9A1581" w:rsidR="00A41DBB" w:rsidRPr="00252D7B" w:rsidRDefault="00A41DBB" w:rsidP="00825943">
      <w:pPr>
        <w:pStyle w:val="PargrafodaLista"/>
        <w:numPr>
          <w:ilvl w:val="0"/>
          <w:numId w:val="4"/>
        </w:numPr>
        <w:spacing w:before="120" w:after="120"/>
        <w:ind w:left="992" w:hanging="357"/>
        <w:contextualSpacing w:val="0"/>
        <w:jc w:val="both"/>
        <w:rPr>
          <w:rFonts w:asciiTheme="minorHAnsi" w:hAnsiTheme="minorHAnsi" w:cstheme="minorHAnsi"/>
          <w:sz w:val="24"/>
          <w:szCs w:val="24"/>
        </w:rPr>
      </w:pPr>
      <w:r w:rsidRPr="00252D7B">
        <w:rPr>
          <w:rFonts w:asciiTheme="minorHAnsi" w:hAnsiTheme="minorHAnsi" w:cstheme="minorHAnsi"/>
          <w:b/>
          <w:bCs/>
          <w:sz w:val="24"/>
          <w:szCs w:val="24"/>
        </w:rPr>
        <w:t>Compartilhamento de capacidade de serviço:</w:t>
      </w:r>
      <w:r w:rsidRPr="00252D7B">
        <w:rPr>
          <w:rFonts w:asciiTheme="minorHAnsi" w:hAnsiTheme="minorHAnsi" w:cstheme="minorHAnsi"/>
          <w:sz w:val="24"/>
          <w:szCs w:val="24"/>
        </w:rPr>
        <w:t xml:space="preserve"> órgãos e entidades deverão compartilhar infraestrutura, sistemas, serviços e dados, de forma a evitar duplicação de esforços, eliminar desperdícios e custos e reduzir a fragmentação da informação em silos.</w:t>
      </w:r>
    </w:p>
    <w:p w14:paraId="4AF05A53" w14:textId="1742E128" w:rsidR="00A41DBB" w:rsidRPr="00252D7B" w:rsidRDefault="00A41DBB" w:rsidP="00825943">
      <w:pPr>
        <w:pStyle w:val="PargrafodaLista"/>
        <w:numPr>
          <w:ilvl w:val="0"/>
          <w:numId w:val="4"/>
        </w:numPr>
        <w:spacing w:before="120" w:after="120"/>
        <w:ind w:left="992" w:hanging="357"/>
        <w:contextualSpacing w:val="0"/>
        <w:jc w:val="both"/>
        <w:rPr>
          <w:rFonts w:asciiTheme="minorHAnsi" w:hAnsiTheme="minorHAnsi" w:cstheme="minorHAnsi"/>
          <w:sz w:val="24"/>
          <w:szCs w:val="24"/>
        </w:rPr>
      </w:pPr>
      <w:r w:rsidRPr="00252D7B">
        <w:rPr>
          <w:rFonts w:asciiTheme="minorHAnsi" w:hAnsiTheme="minorHAnsi" w:cstheme="minorHAnsi"/>
          <w:b/>
          <w:bCs/>
          <w:sz w:val="24"/>
          <w:szCs w:val="24"/>
        </w:rPr>
        <w:t>Simplicidade:</w:t>
      </w:r>
      <w:r w:rsidRPr="00252D7B">
        <w:rPr>
          <w:rFonts w:asciiTheme="minorHAnsi" w:hAnsiTheme="minorHAnsi" w:cstheme="minorHAnsi"/>
          <w:sz w:val="24"/>
          <w:szCs w:val="24"/>
        </w:rPr>
        <w:t xml:space="preserve"> reduzir a complexidade, a fragmentação e a duplicação das informações e dos serviços públicos digitais, otimizando processos de negócio, com foco na eficiência da prestação de serviços à sociedade.</w:t>
      </w:r>
    </w:p>
    <w:p w14:paraId="01C607E9" w14:textId="2E8DA629" w:rsidR="00A41DBB" w:rsidRPr="00252D7B" w:rsidRDefault="00A41DBB" w:rsidP="00825943">
      <w:pPr>
        <w:pStyle w:val="PargrafodaLista"/>
        <w:numPr>
          <w:ilvl w:val="0"/>
          <w:numId w:val="4"/>
        </w:numPr>
        <w:spacing w:before="120" w:after="120"/>
        <w:ind w:left="992" w:hanging="357"/>
        <w:contextualSpacing w:val="0"/>
        <w:jc w:val="both"/>
        <w:rPr>
          <w:rFonts w:asciiTheme="minorHAnsi" w:hAnsiTheme="minorHAnsi" w:cstheme="minorHAnsi"/>
          <w:sz w:val="24"/>
          <w:szCs w:val="24"/>
        </w:rPr>
      </w:pPr>
      <w:r w:rsidRPr="00252D7B">
        <w:rPr>
          <w:rFonts w:asciiTheme="minorHAnsi" w:hAnsiTheme="minorHAnsi" w:cstheme="minorHAnsi"/>
          <w:b/>
          <w:bCs/>
          <w:sz w:val="24"/>
          <w:szCs w:val="24"/>
        </w:rPr>
        <w:t>Serviços digitais por padrão:</w:t>
      </w:r>
      <w:r w:rsidRPr="00252D7B">
        <w:rPr>
          <w:rFonts w:asciiTheme="minorHAnsi" w:hAnsiTheme="minorHAnsi" w:cstheme="minorHAnsi"/>
          <w:sz w:val="24"/>
          <w:szCs w:val="24"/>
        </w:rPr>
        <w:t xml:space="preserve"> sempre que possível, os serviços públicos serão oferecidos em meios digitais, sendo disponibilizados para o maior número possível de dispositivos e plataformas.</w:t>
      </w:r>
    </w:p>
    <w:p w14:paraId="252A1C62" w14:textId="71F29506" w:rsidR="00A41DBB" w:rsidRPr="00252D7B" w:rsidRDefault="00A41DBB" w:rsidP="00825943">
      <w:pPr>
        <w:pStyle w:val="PargrafodaLista"/>
        <w:numPr>
          <w:ilvl w:val="0"/>
          <w:numId w:val="4"/>
        </w:numPr>
        <w:spacing w:before="120" w:after="120"/>
        <w:ind w:left="992" w:hanging="357"/>
        <w:contextualSpacing w:val="0"/>
        <w:jc w:val="both"/>
        <w:rPr>
          <w:rFonts w:asciiTheme="minorHAnsi" w:hAnsiTheme="minorHAnsi" w:cstheme="minorHAnsi"/>
          <w:sz w:val="24"/>
          <w:szCs w:val="24"/>
        </w:rPr>
      </w:pPr>
      <w:r w:rsidRPr="00252D7B">
        <w:rPr>
          <w:rFonts w:asciiTheme="minorHAnsi" w:hAnsiTheme="minorHAnsi" w:cstheme="minorHAnsi"/>
          <w:b/>
          <w:bCs/>
          <w:sz w:val="24"/>
          <w:szCs w:val="24"/>
        </w:rPr>
        <w:t>Segurança e privacidade:</w:t>
      </w:r>
      <w:r w:rsidRPr="00252D7B">
        <w:rPr>
          <w:rFonts w:asciiTheme="minorHAnsi" w:hAnsiTheme="minorHAnsi" w:cstheme="minorHAnsi"/>
          <w:sz w:val="24"/>
          <w:szCs w:val="24"/>
        </w:rPr>
        <w:t xml:space="preserve"> os serviços públicos digitais devem propiciar disponibilidade, integridade, confidencialidade e autenticidade dos dados e informações, além de proteger o sigilo e a privacidade pessoais dos cidadãos na forma da legislação.</w:t>
      </w:r>
    </w:p>
    <w:p w14:paraId="5B8FB1EC" w14:textId="1329F7D2" w:rsidR="00A41DBB" w:rsidRPr="00252D7B" w:rsidRDefault="00A41DBB" w:rsidP="00825943">
      <w:pPr>
        <w:pStyle w:val="PargrafodaLista"/>
        <w:numPr>
          <w:ilvl w:val="0"/>
          <w:numId w:val="4"/>
        </w:numPr>
        <w:spacing w:before="120" w:after="120"/>
        <w:ind w:left="992" w:hanging="357"/>
        <w:contextualSpacing w:val="0"/>
        <w:jc w:val="both"/>
        <w:rPr>
          <w:rFonts w:asciiTheme="minorHAnsi" w:hAnsiTheme="minorHAnsi" w:cstheme="minorHAnsi"/>
          <w:sz w:val="24"/>
          <w:szCs w:val="24"/>
        </w:rPr>
      </w:pPr>
      <w:r w:rsidRPr="00252D7B">
        <w:rPr>
          <w:rFonts w:asciiTheme="minorHAnsi" w:hAnsiTheme="minorHAnsi" w:cstheme="minorHAnsi"/>
          <w:b/>
          <w:bCs/>
          <w:sz w:val="24"/>
          <w:szCs w:val="24"/>
        </w:rPr>
        <w:lastRenderedPageBreak/>
        <w:t>Participação e controle social:</w:t>
      </w:r>
      <w:r w:rsidRPr="00252D7B">
        <w:rPr>
          <w:rFonts w:asciiTheme="minorHAnsi" w:hAnsiTheme="minorHAnsi" w:cstheme="minorHAnsi"/>
          <w:sz w:val="24"/>
          <w:szCs w:val="24"/>
        </w:rPr>
        <w:t xml:space="preserve"> possibilitar a colaboração dos cidadãos em todas as fases do ciclo das políticas públicas e na criação e melhoria dos serviços públicos. Órgãos e entidades públicas devem ser transparentes e dar publicidade à aplicação dos recursos públicos nos programas e serviços do Governo Federal, fornecendo informação de forma tempestiva, confiável e acurada para que o cidadão possa supervisionar a atuação do governo.</w:t>
      </w:r>
    </w:p>
    <w:p w14:paraId="32A97ECE" w14:textId="3BB9DF49" w:rsidR="00A41DBB" w:rsidRPr="00252D7B" w:rsidRDefault="00A41DBB" w:rsidP="00825943">
      <w:pPr>
        <w:pStyle w:val="PargrafodaLista"/>
        <w:numPr>
          <w:ilvl w:val="0"/>
          <w:numId w:val="4"/>
        </w:numPr>
        <w:spacing w:before="120" w:after="120"/>
        <w:ind w:left="992" w:hanging="357"/>
        <w:contextualSpacing w:val="0"/>
        <w:jc w:val="both"/>
        <w:rPr>
          <w:rFonts w:asciiTheme="minorHAnsi" w:hAnsiTheme="minorHAnsi" w:cstheme="minorHAnsi"/>
          <w:sz w:val="24"/>
          <w:szCs w:val="24"/>
        </w:rPr>
      </w:pPr>
      <w:bookmarkStart w:id="426" w:name="_Hlk96355197"/>
      <w:bookmarkStart w:id="427" w:name="_Hlk96355185"/>
      <w:bookmarkStart w:id="428" w:name="_Hlk96355174"/>
      <w:r w:rsidRPr="00252D7B">
        <w:rPr>
          <w:rFonts w:asciiTheme="minorHAnsi" w:hAnsiTheme="minorHAnsi" w:cstheme="minorHAnsi"/>
          <w:b/>
          <w:bCs/>
          <w:sz w:val="24"/>
          <w:szCs w:val="24"/>
        </w:rPr>
        <w:t>Governo como plataforma:</w:t>
      </w:r>
      <w:r w:rsidRPr="00252D7B">
        <w:rPr>
          <w:rFonts w:asciiTheme="minorHAnsi" w:hAnsiTheme="minorHAnsi" w:cstheme="minorHAnsi"/>
          <w:sz w:val="24"/>
          <w:szCs w:val="24"/>
        </w:rPr>
        <w:t xml:space="preserve"> o governo deve constituir-se como uma plataforma aberta, sobre a qual os diversos </w:t>
      </w:r>
      <w:bookmarkStart w:id="429" w:name="_Hlk96355210"/>
      <w:bookmarkEnd w:id="426"/>
      <w:r w:rsidRPr="00252D7B">
        <w:rPr>
          <w:rFonts w:asciiTheme="minorHAnsi" w:hAnsiTheme="minorHAnsi" w:cstheme="minorHAnsi"/>
          <w:sz w:val="24"/>
          <w:szCs w:val="24"/>
        </w:rPr>
        <w:t xml:space="preserve">atores sociais possam construir </w:t>
      </w:r>
      <w:bookmarkEnd w:id="427"/>
      <w:r w:rsidRPr="00252D7B">
        <w:rPr>
          <w:rFonts w:asciiTheme="minorHAnsi" w:hAnsiTheme="minorHAnsi" w:cstheme="minorHAnsi"/>
          <w:sz w:val="24"/>
          <w:szCs w:val="24"/>
        </w:rPr>
        <w:t>suas aplicações tecnológicas para a prestação de serviços e o desenvolvimento social e econômico do país, permitindo a expansão e a inovação.</w:t>
      </w:r>
      <w:bookmarkEnd w:id="429"/>
    </w:p>
    <w:p w14:paraId="2B727709" w14:textId="7556F9A2" w:rsidR="00A41DBB" w:rsidRPr="00252D7B" w:rsidRDefault="00A41DBB" w:rsidP="00825943">
      <w:pPr>
        <w:pStyle w:val="PargrafodaLista"/>
        <w:numPr>
          <w:ilvl w:val="0"/>
          <w:numId w:val="4"/>
        </w:numPr>
        <w:spacing w:before="120" w:after="120"/>
        <w:ind w:left="992" w:hanging="357"/>
        <w:contextualSpacing w:val="0"/>
        <w:jc w:val="both"/>
        <w:rPr>
          <w:rFonts w:asciiTheme="minorHAnsi" w:hAnsiTheme="minorHAnsi" w:cstheme="minorHAnsi"/>
          <w:sz w:val="24"/>
          <w:szCs w:val="24"/>
        </w:rPr>
      </w:pPr>
      <w:r w:rsidRPr="00252D7B">
        <w:rPr>
          <w:rFonts w:asciiTheme="minorHAnsi" w:hAnsiTheme="minorHAnsi" w:cstheme="minorHAnsi"/>
          <w:b/>
          <w:bCs/>
          <w:sz w:val="24"/>
          <w:szCs w:val="24"/>
        </w:rPr>
        <w:t>Inovação:</w:t>
      </w:r>
      <w:r w:rsidRPr="00252D7B">
        <w:rPr>
          <w:rFonts w:asciiTheme="minorHAnsi" w:hAnsiTheme="minorHAnsi" w:cstheme="minorHAnsi"/>
          <w:sz w:val="24"/>
          <w:szCs w:val="24"/>
        </w:rPr>
        <w:t xml:space="preserve"> devem ser buscadas soluções inovadoras que resultem em melhoria dos serviços públicos.</w:t>
      </w:r>
    </w:p>
    <w:p w14:paraId="614D51B6" w14:textId="77777777" w:rsidR="00A41DBB" w:rsidRPr="00252D7B" w:rsidRDefault="00A41DBB" w:rsidP="00A41DBB">
      <w:pPr>
        <w:spacing w:before="120" w:after="120"/>
        <w:jc w:val="both"/>
        <w:rPr>
          <w:rFonts w:asciiTheme="minorHAnsi" w:hAnsiTheme="minorHAnsi" w:cstheme="minorHAnsi"/>
          <w:sz w:val="24"/>
          <w:szCs w:val="24"/>
          <w:lang w:eastAsia="pt-BR"/>
        </w:rPr>
      </w:pPr>
      <w:r w:rsidRPr="00252D7B">
        <w:rPr>
          <w:rFonts w:asciiTheme="minorHAnsi" w:hAnsiTheme="minorHAnsi" w:cstheme="minorHAnsi"/>
          <w:sz w:val="24"/>
          <w:szCs w:val="24"/>
          <w:lang w:eastAsia="pt-BR"/>
        </w:rPr>
        <w:t>Considerando os princípios supracitados, e os eixos estratégicos da EGD, as diretrizes que orientaram a execução do PDTI estão listadas a seguir:</w:t>
      </w:r>
    </w:p>
    <w:p w14:paraId="6E448ADB" w14:textId="4C6CD039" w:rsidR="00A41DBB" w:rsidRPr="00252D7B" w:rsidRDefault="00A41DBB" w:rsidP="00825943">
      <w:pPr>
        <w:pStyle w:val="PargrafodaLista"/>
        <w:numPr>
          <w:ilvl w:val="0"/>
          <w:numId w:val="4"/>
        </w:numPr>
        <w:spacing w:before="120" w:after="120"/>
        <w:ind w:left="992" w:hanging="357"/>
        <w:contextualSpacing w:val="0"/>
        <w:jc w:val="both"/>
        <w:rPr>
          <w:rFonts w:asciiTheme="minorHAnsi" w:hAnsiTheme="minorHAnsi" w:cstheme="minorHAnsi"/>
          <w:sz w:val="24"/>
          <w:szCs w:val="24"/>
        </w:rPr>
      </w:pPr>
      <w:r w:rsidRPr="00252D7B">
        <w:rPr>
          <w:rFonts w:asciiTheme="minorHAnsi" w:hAnsiTheme="minorHAnsi" w:cstheme="minorHAnsi"/>
          <w:sz w:val="24"/>
          <w:szCs w:val="24"/>
        </w:rPr>
        <w:t>Garantir acesso à informação – os serviços públicos digitais devem propiciar Disponibilidade, Integridade, Confidencialidade e Autenticidade dos dados e informações, além de proteger o sigilo e a privacidade pessoais dos cidadãos na forma da legislação.</w:t>
      </w:r>
    </w:p>
    <w:p w14:paraId="568FE84C" w14:textId="2F642E45" w:rsidR="00A41DBB" w:rsidRPr="00252D7B" w:rsidRDefault="00A41DBB" w:rsidP="00825943">
      <w:pPr>
        <w:pStyle w:val="PargrafodaLista"/>
        <w:numPr>
          <w:ilvl w:val="0"/>
          <w:numId w:val="4"/>
        </w:numPr>
        <w:spacing w:before="120" w:after="120"/>
        <w:ind w:left="992" w:hanging="357"/>
        <w:contextualSpacing w:val="0"/>
        <w:jc w:val="both"/>
        <w:rPr>
          <w:rFonts w:asciiTheme="minorHAnsi" w:hAnsiTheme="minorHAnsi" w:cstheme="minorHAnsi"/>
          <w:sz w:val="24"/>
          <w:szCs w:val="24"/>
        </w:rPr>
      </w:pPr>
      <w:r w:rsidRPr="00252D7B">
        <w:rPr>
          <w:rFonts w:asciiTheme="minorHAnsi" w:hAnsiTheme="minorHAnsi" w:cstheme="minorHAnsi"/>
          <w:sz w:val="24"/>
          <w:szCs w:val="24"/>
        </w:rPr>
        <w:t>Colaborar pela melhoria da qualidade dos serviços públicos prestados ao cidadão;</w:t>
      </w:r>
    </w:p>
    <w:p w14:paraId="69CF8572" w14:textId="07F18D52" w:rsidR="00A41DBB" w:rsidRPr="00252D7B" w:rsidRDefault="00A41DBB" w:rsidP="00825943">
      <w:pPr>
        <w:pStyle w:val="PargrafodaLista"/>
        <w:numPr>
          <w:ilvl w:val="0"/>
          <w:numId w:val="4"/>
        </w:numPr>
        <w:spacing w:before="120" w:after="120"/>
        <w:ind w:left="992" w:hanging="357"/>
        <w:contextualSpacing w:val="0"/>
        <w:jc w:val="both"/>
        <w:rPr>
          <w:rFonts w:asciiTheme="minorHAnsi" w:hAnsiTheme="minorHAnsi" w:cstheme="minorHAnsi"/>
          <w:sz w:val="24"/>
          <w:szCs w:val="24"/>
        </w:rPr>
      </w:pPr>
      <w:r w:rsidRPr="00252D7B">
        <w:rPr>
          <w:rFonts w:asciiTheme="minorHAnsi" w:hAnsiTheme="minorHAnsi" w:cstheme="minorHAnsi"/>
          <w:sz w:val="24"/>
          <w:szCs w:val="24"/>
        </w:rPr>
        <w:t>Aperfeiçoar a Gestão e Governança de TIC utilizando as melhores práticas de mercado;</w:t>
      </w:r>
    </w:p>
    <w:bookmarkEnd w:id="428"/>
    <w:p w14:paraId="593F5E73" w14:textId="34F0B4B4" w:rsidR="00A41DBB" w:rsidRPr="00252D7B" w:rsidRDefault="00A41DBB" w:rsidP="00825943">
      <w:pPr>
        <w:pStyle w:val="PargrafodaLista"/>
        <w:numPr>
          <w:ilvl w:val="0"/>
          <w:numId w:val="4"/>
        </w:numPr>
        <w:spacing w:before="120" w:after="120"/>
        <w:ind w:left="992" w:hanging="357"/>
        <w:contextualSpacing w:val="0"/>
        <w:jc w:val="both"/>
        <w:rPr>
          <w:rFonts w:asciiTheme="minorHAnsi" w:hAnsiTheme="minorHAnsi" w:cstheme="minorHAnsi"/>
          <w:sz w:val="24"/>
          <w:szCs w:val="24"/>
        </w:rPr>
      </w:pPr>
      <w:r w:rsidRPr="00252D7B">
        <w:rPr>
          <w:rFonts w:asciiTheme="minorHAnsi" w:hAnsiTheme="minorHAnsi" w:cstheme="minorHAnsi"/>
          <w:sz w:val="24"/>
          <w:szCs w:val="24"/>
        </w:rPr>
        <w:t>Promover as iniciativas de segurança da informação e comunicação;</w:t>
      </w:r>
    </w:p>
    <w:p w14:paraId="6F173B2A" w14:textId="27152943" w:rsidR="00A41DBB" w:rsidRPr="00252D7B" w:rsidRDefault="00A41DBB" w:rsidP="00825943">
      <w:pPr>
        <w:pStyle w:val="PargrafodaLista"/>
        <w:numPr>
          <w:ilvl w:val="0"/>
          <w:numId w:val="4"/>
        </w:numPr>
        <w:spacing w:before="120" w:after="120"/>
        <w:ind w:left="992" w:hanging="357"/>
        <w:contextualSpacing w:val="0"/>
        <w:jc w:val="both"/>
        <w:rPr>
          <w:rFonts w:asciiTheme="minorHAnsi" w:hAnsiTheme="minorHAnsi" w:cstheme="minorHAnsi"/>
          <w:sz w:val="24"/>
          <w:szCs w:val="24"/>
        </w:rPr>
      </w:pPr>
      <w:r w:rsidRPr="00252D7B">
        <w:rPr>
          <w:rFonts w:asciiTheme="minorHAnsi" w:hAnsiTheme="minorHAnsi" w:cstheme="minorHAnsi"/>
          <w:sz w:val="24"/>
          <w:szCs w:val="24"/>
        </w:rPr>
        <w:t xml:space="preserve">Promover a constante integração entre a estratégia e as necessidades do negócio da </w:t>
      </w:r>
      <w:r w:rsidR="00610C91" w:rsidRPr="00252D7B">
        <w:rPr>
          <w:rFonts w:asciiTheme="minorHAnsi" w:hAnsiTheme="minorHAnsi" w:cstheme="minorHAnsi"/>
          <w:sz w:val="24"/>
          <w:szCs w:val="24"/>
        </w:rPr>
        <w:t>Valec</w:t>
      </w:r>
      <w:r w:rsidRPr="00252D7B">
        <w:rPr>
          <w:rFonts w:asciiTheme="minorHAnsi" w:hAnsiTheme="minorHAnsi" w:cstheme="minorHAnsi"/>
          <w:sz w:val="24"/>
          <w:szCs w:val="24"/>
        </w:rPr>
        <w:t xml:space="preserve"> e as estratégias e iniciativas de TIC;</w:t>
      </w:r>
    </w:p>
    <w:p w14:paraId="6945AED8" w14:textId="47FA5ACC" w:rsidR="00A41DBB" w:rsidRPr="00252D7B" w:rsidRDefault="00A41DBB" w:rsidP="00825943">
      <w:pPr>
        <w:pStyle w:val="PargrafodaLista"/>
        <w:numPr>
          <w:ilvl w:val="0"/>
          <w:numId w:val="4"/>
        </w:numPr>
        <w:spacing w:before="120" w:after="120"/>
        <w:ind w:left="992" w:hanging="357"/>
        <w:contextualSpacing w:val="0"/>
        <w:jc w:val="both"/>
        <w:rPr>
          <w:rFonts w:asciiTheme="minorHAnsi" w:hAnsiTheme="minorHAnsi" w:cstheme="minorHAnsi"/>
          <w:sz w:val="24"/>
          <w:szCs w:val="24"/>
        </w:rPr>
      </w:pPr>
      <w:r w:rsidRPr="00252D7B">
        <w:rPr>
          <w:rFonts w:asciiTheme="minorHAnsi" w:hAnsiTheme="minorHAnsi" w:cstheme="minorHAnsi"/>
          <w:sz w:val="24"/>
          <w:szCs w:val="24"/>
        </w:rPr>
        <w:t>Estar sempre em conformidade com o ordenamento legal, alinhando-se com as Diretrizes Governamentais e orientações dos Órgão de Controle;</w:t>
      </w:r>
    </w:p>
    <w:p w14:paraId="31518696" w14:textId="58C3C481" w:rsidR="00A41DBB" w:rsidRPr="00252D7B" w:rsidRDefault="00A41DBB" w:rsidP="00825943">
      <w:pPr>
        <w:pStyle w:val="PargrafodaLista"/>
        <w:numPr>
          <w:ilvl w:val="0"/>
          <w:numId w:val="4"/>
        </w:numPr>
        <w:spacing w:before="120" w:after="120"/>
        <w:ind w:left="992" w:hanging="357"/>
        <w:contextualSpacing w:val="0"/>
        <w:jc w:val="both"/>
        <w:rPr>
          <w:rFonts w:asciiTheme="minorHAnsi" w:hAnsiTheme="minorHAnsi" w:cstheme="minorHAnsi"/>
          <w:sz w:val="24"/>
          <w:szCs w:val="24"/>
        </w:rPr>
      </w:pPr>
      <w:r w:rsidRPr="00252D7B">
        <w:rPr>
          <w:rFonts w:asciiTheme="minorHAnsi" w:hAnsiTheme="minorHAnsi" w:cstheme="minorHAnsi"/>
          <w:sz w:val="24"/>
          <w:szCs w:val="24"/>
        </w:rPr>
        <w:t>Observar a transparência e economicidade no uso dos recursos de TIC;</w:t>
      </w:r>
    </w:p>
    <w:p w14:paraId="1FA4F479" w14:textId="1F0DE361" w:rsidR="00A41DBB" w:rsidRPr="00252D7B" w:rsidRDefault="00A41DBB" w:rsidP="00825943">
      <w:pPr>
        <w:pStyle w:val="PargrafodaLista"/>
        <w:numPr>
          <w:ilvl w:val="0"/>
          <w:numId w:val="4"/>
        </w:numPr>
        <w:spacing w:before="120" w:after="120"/>
        <w:ind w:left="992" w:hanging="357"/>
        <w:contextualSpacing w:val="0"/>
        <w:jc w:val="both"/>
        <w:rPr>
          <w:rFonts w:asciiTheme="minorHAnsi" w:hAnsiTheme="minorHAnsi" w:cstheme="minorHAnsi"/>
          <w:sz w:val="24"/>
          <w:szCs w:val="24"/>
        </w:rPr>
      </w:pPr>
      <w:r w:rsidRPr="00252D7B">
        <w:rPr>
          <w:rFonts w:asciiTheme="minorHAnsi" w:hAnsiTheme="minorHAnsi" w:cstheme="minorHAnsi"/>
          <w:sz w:val="24"/>
          <w:szCs w:val="24"/>
        </w:rPr>
        <w:t>Seguir diretrizes de sustentabilidade na aquisição e uso de bens e contratação de serviços de TIC;</w:t>
      </w:r>
    </w:p>
    <w:p w14:paraId="1643807B" w14:textId="3BC3168B" w:rsidR="00A41DBB" w:rsidRPr="00252D7B" w:rsidRDefault="00A41DBB" w:rsidP="00825943">
      <w:pPr>
        <w:pStyle w:val="PargrafodaLista"/>
        <w:numPr>
          <w:ilvl w:val="0"/>
          <w:numId w:val="4"/>
        </w:numPr>
        <w:spacing w:before="120" w:after="120"/>
        <w:ind w:left="992" w:hanging="357"/>
        <w:contextualSpacing w:val="0"/>
        <w:jc w:val="both"/>
        <w:rPr>
          <w:rFonts w:asciiTheme="minorHAnsi" w:hAnsiTheme="minorHAnsi" w:cstheme="minorHAnsi"/>
          <w:sz w:val="24"/>
          <w:szCs w:val="24"/>
        </w:rPr>
      </w:pPr>
      <w:r w:rsidRPr="00252D7B">
        <w:rPr>
          <w:rFonts w:asciiTheme="minorHAnsi" w:hAnsiTheme="minorHAnsi" w:cstheme="minorHAnsi"/>
          <w:sz w:val="24"/>
          <w:szCs w:val="24"/>
        </w:rPr>
        <w:t xml:space="preserve">Desenvolver e adequar a equipe técnica da SUPTI da </w:t>
      </w:r>
      <w:r w:rsidR="00610C91" w:rsidRPr="00252D7B">
        <w:rPr>
          <w:rFonts w:asciiTheme="minorHAnsi" w:hAnsiTheme="minorHAnsi" w:cstheme="minorHAnsi"/>
          <w:sz w:val="24"/>
          <w:szCs w:val="24"/>
        </w:rPr>
        <w:t>Valec</w:t>
      </w:r>
      <w:r w:rsidRPr="00252D7B">
        <w:rPr>
          <w:rFonts w:asciiTheme="minorHAnsi" w:hAnsiTheme="minorHAnsi" w:cstheme="minorHAnsi"/>
          <w:sz w:val="24"/>
          <w:szCs w:val="24"/>
        </w:rPr>
        <w:t xml:space="preserve"> para atendimento das demandas das áreas de negócio.</w:t>
      </w:r>
    </w:p>
    <w:p w14:paraId="36A49CD7" w14:textId="50F94EEB" w:rsidR="00A41DBB" w:rsidRPr="00252D7B" w:rsidRDefault="00A41DBB" w:rsidP="00825943">
      <w:pPr>
        <w:pStyle w:val="PargrafodaLista"/>
        <w:numPr>
          <w:ilvl w:val="0"/>
          <w:numId w:val="4"/>
        </w:numPr>
        <w:spacing w:before="120" w:after="120"/>
        <w:ind w:left="992" w:hanging="357"/>
        <w:contextualSpacing w:val="0"/>
        <w:jc w:val="both"/>
        <w:rPr>
          <w:rFonts w:asciiTheme="minorHAnsi" w:hAnsiTheme="minorHAnsi" w:cstheme="minorHAnsi"/>
          <w:sz w:val="24"/>
          <w:szCs w:val="24"/>
        </w:rPr>
      </w:pPr>
      <w:r w:rsidRPr="00252D7B">
        <w:rPr>
          <w:rFonts w:asciiTheme="minorHAnsi" w:hAnsiTheme="minorHAnsi" w:cstheme="minorHAnsi"/>
          <w:sz w:val="24"/>
          <w:szCs w:val="24"/>
        </w:rPr>
        <w:t xml:space="preserve">Fortalecer institucionalmente a TIC da </w:t>
      </w:r>
      <w:r w:rsidR="00610C91" w:rsidRPr="00252D7B">
        <w:rPr>
          <w:rFonts w:asciiTheme="minorHAnsi" w:hAnsiTheme="minorHAnsi" w:cstheme="minorHAnsi"/>
          <w:sz w:val="24"/>
          <w:szCs w:val="24"/>
        </w:rPr>
        <w:t>Valec</w:t>
      </w:r>
      <w:r w:rsidRPr="00252D7B">
        <w:rPr>
          <w:rFonts w:asciiTheme="minorHAnsi" w:hAnsiTheme="minorHAnsi" w:cstheme="minorHAnsi"/>
          <w:sz w:val="24"/>
          <w:szCs w:val="24"/>
        </w:rPr>
        <w:t>.</w:t>
      </w:r>
    </w:p>
    <w:p w14:paraId="6421B9BF" w14:textId="77777777" w:rsidR="00A41DBB" w:rsidRPr="00252D7B" w:rsidRDefault="00A41DBB" w:rsidP="004C04C5">
      <w:pPr>
        <w:spacing w:before="120"/>
        <w:jc w:val="both"/>
        <w:rPr>
          <w:rFonts w:asciiTheme="minorHAnsi" w:hAnsiTheme="minorHAnsi" w:cstheme="minorHAnsi"/>
          <w:sz w:val="24"/>
          <w:szCs w:val="24"/>
          <w:lang w:eastAsia="pt-BR"/>
        </w:rPr>
      </w:pPr>
      <w:r w:rsidRPr="00252D7B">
        <w:rPr>
          <w:rFonts w:asciiTheme="minorHAnsi" w:hAnsiTheme="minorHAnsi" w:cstheme="minorHAnsi"/>
          <w:sz w:val="24"/>
          <w:szCs w:val="24"/>
          <w:lang w:eastAsia="pt-BR"/>
        </w:rPr>
        <w:t>Uma vez esclarecidos os princípios, planos, diretrizes e por fim os eixos estratégicos na gestão de TI, se faz necessário materializar este arcabouço de conceitos em conjunto de iniciativas do plano de ação que cristaliza os projetos e ações estratégicas que trazem transparência e demonstram a dinâmica de execução do PDTI.</w:t>
      </w:r>
    </w:p>
    <w:p w14:paraId="1573AC1E" w14:textId="6F100E6F" w:rsidR="00806F29" w:rsidRPr="00252D7B" w:rsidRDefault="00806F29" w:rsidP="00806F29">
      <w:pPr>
        <w:jc w:val="both"/>
        <w:rPr>
          <w:rFonts w:asciiTheme="minorHAnsi" w:hAnsiTheme="minorHAnsi" w:cstheme="minorHAnsi"/>
          <w:sz w:val="24"/>
          <w:szCs w:val="24"/>
        </w:rPr>
      </w:pPr>
    </w:p>
    <w:p w14:paraId="5606B5E7" w14:textId="77777777" w:rsidR="00CF6DA7" w:rsidRPr="00252D7B" w:rsidRDefault="00CF6DA7" w:rsidP="00806F29">
      <w:pPr>
        <w:jc w:val="both"/>
        <w:rPr>
          <w:rFonts w:asciiTheme="minorHAnsi" w:hAnsiTheme="minorHAnsi" w:cstheme="minorHAnsi"/>
          <w:sz w:val="24"/>
          <w:szCs w:val="24"/>
        </w:rPr>
      </w:pPr>
    </w:p>
    <w:p w14:paraId="2FB53001" w14:textId="77777777" w:rsidR="00A41DBB" w:rsidRPr="00252D7B" w:rsidRDefault="00A41DBB" w:rsidP="004C04C5">
      <w:pPr>
        <w:pStyle w:val="Ttulo3"/>
        <w:rPr>
          <w:rFonts w:asciiTheme="minorHAnsi" w:hAnsiTheme="minorHAnsi" w:cstheme="minorHAnsi"/>
        </w:rPr>
      </w:pPr>
      <w:bookmarkStart w:id="430" w:name="_Toc95906816"/>
      <w:bookmarkStart w:id="431" w:name="_Toc97215860"/>
      <w:bookmarkStart w:id="432" w:name="_Toc103680585"/>
      <w:bookmarkEnd w:id="424"/>
      <w:bookmarkEnd w:id="425"/>
      <w:r w:rsidRPr="00252D7B">
        <w:rPr>
          <w:rFonts w:asciiTheme="minorHAnsi" w:hAnsiTheme="minorHAnsi" w:cstheme="minorHAnsi"/>
        </w:rPr>
        <w:t>Montante de recursos aplicados de TI</w:t>
      </w:r>
      <w:bookmarkEnd w:id="430"/>
      <w:bookmarkEnd w:id="431"/>
      <w:bookmarkEnd w:id="432"/>
    </w:p>
    <w:p w14:paraId="54FF760C" w14:textId="1D8B7BE7" w:rsidR="00A41DBB" w:rsidRPr="00252D7B" w:rsidRDefault="00A41DBB" w:rsidP="00A41DBB">
      <w:pPr>
        <w:spacing w:before="120" w:after="120"/>
        <w:jc w:val="both"/>
        <w:rPr>
          <w:rFonts w:asciiTheme="minorHAnsi" w:hAnsiTheme="minorHAnsi" w:cstheme="minorHAnsi"/>
          <w:sz w:val="24"/>
          <w:szCs w:val="24"/>
        </w:rPr>
      </w:pPr>
      <w:bookmarkStart w:id="433" w:name="_Toc94012553"/>
      <w:bookmarkStart w:id="434" w:name="_Toc95830286"/>
      <w:r w:rsidRPr="00252D7B">
        <w:rPr>
          <w:rFonts w:asciiTheme="minorHAnsi" w:hAnsiTheme="minorHAnsi" w:cstheme="minorHAnsi"/>
          <w:sz w:val="24"/>
          <w:szCs w:val="24"/>
        </w:rPr>
        <w:t xml:space="preserve">Em 2021 a SUPTI aplicou um total geral de </w:t>
      </w:r>
      <w:r w:rsidRPr="00252D7B">
        <w:rPr>
          <w:rFonts w:asciiTheme="minorHAnsi" w:hAnsiTheme="minorHAnsi" w:cstheme="minorHAnsi"/>
          <w:b/>
          <w:bCs/>
          <w:sz w:val="24"/>
          <w:szCs w:val="24"/>
        </w:rPr>
        <w:t>R$</w:t>
      </w:r>
      <w:r w:rsidRPr="00252D7B">
        <w:rPr>
          <w:rFonts w:asciiTheme="minorHAnsi" w:hAnsiTheme="minorHAnsi" w:cstheme="minorHAnsi"/>
          <w:sz w:val="24"/>
          <w:szCs w:val="24"/>
        </w:rPr>
        <w:t xml:space="preserve"> </w:t>
      </w:r>
      <w:r w:rsidRPr="00252D7B">
        <w:rPr>
          <w:rFonts w:asciiTheme="minorHAnsi" w:eastAsia="Times New Roman" w:hAnsiTheme="minorHAnsi" w:cstheme="minorHAnsi"/>
          <w:b/>
          <w:bCs/>
          <w:sz w:val="24"/>
          <w:szCs w:val="24"/>
          <w:lang w:bidi="ar-SA"/>
        </w:rPr>
        <w:t>8.804.692,03</w:t>
      </w:r>
      <w:r w:rsidRPr="00252D7B">
        <w:rPr>
          <w:rFonts w:asciiTheme="minorHAnsi" w:hAnsiTheme="minorHAnsi" w:cstheme="minorHAnsi"/>
          <w:color w:val="FF0000"/>
          <w:sz w:val="24"/>
          <w:szCs w:val="24"/>
        </w:rPr>
        <w:t xml:space="preserve"> </w:t>
      </w:r>
      <w:r w:rsidRPr="00252D7B">
        <w:rPr>
          <w:rFonts w:asciiTheme="minorHAnsi" w:hAnsiTheme="minorHAnsi" w:cstheme="minorHAnsi"/>
          <w:sz w:val="24"/>
          <w:szCs w:val="24"/>
        </w:rPr>
        <w:t xml:space="preserve">em aplicação de recursos dispersas em diferentes frentes, tais como novas contrações, manutenção de contratos já em andamento e aquisição de produtos tecnológicos. A </w:t>
      </w:r>
      <w:r w:rsidR="0069742E" w:rsidRPr="00252D7B">
        <w:rPr>
          <w:rFonts w:asciiTheme="minorHAnsi" w:hAnsiTheme="minorHAnsi" w:cstheme="minorHAnsi"/>
          <w:sz w:val="24"/>
          <w:szCs w:val="24"/>
        </w:rPr>
        <w:fldChar w:fldCharType="begin"/>
      </w:r>
      <w:r w:rsidR="0069742E" w:rsidRPr="00252D7B">
        <w:rPr>
          <w:rFonts w:asciiTheme="minorHAnsi" w:hAnsiTheme="minorHAnsi" w:cstheme="minorHAnsi"/>
          <w:sz w:val="24"/>
          <w:szCs w:val="24"/>
        </w:rPr>
        <w:instrText xml:space="preserve"> REF _Ref97571209 \h  \* MERGEFORMAT </w:instrText>
      </w:r>
      <w:r w:rsidR="0069742E" w:rsidRPr="00252D7B">
        <w:rPr>
          <w:rFonts w:asciiTheme="minorHAnsi" w:hAnsiTheme="minorHAnsi" w:cstheme="minorHAnsi"/>
          <w:sz w:val="24"/>
          <w:szCs w:val="24"/>
        </w:rPr>
      </w:r>
      <w:r w:rsidR="0069742E" w:rsidRPr="00252D7B">
        <w:rPr>
          <w:rFonts w:asciiTheme="minorHAnsi" w:hAnsiTheme="minorHAnsi" w:cstheme="minorHAnsi"/>
          <w:sz w:val="24"/>
          <w:szCs w:val="24"/>
        </w:rPr>
        <w:fldChar w:fldCharType="separate"/>
      </w:r>
      <w:r w:rsidR="00C12888" w:rsidRPr="00C12888">
        <w:rPr>
          <w:rFonts w:asciiTheme="minorHAnsi" w:hAnsiTheme="minorHAnsi" w:cstheme="minorHAnsi"/>
          <w:sz w:val="24"/>
          <w:szCs w:val="24"/>
        </w:rPr>
        <w:t>Tabela 20</w:t>
      </w:r>
      <w:r w:rsidR="0069742E" w:rsidRPr="00252D7B">
        <w:rPr>
          <w:rFonts w:asciiTheme="minorHAnsi" w:hAnsiTheme="minorHAnsi" w:cstheme="minorHAnsi"/>
          <w:sz w:val="24"/>
          <w:szCs w:val="24"/>
        </w:rPr>
        <w:fldChar w:fldCharType="end"/>
      </w:r>
      <w:r w:rsidRPr="00252D7B">
        <w:rPr>
          <w:rFonts w:asciiTheme="minorHAnsi" w:hAnsiTheme="minorHAnsi" w:cstheme="minorHAnsi"/>
          <w:sz w:val="24"/>
          <w:szCs w:val="24"/>
        </w:rPr>
        <w:t xml:space="preserve"> </w:t>
      </w:r>
      <w:r w:rsidR="0069742E" w:rsidRPr="00252D7B">
        <w:rPr>
          <w:rFonts w:asciiTheme="minorHAnsi" w:hAnsiTheme="minorHAnsi" w:cstheme="minorHAnsi"/>
          <w:sz w:val="24"/>
          <w:szCs w:val="24"/>
        </w:rPr>
        <w:t>i</w:t>
      </w:r>
      <w:r w:rsidRPr="00252D7B">
        <w:rPr>
          <w:rFonts w:asciiTheme="minorHAnsi" w:hAnsiTheme="minorHAnsi" w:cstheme="minorHAnsi"/>
          <w:sz w:val="24"/>
          <w:szCs w:val="24"/>
        </w:rPr>
        <w:t>ndica os valores totais aplicados no ano de 2021.</w:t>
      </w:r>
    </w:p>
    <w:p w14:paraId="7C7A4D2C" w14:textId="131F855B" w:rsidR="00A41DBB" w:rsidRPr="00252D7B" w:rsidRDefault="00A41DBB" w:rsidP="00A41DBB">
      <w:pPr>
        <w:pStyle w:val="Legenda"/>
        <w:spacing w:before="120" w:after="120"/>
        <w:jc w:val="center"/>
        <w:rPr>
          <w:rFonts w:asciiTheme="minorHAnsi" w:hAnsiTheme="minorHAnsi" w:cstheme="minorHAnsi"/>
          <w:sz w:val="20"/>
          <w:szCs w:val="20"/>
        </w:rPr>
      </w:pPr>
      <w:bookmarkStart w:id="435" w:name="_Ref97571209"/>
      <w:bookmarkStart w:id="436" w:name="_Toc97216012"/>
      <w:bookmarkStart w:id="437" w:name="_Toc103680682"/>
      <w:r w:rsidRPr="00252D7B">
        <w:rPr>
          <w:rFonts w:asciiTheme="minorHAnsi" w:hAnsiTheme="minorHAnsi" w:cstheme="minorHAnsi"/>
          <w:sz w:val="20"/>
          <w:szCs w:val="20"/>
        </w:rPr>
        <w:lastRenderedPageBreak/>
        <w:t xml:space="preserve">Tabela </w:t>
      </w:r>
      <w:r w:rsidRPr="00252D7B">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Tabela \* ARABIC </w:instrText>
      </w:r>
      <w:r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20</w:t>
      </w:r>
      <w:r w:rsidRPr="00252D7B">
        <w:rPr>
          <w:rFonts w:asciiTheme="minorHAnsi" w:hAnsiTheme="minorHAnsi" w:cstheme="minorHAnsi"/>
          <w:noProof/>
          <w:sz w:val="20"/>
          <w:szCs w:val="20"/>
        </w:rPr>
        <w:fldChar w:fldCharType="end"/>
      </w:r>
      <w:bookmarkEnd w:id="435"/>
      <w:r w:rsidRPr="00252D7B">
        <w:rPr>
          <w:rFonts w:asciiTheme="minorHAnsi" w:hAnsiTheme="minorHAnsi" w:cstheme="minorHAnsi"/>
          <w:sz w:val="20"/>
          <w:szCs w:val="20"/>
        </w:rPr>
        <w:t xml:space="preserve"> </w:t>
      </w:r>
      <w:r w:rsidR="00444AB2" w:rsidRPr="00252D7B">
        <w:rPr>
          <w:rFonts w:asciiTheme="minorHAnsi" w:hAnsiTheme="minorHAnsi" w:cstheme="minorHAnsi"/>
          <w:sz w:val="20"/>
          <w:szCs w:val="20"/>
        </w:rPr>
        <w:t xml:space="preserve">– </w:t>
      </w:r>
      <w:r w:rsidRPr="00252D7B">
        <w:rPr>
          <w:rFonts w:asciiTheme="minorHAnsi" w:hAnsiTheme="minorHAnsi" w:cstheme="minorHAnsi"/>
          <w:sz w:val="20"/>
          <w:szCs w:val="20"/>
        </w:rPr>
        <w:t>Plano de Investimento do PDTI em 2021</w:t>
      </w:r>
      <w:bookmarkEnd w:id="436"/>
      <w:bookmarkEnd w:id="437"/>
    </w:p>
    <w:tbl>
      <w:tblPr>
        <w:tblStyle w:val="Tabelacomgrade10"/>
        <w:tblW w:w="8674" w:type="dxa"/>
        <w:jc w:val="center"/>
        <w:tblInd w:w="0" w:type="dxa"/>
        <w:tblLook w:val="0420" w:firstRow="1" w:lastRow="0" w:firstColumn="0" w:lastColumn="0" w:noHBand="0" w:noVBand="1"/>
      </w:tblPr>
      <w:tblGrid>
        <w:gridCol w:w="6804"/>
        <w:gridCol w:w="1870"/>
      </w:tblGrid>
      <w:tr w:rsidR="00A41DBB" w:rsidRPr="00252D7B" w14:paraId="2AC327AA" w14:textId="77777777" w:rsidTr="00E03684">
        <w:trPr>
          <w:trHeight w:val="297"/>
          <w:jc w:val="center"/>
        </w:trPr>
        <w:tc>
          <w:tcPr>
            <w:tcW w:w="6804" w:type="dxa"/>
            <w:tcBorders>
              <w:left w:val="nil"/>
            </w:tcBorders>
            <w:shd w:val="clear" w:color="auto" w:fill="D9D9D9"/>
            <w:hideMark/>
          </w:tcPr>
          <w:p w14:paraId="7AEF7C6E"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Objeto</w:t>
            </w:r>
          </w:p>
        </w:tc>
        <w:tc>
          <w:tcPr>
            <w:tcW w:w="1870" w:type="dxa"/>
            <w:tcBorders>
              <w:right w:val="nil"/>
            </w:tcBorders>
            <w:shd w:val="clear" w:color="auto" w:fill="D9D9D9"/>
            <w:hideMark/>
          </w:tcPr>
          <w:p w14:paraId="50857415"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2021</w:t>
            </w:r>
          </w:p>
        </w:tc>
      </w:tr>
      <w:tr w:rsidR="00A41DBB" w:rsidRPr="00252D7B" w14:paraId="344C384D" w14:textId="77777777" w:rsidTr="00E03684">
        <w:trPr>
          <w:trHeight w:val="297"/>
          <w:jc w:val="center"/>
        </w:trPr>
        <w:tc>
          <w:tcPr>
            <w:tcW w:w="6804" w:type="dxa"/>
            <w:tcBorders>
              <w:left w:val="nil"/>
            </w:tcBorders>
            <w:hideMark/>
          </w:tcPr>
          <w:p w14:paraId="1BD57D07" w14:textId="77777777" w:rsidR="00A41DBB" w:rsidRPr="00252D7B" w:rsidRDefault="00A41DBB" w:rsidP="00E03684">
            <w:pPr>
              <w:widowControl/>
              <w:autoSpaceDE/>
              <w:autoSpaceDN/>
              <w:spacing w:before="120" w:after="120"/>
              <w:rPr>
                <w:rFonts w:asciiTheme="minorHAnsi" w:eastAsia="Times New Roman" w:hAnsiTheme="minorHAnsi" w:cstheme="minorHAnsi"/>
                <w:color w:val="FF0000"/>
                <w:lang w:bidi="ar-SA"/>
              </w:rPr>
            </w:pPr>
            <w:r w:rsidRPr="00252D7B">
              <w:rPr>
                <w:rFonts w:asciiTheme="minorHAnsi" w:eastAsia="Times New Roman" w:hAnsiTheme="minorHAnsi" w:cstheme="minorHAnsi"/>
                <w:lang w:bidi="ar-SA"/>
              </w:rPr>
              <w:t>SERPRO - SEDE – BRASILIA – 004/2018</w:t>
            </w:r>
          </w:p>
        </w:tc>
        <w:tc>
          <w:tcPr>
            <w:tcW w:w="1870" w:type="dxa"/>
            <w:tcBorders>
              <w:right w:val="nil"/>
            </w:tcBorders>
            <w:hideMark/>
          </w:tcPr>
          <w:p w14:paraId="682A27F8" w14:textId="5B3101CC" w:rsidR="00A41DBB" w:rsidRPr="00252D7B" w:rsidRDefault="00A41DBB" w:rsidP="00E03684">
            <w:pPr>
              <w:widowControl/>
              <w:autoSpaceDE/>
              <w:autoSpaceDN/>
              <w:spacing w:before="120" w:after="120"/>
              <w:rPr>
                <w:rFonts w:asciiTheme="minorHAnsi" w:eastAsiaTheme="minorHAnsi" w:hAnsiTheme="minorHAnsi" w:cstheme="minorHAnsi"/>
                <w:lang w:eastAsia="en-US" w:bidi="ar-SA"/>
              </w:rPr>
            </w:pPr>
            <w:r w:rsidRPr="00252D7B">
              <w:rPr>
                <w:rFonts w:asciiTheme="minorHAnsi" w:eastAsia="Times New Roman" w:hAnsiTheme="minorHAnsi" w:cstheme="minorHAnsi"/>
                <w:color w:val="FF0000"/>
                <w:lang w:bidi="ar-SA"/>
              </w:rPr>
              <w:t xml:space="preserve"> </w:t>
            </w:r>
            <w:r w:rsidRPr="00252D7B">
              <w:rPr>
                <w:rFonts w:asciiTheme="minorHAnsi" w:eastAsia="Times New Roman" w:hAnsiTheme="minorHAnsi" w:cstheme="minorHAnsi"/>
                <w:lang w:bidi="ar-SA"/>
              </w:rPr>
              <w:t>R</w:t>
            </w:r>
            <w:r w:rsidR="00335A4D" w:rsidRPr="00252D7B">
              <w:rPr>
                <w:rFonts w:asciiTheme="minorHAnsi" w:eastAsia="Times New Roman" w:hAnsiTheme="minorHAnsi" w:cstheme="minorHAnsi"/>
                <w:lang w:bidi="ar-SA"/>
              </w:rPr>
              <w:t>$       481.424,35</w:t>
            </w:r>
          </w:p>
        </w:tc>
      </w:tr>
      <w:tr w:rsidR="00A41DBB" w:rsidRPr="00252D7B" w14:paraId="5F9507C3" w14:textId="77777777" w:rsidTr="00E03684">
        <w:trPr>
          <w:trHeight w:val="297"/>
          <w:jc w:val="center"/>
        </w:trPr>
        <w:tc>
          <w:tcPr>
            <w:tcW w:w="6804" w:type="dxa"/>
            <w:tcBorders>
              <w:left w:val="nil"/>
            </w:tcBorders>
            <w:hideMark/>
          </w:tcPr>
          <w:p w14:paraId="6B18A854"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SERPRO - SEDE – BRASILIA – 005/2020</w:t>
            </w:r>
          </w:p>
        </w:tc>
        <w:tc>
          <w:tcPr>
            <w:tcW w:w="1870" w:type="dxa"/>
            <w:tcBorders>
              <w:right w:val="nil"/>
            </w:tcBorders>
            <w:hideMark/>
          </w:tcPr>
          <w:p w14:paraId="2BFE8DDC"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 xml:space="preserve"> R$            4.352,00</w:t>
            </w:r>
          </w:p>
        </w:tc>
      </w:tr>
      <w:tr w:rsidR="00A41DBB" w:rsidRPr="00252D7B" w14:paraId="234B4160" w14:textId="77777777" w:rsidTr="00E03684">
        <w:trPr>
          <w:trHeight w:val="297"/>
          <w:jc w:val="center"/>
        </w:trPr>
        <w:tc>
          <w:tcPr>
            <w:tcW w:w="6804" w:type="dxa"/>
            <w:tcBorders>
              <w:left w:val="nil"/>
            </w:tcBorders>
            <w:hideMark/>
          </w:tcPr>
          <w:p w14:paraId="7357B1AF" w14:textId="77777777" w:rsidR="00A41DBB" w:rsidRPr="00252D7B" w:rsidRDefault="00A41DBB" w:rsidP="00E03684">
            <w:pPr>
              <w:widowControl/>
              <w:autoSpaceDE/>
              <w:autoSpaceDN/>
              <w:spacing w:before="120" w:after="120"/>
              <w:rPr>
                <w:rFonts w:asciiTheme="minorHAnsi" w:eastAsia="Times New Roman" w:hAnsiTheme="minorHAnsi" w:cstheme="minorHAnsi"/>
                <w:color w:val="FF0000"/>
                <w:lang w:bidi="ar-SA"/>
              </w:rPr>
            </w:pPr>
            <w:r w:rsidRPr="00252D7B">
              <w:rPr>
                <w:rFonts w:asciiTheme="minorHAnsi" w:hAnsiTheme="minorHAnsi" w:cstheme="minorHAnsi"/>
              </w:rPr>
              <w:t>IMAGEM GEOSISTEMAS E COMERCIO LTDA</w:t>
            </w:r>
          </w:p>
        </w:tc>
        <w:tc>
          <w:tcPr>
            <w:tcW w:w="1870" w:type="dxa"/>
            <w:tcBorders>
              <w:right w:val="nil"/>
            </w:tcBorders>
            <w:hideMark/>
          </w:tcPr>
          <w:p w14:paraId="06486B5B"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 xml:space="preserve"> R$        327.888,14</w:t>
            </w:r>
          </w:p>
        </w:tc>
      </w:tr>
      <w:tr w:rsidR="00A41DBB" w:rsidRPr="00252D7B" w14:paraId="5D7CCF50" w14:textId="77777777" w:rsidTr="00E03684">
        <w:trPr>
          <w:trHeight w:val="297"/>
          <w:jc w:val="center"/>
        </w:trPr>
        <w:tc>
          <w:tcPr>
            <w:tcW w:w="6804" w:type="dxa"/>
            <w:tcBorders>
              <w:left w:val="nil"/>
            </w:tcBorders>
            <w:hideMark/>
          </w:tcPr>
          <w:p w14:paraId="1917C603" w14:textId="77777777" w:rsidR="00A41DBB" w:rsidRPr="00252D7B" w:rsidRDefault="00A41DBB" w:rsidP="00E03684">
            <w:pPr>
              <w:widowControl/>
              <w:autoSpaceDE/>
              <w:autoSpaceDN/>
              <w:spacing w:before="120" w:after="120"/>
              <w:rPr>
                <w:rFonts w:asciiTheme="minorHAnsi" w:eastAsia="Times New Roman" w:hAnsiTheme="minorHAnsi" w:cstheme="minorHAnsi"/>
                <w:color w:val="FF0000"/>
                <w:lang w:bidi="ar-SA"/>
              </w:rPr>
            </w:pPr>
            <w:r w:rsidRPr="00252D7B">
              <w:rPr>
                <w:rFonts w:asciiTheme="minorHAnsi" w:hAnsiTheme="minorHAnsi" w:cstheme="minorHAnsi"/>
              </w:rPr>
              <w:t>ARROW ECS BRASIL DISTRIBUIDORA LTDA</w:t>
            </w:r>
          </w:p>
        </w:tc>
        <w:tc>
          <w:tcPr>
            <w:tcW w:w="1870" w:type="dxa"/>
            <w:tcBorders>
              <w:right w:val="nil"/>
            </w:tcBorders>
            <w:hideMark/>
          </w:tcPr>
          <w:p w14:paraId="4014152A"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 xml:space="preserve"> R$        504.483,10</w:t>
            </w:r>
          </w:p>
        </w:tc>
      </w:tr>
      <w:tr w:rsidR="00A41DBB" w:rsidRPr="00252D7B" w14:paraId="2CA62B08" w14:textId="77777777" w:rsidTr="00E03684">
        <w:trPr>
          <w:trHeight w:val="297"/>
          <w:jc w:val="center"/>
        </w:trPr>
        <w:tc>
          <w:tcPr>
            <w:tcW w:w="6804" w:type="dxa"/>
            <w:tcBorders>
              <w:left w:val="nil"/>
            </w:tcBorders>
            <w:hideMark/>
          </w:tcPr>
          <w:p w14:paraId="182A0ED9" w14:textId="77777777" w:rsidR="00A41DBB" w:rsidRPr="00252D7B" w:rsidRDefault="00A41DBB" w:rsidP="00E03684">
            <w:pPr>
              <w:widowControl/>
              <w:autoSpaceDE/>
              <w:autoSpaceDN/>
              <w:spacing w:before="120" w:after="120"/>
              <w:rPr>
                <w:rFonts w:asciiTheme="minorHAnsi" w:eastAsia="Times New Roman" w:hAnsiTheme="minorHAnsi" w:cstheme="minorHAnsi"/>
                <w:color w:val="FF0000"/>
                <w:lang w:bidi="ar-SA"/>
              </w:rPr>
            </w:pPr>
            <w:r w:rsidRPr="00252D7B">
              <w:rPr>
                <w:rFonts w:asciiTheme="minorHAnsi" w:hAnsiTheme="minorHAnsi" w:cstheme="minorHAnsi"/>
              </w:rPr>
              <w:t>WEBDOC LOCACOES LTDA</w:t>
            </w:r>
          </w:p>
        </w:tc>
        <w:tc>
          <w:tcPr>
            <w:tcW w:w="1870" w:type="dxa"/>
            <w:tcBorders>
              <w:right w:val="nil"/>
            </w:tcBorders>
            <w:hideMark/>
          </w:tcPr>
          <w:p w14:paraId="20886C0E" w14:textId="7A0AFAA0" w:rsidR="00A41DBB" w:rsidRPr="00252D7B" w:rsidRDefault="00A41DBB" w:rsidP="00E03684">
            <w:pPr>
              <w:widowControl/>
              <w:autoSpaceDE/>
              <w:autoSpaceDN/>
              <w:spacing w:before="120" w:after="120"/>
              <w:rPr>
                <w:rFonts w:asciiTheme="minorHAnsi" w:eastAsia="Times New Roman" w:hAnsiTheme="minorHAnsi" w:cstheme="minorHAnsi"/>
                <w:color w:val="FF0000"/>
                <w:lang w:bidi="ar-SA"/>
              </w:rPr>
            </w:pPr>
            <w:r w:rsidRPr="00252D7B">
              <w:rPr>
                <w:rFonts w:asciiTheme="minorHAnsi" w:hAnsiTheme="minorHAnsi" w:cstheme="minorHAnsi"/>
                <w:color w:val="000000"/>
              </w:rPr>
              <w:t xml:space="preserve"> </w:t>
            </w:r>
            <w:r w:rsidRPr="00252D7B">
              <w:rPr>
                <w:rFonts w:asciiTheme="minorHAnsi" w:eastAsia="Times New Roman" w:hAnsiTheme="minorHAnsi" w:cstheme="minorHAnsi"/>
                <w:lang w:bidi="ar-SA"/>
              </w:rPr>
              <w:t>R$</w:t>
            </w:r>
            <w:r w:rsidRPr="00252D7B">
              <w:rPr>
                <w:rFonts w:asciiTheme="minorHAnsi" w:hAnsiTheme="minorHAnsi" w:cstheme="minorHAnsi"/>
                <w:color w:val="000000"/>
              </w:rPr>
              <w:t xml:space="preserve">        </w:t>
            </w:r>
            <w:r w:rsidR="00335A4D" w:rsidRPr="00252D7B">
              <w:rPr>
                <w:rFonts w:asciiTheme="minorHAnsi" w:hAnsiTheme="minorHAnsi" w:cstheme="minorHAnsi"/>
                <w:color w:val="000000"/>
              </w:rPr>
              <w:t xml:space="preserve">   </w:t>
            </w:r>
            <w:r w:rsidRPr="00252D7B">
              <w:rPr>
                <w:rFonts w:asciiTheme="minorHAnsi" w:hAnsiTheme="minorHAnsi" w:cstheme="minorHAnsi"/>
                <w:color w:val="000000"/>
              </w:rPr>
              <w:t xml:space="preserve">56.756,66 </w:t>
            </w:r>
          </w:p>
        </w:tc>
      </w:tr>
      <w:tr w:rsidR="00A41DBB" w:rsidRPr="00252D7B" w14:paraId="27EC03C3" w14:textId="77777777" w:rsidTr="00E03684">
        <w:trPr>
          <w:trHeight w:val="297"/>
          <w:jc w:val="center"/>
        </w:trPr>
        <w:tc>
          <w:tcPr>
            <w:tcW w:w="6804" w:type="dxa"/>
            <w:tcBorders>
              <w:left w:val="nil"/>
            </w:tcBorders>
            <w:hideMark/>
          </w:tcPr>
          <w:p w14:paraId="7DCD927E" w14:textId="77777777" w:rsidR="00A41DBB" w:rsidRPr="00252D7B" w:rsidRDefault="00A41DBB" w:rsidP="00E03684">
            <w:pPr>
              <w:widowControl/>
              <w:autoSpaceDE/>
              <w:autoSpaceDN/>
              <w:spacing w:before="120" w:after="120"/>
              <w:rPr>
                <w:rFonts w:asciiTheme="minorHAnsi" w:eastAsia="Times New Roman" w:hAnsiTheme="minorHAnsi" w:cstheme="minorHAnsi"/>
                <w:color w:val="FF0000"/>
                <w:lang w:bidi="ar-SA"/>
              </w:rPr>
            </w:pPr>
            <w:r w:rsidRPr="00252D7B">
              <w:rPr>
                <w:rFonts w:asciiTheme="minorHAnsi" w:hAnsiTheme="minorHAnsi" w:cstheme="minorHAnsi"/>
              </w:rPr>
              <w:t>GABRIEL SEABRA FERREIRA 06788886636</w:t>
            </w:r>
          </w:p>
        </w:tc>
        <w:tc>
          <w:tcPr>
            <w:tcW w:w="1870" w:type="dxa"/>
            <w:tcBorders>
              <w:right w:val="nil"/>
            </w:tcBorders>
            <w:hideMark/>
          </w:tcPr>
          <w:p w14:paraId="5279DBA4" w14:textId="28CFD9CE" w:rsidR="00A41DBB" w:rsidRPr="00252D7B" w:rsidRDefault="00A41DBB" w:rsidP="00E03684">
            <w:pPr>
              <w:widowControl/>
              <w:autoSpaceDE/>
              <w:autoSpaceDN/>
              <w:spacing w:before="120" w:after="120"/>
              <w:rPr>
                <w:rFonts w:asciiTheme="minorHAnsi" w:eastAsia="Times New Roman" w:hAnsiTheme="minorHAnsi" w:cstheme="minorHAnsi"/>
                <w:color w:val="FF0000"/>
                <w:lang w:bidi="ar-SA"/>
              </w:rPr>
            </w:pPr>
            <w:r w:rsidRPr="00252D7B">
              <w:rPr>
                <w:rFonts w:asciiTheme="minorHAnsi" w:hAnsiTheme="minorHAnsi" w:cstheme="minorHAnsi"/>
                <w:color w:val="000000"/>
              </w:rPr>
              <w:t xml:space="preserve"> </w:t>
            </w:r>
            <w:r w:rsidRPr="00252D7B">
              <w:rPr>
                <w:rFonts w:asciiTheme="minorHAnsi" w:eastAsia="Times New Roman" w:hAnsiTheme="minorHAnsi" w:cstheme="minorHAnsi"/>
                <w:lang w:bidi="ar-SA"/>
              </w:rPr>
              <w:t>R$</w:t>
            </w:r>
            <w:r w:rsidRPr="00252D7B">
              <w:rPr>
                <w:rFonts w:asciiTheme="minorHAnsi" w:hAnsiTheme="minorHAnsi" w:cstheme="minorHAnsi"/>
                <w:color w:val="000000"/>
              </w:rPr>
              <w:t xml:space="preserve">         </w:t>
            </w:r>
            <w:r w:rsidR="00335A4D" w:rsidRPr="00252D7B">
              <w:rPr>
                <w:rFonts w:asciiTheme="minorHAnsi" w:hAnsiTheme="minorHAnsi" w:cstheme="minorHAnsi"/>
                <w:color w:val="000000"/>
              </w:rPr>
              <w:t xml:space="preserve">    </w:t>
            </w:r>
            <w:r w:rsidRPr="00252D7B">
              <w:rPr>
                <w:rFonts w:asciiTheme="minorHAnsi" w:hAnsiTheme="minorHAnsi" w:cstheme="minorHAnsi"/>
                <w:color w:val="000000"/>
              </w:rPr>
              <w:t xml:space="preserve"> 3.610,00 </w:t>
            </w:r>
          </w:p>
        </w:tc>
      </w:tr>
      <w:tr w:rsidR="00A41DBB" w:rsidRPr="00252D7B" w14:paraId="4E64758F" w14:textId="77777777" w:rsidTr="00E03684">
        <w:trPr>
          <w:trHeight w:val="297"/>
          <w:jc w:val="center"/>
        </w:trPr>
        <w:tc>
          <w:tcPr>
            <w:tcW w:w="6804" w:type="dxa"/>
            <w:tcBorders>
              <w:left w:val="nil"/>
            </w:tcBorders>
            <w:hideMark/>
          </w:tcPr>
          <w:p w14:paraId="245919DF" w14:textId="77777777" w:rsidR="00A41DBB" w:rsidRPr="00252D7B" w:rsidRDefault="00A41DBB" w:rsidP="00E03684">
            <w:pPr>
              <w:widowControl/>
              <w:autoSpaceDE/>
              <w:autoSpaceDN/>
              <w:spacing w:before="120" w:after="120"/>
              <w:rPr>
                <w:rFonts w:asciiTheme="minorHAnsi" w:eastAsia="Times New Roman" w:hAnsiTheme="minorHAnsi" w:cstheme="minorHAnsi"/>
                <w:color w:val="FF0000"/>
                <w:lang w:bidi="ar-SA"/>
              </w:rPr>
            </w:pPr>
            <w:r w:rsidRPr="00252D7B">
              <w:rPr>
                <w:rFonts w:asciiTheme="minorHAnsi" w:hAnsiTheme="minorHAnsi" w:cstheme="minorHAnsi"/>
              </w:rPr>
              <w:t xml:space="preserve">NIVA TECNOLOGIA DA INFORMACAO LTDA  </w:t>
            </w:r>
          </w:p>
        </w:tc>
        <w:tc>
          <w:tcPr>
            <w:tcW w:w="1870" w:type="dxa"/>
            <w:tcBorders>
              <w:right w:val="nil"/>
            </w:tcBorders>
            <w:hideMark/>
          </w:tcPr>
          <w:p w14:paraId="0942452D" w14:textId="08E6BB37" w:rsidR="00A41DBB" w:rsidRPr="00252D7B" w:rsidRDefault="00A41DBB" w:rsidP="00E03684">
            <w:pPr>
              <w:widowControl/>
              <w:autoSpaceDE/>
              <w:autoSpaceDN/>
              <w:spacing w:before="120" w:after="120"/>
              <w:rPr>
                <w:rFonts w:asciiTheme="minorHAnsi" w:eastAsia="Times New Roman" w:hAnsiTheme="minorHAnsi" w:cstheme="minorHAnsi"/>
                <w:color w:val="FF0000"/>
                <w:lang w:bidi="ar-SA"/>
              </w:rPr>
            </w:pPr>
            <w:r w:rsidRPr="00252D7B">
              <w:rPr>
                <w:rFonts w:asciiTheme="minorHAnsi" w:hAnsiTheme="minorHAnsi" w:cstheme="minorHAnsi"/>
                <w:color w:val="000000"/>
              </w:rPr>
              <w:t xml:space="preserve"> </w:t>
            </w:r>
            <w:r w:rsidRPr="00252D7B">
              <w:rPr>
                <w:rFonts w:asciiTheme="minorHAnsi" w:eastAsia="Times New Roman" w:hAnsiTheme="minorHAnsi" w:cstheme="minorHAnsi"/>
                <w:lang w:bidi="ar-SA"/>
              </w:rPr>
              <w:t>R$</w:t>
            </w:r>
            <w:r w:rsidRPr="00252D7B">
              <w:rPr>
                <w:rFonts w:asciiTheme="minorHAnsi" w:hAnsiTheme="minorHAnsi" w:cstheme="minorHAnsi"/>
                <w:color w:val="000000"/>
              </w:rPr>
              <w:t xml:space="preserve">        </w:t>
            </w:r>
            <w:r w:rsidR="00B9380F" w:rsidRPr="00252D7B">
              <w:rPr>
                <w:rFonts w:asciiTheme="minorHAnsi" w:hAnsiTheme="minorHAnsi" w:cstheme="minorHAnsi"/>
                <w:color w:val="000000"/>
              </w:rPr>
              <w:t xml:space="preserve">    </w:t>
            </w:r>
            <w:r w:rsidRPr="00252D7B">
              <w:rPr>
                <w:rFonts w:asciiTheme="minorHAnsi" w:hAnsiTheme="minorHAnsi" w:cstheme="minorHAnsi"/>
                <w:color w:val="000000"/>
              </w:rPr>
              <w:t xml:space="preserve">36.320,00 </w:t>
            </w:r>
          </w:p>
        </w:tc>
      </w:tr>
      <w:tr w:rsidR="00A41DBB" w:rsidRPr="00252D7B" w14:paraId="547E2DD5" w14:textId="77777777" w:rsidTr="00E03684">
        <w:trPr>
          <w:trHeight w:val="297"/>
          <w:jc w:val="center"/>
        </w:trPr>
        <w:tc>
          <w:tcPr>
            <w:tcW w:w="6804" w:type="dxa"/>
            <w:tcBorders>
              <w:left w:val="nil"/>
            </w:tcBorders>
            <w:hideMark/>
          </w:tcPr>
          <w:p w14:paraId="7EFEE136" w14:textId="77777777" w:rsidR="00A41DBB" w:rsidRPr="00252D7B" w:rsidRDefault="00A41DBB" w:rsidP="00E03684">
            <w:pPr>
              <w:widowControl/>
              <w:autoSpaceDE/>
              <w:autoSpaceDN/>
              <w:spacing w:before="120" w:after="120"/>
              <w:rPr>
                <w:rFonts w:asciiTheme="minorHAnsi" w:eastAsia="Times New Roman" w:hAnsiTheme="minorHAnsi" w:cstheme="minorHAnsi"/>
                <w:color w:val="FF0000"/>
                <w:lang w:bidi="ar-SA"/>
              </w:rPr>
            </w:pPr>
            <w:r w:rsidRPr="00252D7B">
              <w:rPr>
                <w:rFonts w:asciiTheme="minorHAnsi" w:hAnsiTheme="minorHAnsi" w:cstheme="minorHAnsi"/>
              </w:rPr>
              <w:t>CONNECTCOM TELEINFORMATICA COMERCIO E SERVICOS LTDA</w:t>
            </w:r>
          </w:p>
        </w:tc>
        <w:tc>
          <w:tcPr>
            <w:tcW w:w="1870" w:type="dxa"/>
            <w:tcBorders>
              <w:right w:val="nil"/>
            </w:tcBorders>
            <w:hideMark/>
          </w:tcPr>
          <w:p w14:paraId="1312D4E6" w14:textId="1FA55D56" w:rsidR="00A41DBB" w:rsidRPr="00252D7B" w:rsidRDefault="00A41DBB" w:rsidP="00E03684">
            <w:pPr>
              <w:widowControl/>
              <w:autoSpaceDE/>
              <w:autoSpaceDN/>
              <w:spacing w:before="120" w:after="120"/>
              <w:rPr>
                <w:rFonts w:asciiTheme="minorHAnsi" w:eastAsia="Times New Roman" w:hAnsiTheme="minorHAnsi" w:cstheme="minorHAnsi"/>
                <w:color w:val="FF0000"/>
                <w:lang w:bidi="ar-SA"/>
              </w:rPr>
            </w:pPr>
            <w:r w:rsidRPr="00252D7B">
              <w:rPr>
                <w:rFonts w:asciiTheme="minorHAnsi" w:hAnsiTheme="minorHAnsi" w:cstheme="minorHAnsi"/>
                <w:color w:val="000000"/>
              </w:rPr>
              <w:t xml:space="preserve"> </w:t>
            </w:r>
            <w:r w:rsidRPr="00252D7B">
              <w:rPr>
                <w:rFonts w:asciiTheme="minorHAnsi" w:eastAsia="Times New Roman" w:hAnsiTheme="minorHAnsi" w:cstheme="minorHAnsi"/>
                <w:lang w:bidi="ar-SA"/>
              </w:rPr>
              <w:t>R$</w:t>
            </w:r>
            <w:r w:rsidRPr="00252D7B">
              <w:rPr>
                <w:rFonts w:asciiTheme="minorHAnsi" w:hAnsiTheme="minorHAnsi" w:cstheme="minorHAnsi"/>
                <w:color w:val="000000"/>
              </w:rPr>
              <w:t xml:space="preserve">      </w:t>
            </w:r>
            <w:r w:rsidR="00B9380F" w:rsidRPr="00252D7B">
              <w:rPr>
                <w:rFonts w:asciiTheme="minorHAnsi" w:hAnsiTheme="minorHAnsi" w:cstheme="minorHAnsi"/>
                <w:color w:val="000000"/>
              </w:rPr>
              <w:t xml:space="preserve">    </w:t>
            </w:r>
            <w:r w:rsidRPr="00252D7B">
              <w:rPr>
                <w:rFonts w:asciiTheme="minorHAnsi" w:hAnsiTheme="minorHAnsi" w:cstheme="minorHAnsi"/>
                <w:color w:val="000000"/>
              </w:rPr>
              <w:t xml:space="preserve">593.298,67 </w:t>
            </w:r>
          </w:p>
        </w:tc>
      </w:tr>
      <w:tr w:rsidR="00A41DBB" w:rsidRPr="00252D7B" w14:paraId="00356384" w14:textId="77777777" w:rsidTr="00E03684">
        <w:trPr>
          <w:trHeight w:val="297"/>
          <w:jc w:val="center"/>
        </w:trPr>
        <w:tc>
          <w:tcPr>
            <w:tcW w:w="6804" w:type="dxa"/>
            <w:tcBorders>
              <w:left w:val="nil"/>
            </w:tcBorders>
            <w:hideMark/>
          </w:tcPr>
          <w:p w14:paraId="07B119A7" w14:textId="77777777" w:rsidR="00A41DBB" w:rsidRPr="00252D7B" w:rsidRDefault="00A41DBB" w:rsidP="00E03684">
            <w:pPr>
              <w:widowControl/>
              <w:autoSpaceDE/>
              <w:autoSpaceDN/>
              <w:spacing w:before="120" w:after="120"/>
              <w:rPr>
                <w:rFonts w:asciiTheme="minorHAnsi" w:eastAsia="Times New Roman" w:hAnsiTheme="minorHAnsi" w:cstheme="minorHAnsi"/>
                <w:color w:val="FF0000"/>
                <w:lang w:bidi="ar-SA"/>
              </w:rPr>
            </w:pPr>
            <w:r w:rsidRPr="00252D7B">
              <w:rPr>
                <w:rFonts w:asciiTheme="minorHAnsi" w:hAnsiTheme="minorHAnsi" w:cstheme="minorHAnsi"/>
              </w:rPr>
              <w:t>CENTRAL IT TECNOLOGIA DA INFORMACAO LTDA</w:t>
            </w:r>
          </w:p>
        </w:tc>
        <w:tc>
          <w:tcPr>
            <w:tcW w:w="1870" w:type="dxa"/>
            <w:tcBorders>
              <w:right w:val="nil"/>
            </w:tcBorders>
            <w:hideMark/>
          </w:tcPr>
          <w:p w14:paraId="3031C3E8" w14:textId="4942E4C8" w:rsidR="00A41DBB" w:rsidRPr="00252D7B" w:rsidRDefault="00A41DBB" w:rsidP="00E03684">
            <w:pPr>
              <w:widowControl/>
              <w:autoSpaceDE/>
              <w:autoSpaceDN/>
              <w:spacing w:before="120" w:after="120"/>
              <w:rPr>
                <w:rFonts w:asciiTheme="minorHAnsi" w:eastAsia="Times New Roman" w:hAnsiTheme="minorHAnsi" w:cstheme="minorHAnsi"/>
                <w:color w:val="FF0000"/>
                <w:lang w:bidi="ar-SA"/>
              </w:rPr>
            </w:pPr>
            <w:r w:rsidRPr="00252D7B">
              <w:rPr>
                <w:rFonts w:asciiTheme="minorHAnsi" w:hAnsiTheme="minorHAnsi" w:cstheme="minorHAnsi"/>
                <w:color w:val="000000"/>
              </w:rPr>
              <w:t xml:space="preserve"> </w:t>
            </w:r>
            <w:r w:rsidRPr="00252D7B">
              <w:rPr>
                <w:rFonts w:asciiTheme="minorHAnsi" w:eastAsia="Times New Roman" w:hAnsiTheme="minorHAnsi" w:cstheme="minorHAnsi"/>
                <w:lang w:bidi="ar-SA"/>
              </w:rPr>
              <w:t>R$</w:t>
            </w:r>
            <w:r w:rsidRPr="00252D7B">
              <w:rPr>
                <w:rFonts w:asciiTheme="minorHAnsi" w:hAnsiTheme="minorHAnsi" w:cstheme="minorHAnsi"/>
                <w:color w:val="000000"/>
              </w:rPr>
              <w:t xml:space="preserve">   </w:t>
            </w:r>
            <w:r w:rsidR="00B9380F" w:rsidRPr="00252D7B">
              <w:rPr>
                <w:rFonts w:asciiTheme="minorHAnsi" w:hAnsiTheme="minorHAnsi" w:cstheme="minorHAnsi"/>
                <w:color w:val="000000"/>
              </w:rPr>
              <w:t xml:space="preserve">   </w:t>
            </w:r>
            <w:r w:rsidRPr="00252D7B">
              <w:rPr>
                <w:rFonts w:asciiTheme="minorHAnsi" w:hAnsiTheme="minorHAnsi" w:cstheme="minorHAnsi"/>
                <w:color w:val="000000"/>
              </w:rPr>
              <w:t xml:space="preserve">1.638.139,60 </w:t>
            </w:r>
          </w:p>
        </w:tc>
      </w:tr>
      <w:tr w:rsidR="00A41DBB" w:rsidRPr="00252D7B" w14:paraId="10382BF2" w14:textId="77777777" w:rsidTr="00E03684">
        <w:trPr>
          <w:trHeight w:val="297"/>
          <w:jc w:val="center"/>
        </w:trPr>
        <w:tc>
          <w:tcPr>
            <w:tcW w:w="6804" w:type="dxa"/>
            <w:tcBorders>
              <w:left w:val="nil"/>
            </w:tcBorders>
            <w:hideMark/>
          </w:tcPr>
          <w:p w14:paraId="1B377654" w14:textId="77777777" w:rsidR="00A41DBB" w:rsidRPr="00252D7B" w:rsidRDefault="00A41DBB" w:rsidP="00E03684">
            <w:pPr>
              <w:widowControl/>
              <w:autoSpaceDE/>
              <w:autoSpaceDN/>
              <w:spacing w:before="120" w:after="120"/>
              <w:rPr>
                <w:rFonts w:asciiTheme="minorHAnsi" w:eastAsia="Times New Roman" w:hAnsiTheme="minorHAnsi" w:cstheme="minorHAnsi"/>
                <w:color w:val="FF0000"/>
                <w:lang w:bidi="ar-SA"/>
              </w:rPr>
            </w:pPr>
            <w:r w:rsidRPr="00252D7B">
              <w:rPr>
                <w:rFonts w:asciiTheme="minorHAnsi" w:hAnsiTheme="minorHAnsi" w:cstheme="minorHAnsi"/>
              </w:rPr>
              <w:t>DAT SOLUCOES EM TECNOLOGIA EIRELI</w:t>
            </w:r>
          </w:p>
        </w:tc>
        <w:tc>
          <w:tcPr>
            <w:tcW w:w="1870" w:type="dxa"/>
            <w:tcBorders>
              <w:right w:val="nil"/>
            </w:tcBorders>
            <w:hideMark/>
          </w:tcPr>
          <w:p w14:paraId="39C330E9" w14:textId="09E8A6BA" w:rsidR="00A41DBB" w:rsidRPr="00252D7B" w:rsidRDefault="00A41DBB" w:rsidP="00E03684">
            <w:pPr>
              <w:widowControl/>
              <w:autoSpaceDE/>
              <w:autoSpaceDN/>
              <w:spacing w:before="120" w:after="120"/>
              <w:rPr>
                <w:rFonts w:asciiTheme="minorHAnsi" w:eastAsia="Times New Roman" w:hAnsiTheme="minorHAnsi" w:cstheme="minorHAnsi"/>
                <w:color w:val="FF0000"/>
                <w:lang w:bidi="ar-SA"/>
              </w:rPr>
            </w:pPr>
            <w:r w:rsidRPr="00252D7B">
              <w:rPr>
                <w:rFonts w:asciiTheme="minorHAnsi" w:hAnsiTheme="minorHAnsi" w:cstheme="minorHAnsi"/>
                <w:color w:val="000000"/>
              </w:rPr>
              <w:t xml:space="preserve"> </w:t>
            </w:r>
            <w:r w:rsidRPr="00252D7B">
              <w:rPr>
                <w:rFonts w:asciiTheme="minorHAnsi" w:eastAsia="Times New Roman" w:hAnsiTheme="minorHAnsi" w:cstheme="minorHAnsi"/>
                <w:lang w:bidi="ar-SA"/>
              </w:rPr>
              <w:t>R$</w:t>
            </w:r>
            <w:r w:rsidRPr="00252D7B">
              <w:rPr>
                <w:rFonts w:asciiTheme="minorHAnsi" w:hAnsiTheme="minorHAnsi" w:cstheme="minorHAnsi"/>
                <w:color w:val="000000"/>
              </w:rPr>
              <w:t xml:space="preserve">         </w:t>
            </w:r>
            <w:r w:rsidR="00B9380F" w:rsidRPr="00252D7B">
              <w:rPr>
                <w:rFonts w:asciiTheme="minorHAnsi" w:hAnsiTheme="minorHAnsi" w:cstheme="minorHAnsi"/>
                <w:color w:val="000000"/>
              </w:rPr>
              <w:t xml:space="preserve">   </w:t>
            </w:r>
            <w:r w:rsidRPr="00252D7B">
              <w:rPr>
                <w:rFonts w:asciiTheme="minorHAnsi" w:hAnsiTheme="minorHAnsi" w:cstheme="minorHAnsi"/>
                <w:color w:val="000000"/>
              </w:rPr>
              <w:t xml:space="preserve">36.582,00 </w:t>
            </w:r>
          </w:p>
        </w:tc>
      </w:tr>
      <w:tr w:rsidR="00A41DBB" w:rsidRPr="00252D7B" w14:paraId="2A7F6AE9" w14:textId="77777777" w:rsidTr="00E03684">
        <w:trPr>
          <w:trHeight w:val="297"/>
          <w:jc w:val="center"/>
        </w:trPr>
        <w:tc>
          <w:tcPr>
            <w:tcW w:w="6804" w:type="dxa"/>
            <w:tcBorders>
              <w:left w:val="nil"/>
            </w:tcBorders>
            <w:hideMark/>
          </w:tcPr>
          <w:p w14:paraId="55FA9976" w14:textId="77777777" w:rsidR="00A41DBB" w:rsidRPr="00252D7B" w:rsidRDefault="00A41DBB" w:rsidP="00E03684">
            <w:pPr>
              <w:widowControl/>
              <w:autoSpaceDE/>
              <w:autoSpaceDN/>
              <w:spacing w:before="120" w:after="120"/>
              <w:rPr>
                <w:rFonts w:asciiTheme="minorHAnsi" w:eastAsia="Times New Roman" w:hAnsiTheme="minorHAnsi" w:cstheme="minorHAnsi"/>
                <w:color w:val="FF0000"/>
                <w:lang w:bidi="ar-SA"/>
              </w:rPr>
            </w:pPr>
            <w:r w:rsidRPr="00252D7B">
              <w:rPr>
                <w:rFonts w:asciiTheme="minorHAnsi" w:hAnsiTheme="minorHAnsi" w:cstheme="minorHAnsi"/>
              </w:rPr>
              <w:t xml:space="preserve">POSITIVO TECNOLOGIA S.A. </w:t>
            </w:r>
          </w:p>
        </w:tc>
        <w:tc>
          <w:tcPr>
            <w:tcW w:w="1870" w:type="dxa"/>
            <w:tcBorders>
              <w:right w:val="nil"/>
            </w:tcBorders>
            <w:hideMark/>
          </w:tcPr>
          <w:p w14:paraId="09DE26B4" w14:textId="3EC89FF4" w:rsidR="00A41DBB" w:rsidRPr="00252D7B" w:rsidRDefault="00A41DBB" w:rsidP="00E03684">
            <w:pPr>
              <w:widowControl/>
              <w:autoSpaceDE/>
              <w:autoSpaceDN/>
              <w:spacing w:before="120" w:after="120"/>
              <w:rPr>
                <w:rFonts w:asciiTheme="minorHAnsi" w:eastAsia="Times New Roman" w:hAnsiTheme="minorHAnsi" w:cstheme="minorHAnsi"/>
                <w:color w:val="FF0000"/>
                <w:lang w:bidi="ar-SA"/>
              </w:rPr>
            </w:pPr>
            <w:r w:rsidRPr="00252D7B">
              <w:rPr>
                <w:rFonts w:asciiTheme="minorHAnsi" w:hAnsiTheme="minorHAnsi" w:cstheme="minorHAnsi"/>
                <w:color w:val="000000"/>
              </w:rPr>
              <w:t xml:space="preserve"> </w:t>
            </w:r>
            <w:r w:rsidRPr="00252D7B">
              <w:rPr>
                <w:rFonts w:asciiTheme="minorHAnsi" w:eastAsia="Times New Roman" w:hAnsiTheme="minorHAnsi" w:cstheme="minorHAnsi"/>
                <w:lang w:bidi="ar-SA"/>
              </w:rPr>
              <w:t>R$</w:t>
            </w:r>
            <w:r w:rsidRPr="00252D7B">
              <w:rPr>
                <w:rFonts w:asciiTheme="minorHAnsi" w:hAnsiTheme="minorHAnsi" w:cstheme="minorHAnsi"/>
                <w:color w:val="000000"/>
              </w:rPr>
              <w:t xml:space="preserve">   </w:t>
            </w:r>
            <w:r w:rsidR="00B9380F" w:rsidRPr="00252D7B">
              <w:rPr>
                <w:rFonts w:asciiTheme="minorHAnsi" w:hAnsiTheme="minorHAnsi" w:cstheme="minorHAnsi"/>
                <w:color w:val="000000"/>
              </w:rPr>
              <w:t xml:space="preserve">   </w:t>
            </w:r>
            <w:r w:rsidRPr="00252D7B">
              <w:rPr>
                <w:rFonts w:asciiTheme="minorHAnsi" w:hAnsiTheme="minorHAnsi" w:cstheme="minorHAnsi"/>
                <w:color w:val="000000"/>
              </w:rPr>
              <w:t xml:space="preserve">1.616.650,00 </w:t>
            </w:r>
          </w:p>
        </w:tc>
      </w:tr>
      <w:tr w:rsidR="00A41DBB" w:rsidRPr="00252D7B" w14:paraId="312356C0" w14:textId="77777777" w:rsidTr="00E03684">
        <w:trPr>
          <w:trHeight w:val="297"/>
          <w:jc w:val="center"/>
        </w:trPr>
        <w:tc>
          <w:tcPr>
            <w:tcW w:w="6804" w:type="dxa"/>
            <w:tcBorders>
              <w:left w:val="nil"/>
            </w:tcBorders>
            <w:hideMark/>
          </w:tcPr>
          <w:p w14:paraId="753523DD" w14:textId="77777777" w:rsidR="00A41DBB" w:rsidRPr="00252D7B" w:rsidRDefault="00A41DBB" w:rsidP="00E03684">
            <w:pPr>
              <w:widowControl/>
              <w:autoSpaceDE/>
              <w:autoSpaceDN/>
              <w:spacing w:before="120" w:after="120"/>
              <w:rPr>
                <w:rFonts w:asciiTheme="minorHAnsi" w:eastAsia="Times New Roman" w:hAnsiTheme="minorHAnsi" w:cstheme="minorHAnsi"/>
                <w:color w:val="FF0000"/>
                <w:lang w:bidi="ar-SA"/>
              </w:rPr>
            </w:pPr>
            <w:r w:rsidRPr="00252D7B">
              <w:rPr>
                <w:rFonts w:asciiTheme="minorHAnsi" w:hAnsiTheme="minorHAnsi" w:cstheme="minorHAnsi"/>
              </w:rPr>
              <w:t>BRASOFTWARE INFORMATICA LTDA</w:t>
            </w:r>
          </w:p>
        </w:tc>
        <w:tc>
          <w:tcPr>
            <w:tcW w:w="1870" w:type="dxa"/>
            <w:tcBorders>
              <w:right w:val="nil"/>
            </w:tcBorders>
            <w:hideMark/>
          </w:tcPr>
          <w:p w14:paraId="12ADD078" w14:textId="06A749DB" w:rsidR="00A41DBB" w:rsidRPr="00252D7B" w:rsidRDefault="00A41DBB" w:rsidP="00E03684">
            <w:pPr>
              <w:widowControl/>
              <w:autoSpaceDE/>
              <w:autoSpaceDN/>
              <w:spacing w:before="120" w:after="120"/>
              <w:rPr>
                <w:rFonts w:asciiTheme="minorHAnsi" w:eastAsia="Times New Roman" w:hAnsiTheme="minorHAnsi" w:cstheme="minorHAnsi"/>
                <w:color w:val="FF0000"/>
                <w:lang w:bidi="ar-SA"/>
              </w:rPr>
            </w:pPr>
            <w:r w:rsidRPr="00252D7B">
              <w:rPr>
                <w:rFonts w:asciiTheme="minorHAnsi" w:hAnsiTheme="minorHAnsi" w:cstheme="minorHAnsi"/>
                <w:color w:val="000000"/>
              </w:rPr>
              <w:t xml:space="preserve"> </w:t>
            </w:r>
            <w:r w:rsidRPr="00252D7B">
              <w:rPr>
                <w:rFonts w:asciiTheme="minorHAnsi" w:eastAsia="Times New Roman" w:hAnsiTheme="minorHAnsi" w:cstheme="minorHAnsi"/>
                <w:lang w:bidi="ar-SA"/>
              </w:rPr>
              <w:t>R$</w:t>
            </w:r>
            <w:r w:rsidRPr="00252D7B">
              <w:rPr>
                <w:rFonts w:asciiTheme="minorHAnsi" w:hAnsiTheme="minorHAnsi" w:cstheme="minorHAnsi"/>
                <w:color w:val="000000"/>
              </w:rPr>
              <w:t xml:space="preserve"> </w:t>
            </w:r>
            <w:r w:rsidR="00B9380F" w:rsidRPr="00252D7B">
              <w:rPr>
                <w:rFonts w:asciiTheme="minorHAnsi" w:hAnsiTheme="minorHAnsi" w:cstheme="minorHAnsi"/>
                <w:color w:val="000000"/>
              </w:rPr>
              <w:t xml:space="preserve">     </w:t>
            </w:r>
            <w:r w:rsidRPr="00252D7B">
              <w:rPr>
                <w:rFonts w:asciiTheme="minorHAnsi" w:hAnsiTheme="minorHAnsi" w:cstheme="minorHAnsi"/>
                <w:color w:val="000000"/>
              </w:rPr>
              <w:t xml:space="preserve">1.954.970,29 </w:t>
            </w:r>
          </w:p>
        </w:tc>
      </w:tr>
      <w:tr w:rsidR="00A41DBB" w:rsidRPr="00252D7B" w14:paraId="3B2C8707" w14:textId="77777777" w:rsidTr="00E03684">
        <w:trPr>
          <w:trHeight w:val="297"/>
          <w:jc w:val="center"/>
        </w:trPr>
        <w:tc>
          <w:tcPr>
            <w:tcW w:w="6804" w:type="dxa"/>
            <w:tcBorders>
              <w:left w:val="nil"/>
            </w:tcBorders>
            <w:hideMark/>
          </w:tcPr>
          <w:p w14:paraId="33C3BE58" w14:textId="77777777" w:rsidR="00A41DBB" w:rsidRPr="00252D7B" w:rsidRDefault="00A41DBB" w:rsidP="00E03684">
            <w:pPr>
              <w:widowControl/>
              <w:autoSpaceDE/>
              <w:autoSpaceDN/>
              <w:spacing w:before="120" w:after="120"/>
              <w:rPr>
                <w:rFonts w:asciiTheme="minorHAnsi" w:eastAsia="Times New Roman" w:hAnsiTheme="minorHAnsi" w:cstheme="minorHAnsi"/>
                <w:color w:val="FF0000"/>
                <w:lang w:bidi="ar-SA"/>
              </w:rPr>
            </w:pPr>
            <w:r w:rsidRPr="00252D7B">
              <w:rPr>
                <w:rFonts w:asciiTheme="minorHAnsi" w:hAnsiTheme="minorHAnsi" w:cstheme="minorHAnsi"/>
              </w:rPr>
              <w:t>GLOBALWEB OUTSOURCING DO BRASIL LTDA</w:t>
            </w:r>
          </w:p>
        </w:tc>
        <w:tc>
          <w:tcPr>
            <w:tcW w:w="1870" w:type="dxa"/>
            <w:tcBorders>
              <w:right w:val="nil"/>
            </w:tcBorders>
            <w:hideMark/>
          </w:tcPr>
          <w:p w14:paraId="776A1174" w14:textId="6A8DB6A9" w:rsidR="00A41DBB" w:rsidRPr="00252D7B" w:rsidRDefault="00A41DBB" w:rsidP="00E03684">
            <w:pPr>
              <w:widowControl/>
              <w:autoSpaceDE/>
              <w:autoSpaceDN/>
              <w:spacing w:before="120" w:after="120"/>
              <w:rPr>
                <w:rFonts w:asciiTheme="minorHAnsi" w:eastAsia="Times New Roman" w:hAnsiTheme="minorHAnsi" w:cstheme="minorHAnsi"/>
                <w:color w:val="FF0000"/>
                <w:lang w:bidi="ar-SA"/>
              </w:rPr>
            </w:pPr>
            <w:r w:rsidRPr="00252D7B">
              <w:rPr>
                <w:rFonts w:asciiTheme="minorHAnsi" w:hAnsiTheme="minorHAnsi" w:cstheme="minorHAnsi"/>
                <w:color w:val="000000"/>
              </w:rPr>
              <w:t xml:space="preserve"> </w:t>
            </w:r>
            <w:r w:rsidRPr="00252D7B">
              <w:rPr>
                <w:rFonts w:asciiTheme="minorHAnsi" w:eastAsia="Times New Roman" w:hAnsiTheme="minorHAnsi" w:cstheme="minorHAnsi"/>
                <w:lang w:bidi="ar-SA"/>
              </w:rPr>
              <w:t>R$</w:t>
            </w:r>
            <w:r w:rsidRPr="00252D7B">
              <w:rPr>
                <w:rFonts w:asciiTheme="minorHAnsi" w:hAnsiTheme="minorHAnsi" w:cstheme="minorHAnsi"/>
                <w:color w:val="000000"/>
              </w:rPr>
              <w:t xml:space="preserve">          </w:t>
            </w:r>
            <w:r w:rsidR="00B9380F" w:rsidRPr="00252D7B">
              <w:rPr>
                <w:rFonts w:asciiTheme="minorHAnsi" w:hAnsiTheme="minorHAnsi" w:cstheme="minorHAnsi"/>
                <w:color w:val="000000"/>
              </w:rPr>
              <w:t xml:space="preserve">    </w:t>
            </w:r>
            <w:r w:rsidRPr="00252D7B">
              <w:rPr>
                <w:rFonts w:asciiTheme="minorHAnsi" w:hAnsiTheme="minorHAnsi" w:cstheme="minorHAnsi"/>
                <w:color w:val="000000"/>
              </w:rPr>
              <w:t xml:space="preserve">8.458,00 </w:t>
            </w:r>
          </w:p>
        </w:tc>
      </w:tr>
      <w:tr w:rsidR="00A41DBB" w:rsidRPr="00252D7B" w14:paraId="257A01D0" w14:textId="77777777" w:rsidTr="00E03684">
        <w:trPr>
          <w:trHeight w:val="297"/>
          <w:jc w:val="center"/>
        </w:trPr>
        <w:tc>
          <w:tcPr>
            <w:tcW w:w="6804" w:type="dxa"/>
            <w:tcBorders>
              <w:left w:val="nil"/>
            </w:tcBorders>
            <w:hideMark/>
          </w:tcPr>
          <w:p w14:paraId="3644E2FF" w14:textId="77777777" w:rsidR="00A41DBB" w:rsidRPr="00252D7B" w:rsidRDefault="00A41DBB" w:rsidP="00E03684">
            <w:pPr>
              <w:widowControl/>
              <w:autoSpaceDE/>
              <w:autoSpaceDN/>
              <w:spacing w:before="120" w:after="120"/>
              <w:rPr>
                <w:rFonts w:asciiTheme="minorHAnsi" w:eastAsia="Times New Roman" w:hAnsiTheme="minorHAnsi" w:cstheme="minorHAnsi"/>
                <w:color w:val="FF0000"/>
                <w:lang w:bidi="ar-SA"/>
              </w:rPr>
            </w:pPr>
            <w:r w:rsidRPr="00252D7B">
              <w:rPr>
                <w:rFonts w:asciiTheme="minorHAnsi" w:hAnsiTheme="minorHAnsi" w:cstheme="minorHAnsi"/>
              </w:rPr>
              <w:t>HOMINUS GESTAO E TECNOLOGIA LTDA</w:t>
            </w:r>
          </w:p>
        </w:tc>
        <w:tc>
          <w:tcPr>
            <w:tcW w:w="1870" w:type="dxa"/>
            <w:tcBorders>
              <w:right w:val="nil"/>
            </w:tcBorders>
            <w:hideMark/>
          </w:tcPr>
          <w:p w14:paraId="0BC5271C" w14:textId="0232A26A" w:rsidR="00A41DBB" w:rsidRPr="00252D7B" w:rsidRDefault="00A41DBB" w:rsidP="00E03684">
            <w:pPr>
              <w:widowControl/>
              <w:autoSpaceDE/>
              <w:autoSpaceDN/>
              <w:spacing w:before="120" w:after="120"/>
              <w:rPr>
                <w:rFonts w:asciiTheme="minorHAnsi" w:eastAsia="Times New Roman" w:hAnsiTheme="minorHAnsi" w:cstheme="minorHAnsi"/>
                <w:color w:val="FF0000"/>
                <w:lang w:bidi="ar-SA"/>
              </w:rPr>
            </w:pPr>
            <w:r w:rsidRPr="00252D7B">
              <w:rPr>
                <w:rFonts w:asciiTheme="minorHAnsi" w:hAnsiTheme="minorHAnsi" w:cstheme="minorHAnsi"/>
                <w:color w:val="000000"/>
              </w:rPr>
              <w:t xml:space="preserve"> </w:t>
            </w:r>
            <w:r w:rsidRPr="00252D7B">
              <w:rPr>
                <w:rFonts w:asciiTheme="minorHAnsi" w:eastAsia="Times New Roman" w:hAnsiTheme="minorHAnsi" w:cstheme="minorHAnsi"/>
                <w:lang w:bidi="ar-SA"/>
              </w:rPr>
              <w:t>R$</w:t>
            </w:r>
            <w:r w:rsidRPr="00252D7B">
              <w:rPr>
                <w:rFonts w:asciiTheme="minorHAnsi" w:hAnsiTheme="minorHAnsi" w:cstheme="minorHAnsi"/>
                <w:color w:val="000000"/>
              </w:rPr>
              <w:t xml:space="preserve">      </w:t>
            </w:r>
            <w:r w:rsidR="00B9380F" w:rsidRPr="00252D7B">
              <w:rPr>
                <w:rFonts w:asciiTheme="minorHAnsi" w:hAnsiTheme="minorHAnsi" w:cstheme="minorHAnsi"/>
                <w:color w:val="000000"/>
              </w:rPr>
              <w:t xml:space="preserve">    </w:t>
            </w:r>
            <w:r w:rsidRPr="00252D7B">
              <w:rPr>
                <w:rFonts w:asciiTheme="minorHAnsi" w:hAnsiTheme="minorHAnsi" w:cstheme="minorHAnsi"/>
                <w:color w:val="000000"/>
              </w:rPr>
              <w:t xml:space="preserve">574.412,50 </w:t>
            </w:r>
          </w:p>
        </w:tc>
      </w:tr>
      <w:tr w:rsidR="00A41DBB" w:rsidRPr="00252D7B" w14:paraId="625D36B1" w14:textId="77777777" w:rsidTr="00E03684">
        <w:trPr>
          <w:trHeight w:val="297"/>
          <w:jc w:val="center"/>
        </w:trPr>
        <w:tc>
          <w:tcPr>
            <w:tcW w:w="6804" w:type="dxa"/>
            <w:tcBorders>
              <w:left w:val="nil"/>
            </w:tcBorders>
            <w:hideMark/>
          </w:tcPr>
          <w:p w14:paraId="54A45B95" w14:textId="77777777" w:rsidR="00A41DBB" w:rsidRPr="00252D7B" w:rsidRDefault="00A41DBB" w:rsidP="00E03684">
            <w:pPr>
              <w:widowControl/>
              <w:autoSpaceDE/>
              <w:autoSpaceDN/>
              <w:spacing w:before="120" w:after="120"/>
              <w:rPr>
                <w:rFonts w:asciiTheme="minorHAnsi" w:eastAsia="Times New Roman" w:hAnsiTheme="minorHAnsi" w:cstheme="minorHAnsi"/>
                <w:color w:val="FF0000"/>
                <w:lang w:bidi="ar-SA"/>
              </w:rPr>
            </w:pPr>
            <w:r w:rsidRPr="00252D7B">
              <w:rPr>
                <w:rFonts w:asciiTheme="minorHAnsi" w:hAnsiTheme="minorHAnsi" w:cstheme="minorHAnsi"/>
              </w:rPr>
              <w:t>90 TECNOLOGIA DA INFORMACAO LTDA</w:t>
            </w:r>
          </w:p>
        </w:tc>
        <w:tc>
          <w:tcPr>
            <w:tcW w:w="1870" w:type="dxa"/>
            <w:tcBorders>
              <w:right w:val="nil"/>
            </w:tcBorders>
            <w:hideMark/>
          </w:tcPr>
          <w:p w14:paraId="405A46DC" w14:textId="644191CF" w:rsidR="00A41DBB" w:rsidRPr="00252D7B" w:rsidRDefault="00A41DBB" w:rsidP="00E03684">
            <w:pPr>
              <w:widowControl/>
              <w:autoSpaceDE/>
              <w:autoSpaceDN/>
              <w:spacing w:before="120" w:after="120"/>
              <w:rPr>
                <w:rFonts w:asciiTheme="minorHAnsi" w:eastAsia="Times New Roman" w:hAnsiTheme="minorHAnsi" w:cstheme="minorHAnsi"/>
                <w:color w:val="FF0000"/>
                <w:lang w:bidi="ar-SA"/>
              </w:rPr>
            </w:pPr>
            <w:r w:rsidRPr="00252D7B">
              <w:rPr>
                <w:rFonts w:asciiTheme="minorHAnsi" w:hAnsiTheme="minorHAnsi" w:cstheme="minorHAnsi"/>
                <w:color w:val="000000"/>
              </w:rPr>
              <w:t xml:space="preserve"> </w:t>
            </w:r>
            <w:r w:rsidRPr="00252D7B">
              <w:rPr>
                <w:rFonts w:asciiTheme="minorHAnsi" w:eastAsia="Times New Roman" w:hAnsiTheme="minorHAnsi" w:cstheme="minorHAnsi"/>
                <w:lang w:bidi="ar-SA"/>
              </w:rPr>
              <w:t>R$</w:t>
            </w:r>
            <w:r w:rsidRPr="00252D7B">
              <w:rPr>
                <w:rFonts w:asciiTheme="minorHAnsi" w:hAnsiTheme="minorHAnsi" w:cstheme="minorHAnsi"/>
                <w:color w:val="000000"/>
              </w:rPr>
              <w:t xml:space="preserve">        </w:t>
            </w:r>
            <w:r w:rsidR="00B9380F" w:rsidRPr="00252D7B">
              <w:rPr>
                <w:rFonts w:asciiTheme="minorHAnsi" w:hAnsiTheme="minorHAnsi" w:cstheme="minorHAnsi"/>
                <w:color w:val="000000"/>
              </w:rPr>
              <w:t xml:space="preserve">    </w:t>
            </w:r>
            <w:r w:rsidRPr="00252D7B">
              <w:rPr>
                <w:rFonts w:asciiTheme="minorHAnsi" w:hAnsiTheme="minorHAnsi" w:cstheme="minorHAnsi"/>
                <w:color w:val="000000"/>
              </w:rPr>
              <w:t xml:space="preserve">16.960,00 </w:t>
            </w:r>
          </w:p>
        </w:tc>
      </w:tr>
      <w:tr w:rsidR="00A41DBB" w:rsidRPr="00252D7B" w14:paraId="3E76E9E0" w14:textId="77777777" w:rsidTr="00E03684">
        <w:trPr>
          <w:trHeight w:val="297"/>
          <w:jc w:val="center"/>
        </w:trPr>
        <w:tc>
          <w:tcPr>
            <w:tcW w:w="6804" w:type="dxa"/>
            <w:tcBorders>
              <w:left w:val="nil"/>
            </w:tcBorders>
            <w:hideMark/>
          </w:tcPr>
          <w:p w14:paraId="2D081D29" w14:textId="77777777" w:rsidR="00A41DBB" w:rsidRPr="00252D7B" w:rsidRDefault="00A41DBB" w:rsidP="00E03684">
            <w:pPr>
              <w:widowControl/>
              <w:autoSpaceDE/>
              <w:autoSpaceDN/>
              <w:spacing w:before="120" w:after="120"/>
              <w:rPr>
                <w:rFonts w:asciiTheme="minorHAnsi" w:eastAsia="Times New Roman" w:hAnsiTheme="minorHAnsi" w:cstheme="minorHAnsi"/>
                <w:color w:val="FF0000"/>
                <w:lang w:bidi="ar-SA"/>
              </w:rPr>
            </w:pPr>
            <w:r w:rsidRPr="00252D7B">
              <w:rPr>
                <w:rFonts w:asciiTheme="minorHAnsi" w:hAnsiTheme="minorHAnsi" w:cstheme="minorHAnsi"/>
              </w:rPr>
              <w:t xml:space="preserve">ADVEN COMERCIO, LOCACAO E SERVICOS LTDA </w:t>
            </w:r>
          </w:p>
        </w:tc>
        <w:tc>
          <w:tcPr>
            <w:tcW w:w="1870" w:type="dxa"/>
            <w:tcBorders>
              <w:right w:val="nil"/>
            </w:tcBorders>
            <w:hideMark/>
          </w:tcPr>
          <w:p w14:paraId="2B538736" w14:textId="2611752E" w:rsidR="00A41DBB" w:rsidRPr="00252D7B" w:rsidRDefault="00A41DBB" w:rsidP="00E03684">
            <w:pPr>
              <w:widowControl/>
              <w:autoSpaceDE/>
              <w:autoSpaceDN/>
              <w:spacing w:before="120" w:after="120"/>
              <w:rPr>
                <w:rFonts w:asciiTheme="minorHAnsi" w:eastAsia="Times New Roman" w:hAnsiTheme="minorHAnsi" w:cstheme="minorHAnsi"/>
                <w:color w:val="FF0000"/>
                <w:lang w:bidi="ar-SA"/>
              </w:rPr>
            </w:pPr>
            <w:r w:rsidRPr="00252D7B">
              <w:rPr>
                <w:rFonts w:asciiTheme="minorHAnsi" w:hAnsiTheme="minorHAnsi" w:cstheme="minorHAnsi"/>
                <w:color w:val="000000"/>
              </w:rPr>
              <w:t xml:space="preserve"> </w:t>
            </w:r>
            <w:r w:rsidRPr="00252D7B">
              <w:rPr>
                <w:rFonts w:asciiTheme="minorHAnsi" w:eastAsia="Times New Roman" w:hAnsiTheme="minorHAnsi" w:cstheme="minorHAnsi"/>
                <w:lang w:bidi="ar-SA"/>
              </w:rPr>
              <w:t>R$</w:t>
            </w:r>
            <w:r w:rsidRPr="00252D7B">
              <w:rPr>
                <w:rFonts w:asciiTheme="minorHAnsi" w:hAnsiTheme="minorHAnsi" w:cstheme="minorHAnsi"/>
                <w:color w:val="000000"/>
              </w:rPr>
              <w:t xml:space="preserve">      </w:t>
            </w:r>
            <w:r w:rsidR="00B9380F" w:rsidRPr="00252D7B">
              <w:rPr>
                <w:rFonts w:asciiTheme="minorHAnsi" w:hAnsiTheme="minorHAnsi" w:cstheme="minorHAnsi"/>
                <w:color w:val="000000"/>
              </w:rPr>
              <w:t xml:space="preserve">    </w:t>
            </w:r>
            <w:r w:rsidRPr="00252D7B">
              <w:rPr>
                <w:rFonts w:asciiTheme="minorHAnsi" w:hAnsiTheme="minorHAnsi" w:cstheme="minorHAnsi"/>
                <w:color w:val="000000"/>
              </w:rPr>
              <w:t xml:space="preserve">259.849,20 </w:t>
            </w:r>
          </w:p>
        </w:tc>
      </w:tr>
      <w:tr w:rsidR="00A41DBB" w:rsidRPr="00252D7B" w14:paraId="623CDFAC" w14:textId="77777777" w:rsidTr="00E03684">
        <w:trPr>
          <w:trHeight w:val="297"/>
          <w:jc w:val="center"/>
        </w:trPr>
        <w:tc>
          <w:tcPr>
            <w:tcW w:w="6804" w:type="dxa"/>
            <w:tcBorders>
              <w:left w:val="nil"/>
            </w:tcBorders>
          </w:tcPr>
          <w:p w14:paraId="72F7063F" w14:textId="77777777" w:rsidR="00A41DBB" w:rsidRPr="00252D7B" w:rsidRDefault="00A41DBB" w:rsidP="00E03684">
            <w:pPr>
              <w:widowControl/>
              <w:autoSpaceDE/>
              <w:autoSpaceDN/>
              <w:spacing w:before="120" w:after="120"/>
              <w:rPr>
                <w:rFonts w:asciiTheme="minorHAnsi" w:hAnsiTheme="minorHAnsi" w:cstheme="minorHAnsi"/>
              </w:rPr>
            </w:pPr>
            <w:r w:rsidRPr="00252D7B">
              <w:rPr>
                <w:rFonts w:asciiTheme="minorHAnsi" w:hAnsiTheme="minorHAnsi" w:cstheme="minorHAnsi"/>
                <w:color w:val="000000"/>
              </w:rPr>
              <w:t>MCR SISTEMAS E CONSULTORIA LTDA</w:t>
            </w:r>
          </w:p>
        </w:tc>
        <w:tc>
          <w:tcPr>
            <w:tcW w:w="1870" w:type="dxa"/>
            <w:tcBorders>
              <w:right w:val="nil"/>
            </w:tcBorders>
          </w:tcPr>
          <w:p w14:paraId="09B790DB" w14:textId="5FFC5539" w:rsidR="00A41DBB" w:rsidRPr="00252D7B" w:rsidRDefault="00A41DBB" w:rsidP="00E03684">
            <w:pPr>
              <w:widowControl/>
              <w:autoSpaceDE/>
              <w:autoSpaceDN/>
              <w:spacing w:before="120" w:after="120"/>
              <w:rPr>
                <w:rFonts w:asciiTheme="minorHAnsi" w:eastAsia="Times New Roman" w:hAnsiTheme="minorHAnsi" w:cstheme="minorHAnsi"/>
                <w:color w:val="FF0000"/>
                <w:lang w:bidi="ar-SA"/>
              </w:rPr>
            </w:pPr>
            <w:r w:rsidRPr="00252D7B">
              <w:rPr>
                <w:rFonts w:asciiTheme="minorHAnsi" w:hAnsiTheme="minorHAnsi" w:cstheme="minorHAnsi"/>
                <w:color w:val="000000"/>
              </w:rPr>
              <w:t xml:space="preserve"> </w:t>
            </w:r>
            <w:r w:rsidRPr="00252D7B">
              <w:rPr>
                <w:rFonts w:asciiTheme="minorHAnsi" w:eastAsia="Times New Roman" w:hAnsiTheme="minorHAnsi" w:cstheme="minorHAnsi"/>
                <w:lang w:bidi="ar-SA"/>
              </w:rPr>
              <w:t>R$</w:t>
            </w:r>
            <w:r w:rsidRPr="00252D7B">
              <w:rPr>
                <w:rFonts w:asciiTheme="minorHAnsi" w:hAnsiTheme="minorHAnsi" w:cstheme="minorHAnsi"/>
                <w:color w:val="000000"/>
              </w:rPr>
              <w:t xml:space="preserve">      </w:t>
            </w:r>
            <w:r w:rsidR="00B9380F" w:rsidRPr="00252D7B">
              <w:rPr>
                <w:rFonts w:asciiTheme="minorHAnsi" w:hAnsiTheme="minorHAnsi" w:cstheme="minorHAnsi"/>
                <w:color w:val="000000"/>
              </w:rPr>
              <w:t xml:space="preserve">    </w:t>
            </w:r>
            <w:r w:rsidRPr="00252D7B">
              <w:rPr>
                <w:rFonts w:asciiTheme="minorHAnsi" w:hAnsiTheme="minorHAnsi" w:cstheme="minorHAnsi"/>
                <w:color w:val="000000"/>
              </w:rPr>
              <w:t xml:space="preserve">119.020,00 </w:t>
            </w:r>
          </w:p>
        </w:tc>
      </w:tr>
      <w:tr w:rsidR="00A41DBB" w:rsidRPr="00252D7B" w14:paraId="1E8BE992" w14:textId="77777777" w:rsidTr="00E03684">
        <w:trPr>
          <w:trHeight w:val="297"/>
          <w:jc w:val="center"/>
        </w:trPr>
        <w:tc>
          <w:tcPr>
            <w:tcW w:w="6804" w:type="dxa"/>
            <w:tcBorders>
              <w:left w:val="nil"/>
            </w:tcBorders>
          </w:tcPr>
          <w:p w14:paraId="545DB994" w14:textId="77777777" w:rsidR="00A41DBB" w:rsidRPr="00252D7B" w:rsidRDefault="00A41DBB" w:rsidP="00E03684">
            <w:pPr>
              <w:widowControl/>
              <w:autoSpaceDE/>
              <w:autoSpaceDN/>
              <w:spacing w:before="120" w:after="120"/>
              <w:rPr>
                <w:rFonts w:asciiTheme="minorHAnsi" w:hAnsiTheme="minorHAnsi" w:cstheme="minorHAnsi"/>
              </w:rPr>
            </w:pPr>
            <w:r w:rsidRPr="00252D7B">
              <w:rPr>
                <w:rFonts w:asciiTheme="minorHAnsi" w:hAnsiTheme="minorHAnsi" w:cstheme="minorHAnsi"/>
                <w:color w:val="000000"/>
              </w:rPr>
              <w:t>NIVA TECNOLOGIA DA INFORMACAO LTDA</w:t>
            </w:r>
          </w:p>
        </w:tc>
        <w:tc>
          <w:tcPr>
            <w:tcW w:w="1870" w:type="dxa"/>
            <w:tcBorders>
              <w:right w:val="nil"/>
            </w:tcBorders>
          </w:tcPr>
          <w:p w14:paraId="2AA5326B" w14:textId="61F1861E" w:rsidR="00A41DBB" w:rsidRPr="00252D7B" w:rsidRDefault="00A41DBB" w:rsidP="00E03684">
            <w:pPr>
              <w:widowControl/>
              <w:autoSpaceDE/>
              <w:autoSpaceDN/>
              <w:spacing w:before="120" w:after="120"/>
              <w:rPr>
                <w:rFonts w:asciiTheme="minorHAnsi" w:eastAsia="Times New Roman" w:hAnsiTheme="minorHAnsi" w:cstheme="minorHAnsi"/>
                <w:color w:val="FF0000"/>
                <w:lang w:bidi="ar-SA"/>
              </w:rPr>
            </w:pPr>
            <w:r w:rsidRPr="00252D7B">
              <w:rPr>
                <w:rFonts w:asciiTheme="minorHAnsi" w:hAnsiTheme="minorHAnsi" w:cstheme="minorHAnsi"/>
                <w:color w:val="000000"/>
              </w:rPr>
              <w:t xml:space="preserve"> </w:t>
            </w:r>
            <w:r w:rsidRPr="00252D7B">
              <w:rPr>
                <w:rFonts w:asciiTheme="minorHAnsi" w:eastAsia="Times New Roman" w:hAnsiTheme="minorHAnsi" w:cstheme="minorHAnsi"/>
                <w:lang w:bidi="ar-SA"/>
              </w:rPr>
              <w:t>R$</w:t>
            </w:r>
            <w:r w:rsidRPr="00252D7B">
              <w:rPr>
                <w:rFonts w:asciiTheme="minorHAnsi" w:hAnsiTheme="minorHAnsi" w:cstheme="minorHAnsi"/>
                <w:color w:val="000000"/>
              </w:rPr>
              <w:t xml:space="preserve">      </w:t>
            </w:r>
            <w:r w:rsidR="00B9380F" w:rsidRPr="00252D7B">
              <w:rPr>
                <w:rFonts w:asciiTheme="minorHAnsi" w:hAnsiTheme="minorHAnsi" w:cstheme="minorHAnsi"/>
                <w:color w:val="000000"/>
              </w:rPr>
              <w:t xml:space="preserve">    </w:t>
            </w:r>
            <w:r w:rsidRPr="00252D7B">
              <w:rPr>
                <w:rFonts w:asciiTheme="minorHAnsi" w:hAnsiTheme="minorHAnsi" w:cstheme="minorHAnsi"/>
                <w:color w:val="000000"/>
              </w:rPr>
              <w:t xml:space="preserve">118.064,86 </w:t>
            </w:r>
          </w:p>
        </w:tc>
      </w:tr>
      <w:tr w:rsidR="00A41DBB" w:rsidRPr="00252D7B" w14:paraId="500ABC0F" w14:textId="77777777" w:rsidTr="00E03684">
        <w:trPr>
          <w:trHeight w:val="297"/>
          <w:jc w:val="center"/>
        </w:trPr>
        <w:tc>
          <w:tcPr>
            <w:tcW w:w="6804" w:type="dxa"/>
            <w:tcBorders>
              <w:left w:val="nil"/>
            </w:tcBorders>
          </w:tcPr>
          <w:p w14:paraId="788C5071" w14:textId="77777777" w:rsidR="00A41DBB" w:rsidRPr="00252D7B" w:rsidRDefault="00A41DBB" w:rsidP="00E03684">
            <w:pPr>
              <w:widowControl/>
              <w:autoSpaceDE/>
              <w:autoSpaceDN/>
              <w:spacing w:before="120" w:after="120"/>
              <w:rPr>
                <w:rFonts w:asciiTheme="minorHAnsi" w:hAnsiTheme="minorHAnsi" w:cstheme="minorHAnsi"/>
              </w:rPr>
            </w:pPr>
            <w:r w:rsidRPr="00252D7B">
              <w:rPr>
                <w:rFonts w:asciiTheme="minorHAnsi" w:hAnsiTheme="minorHAnsi" w:cstheme="minorHAnsi"/>
                <w:color w:val="000000"/>
              </w:rPr>
              <w:t xml:space="preserve"> VENUS WORLD COMERCIO DE EQUIPAMENTOS E MATERIAL PAR </w:t>
            </w:r>
          </w:p>
        </w:tc>
        <w:tc>
          <w:tcPr>
            <w:tcW w:w="1870" w:type="dxa"/>
            <w:tcBorders>
              <w:right w:val="nil"/>
            </w:tcBorders>
          </w:tcPr>
          <w:p w14:paraId="39F6E70D" w14:textId="24F7DE3D" w:rsidR="00A41DBB" w:rsidRPr="00252D7B" w:rsidRDefault="00A41DBB" w:rsidP="00E03684">
            <w:pPr>
              <w:widowControl/>
              <w:autoSpaceDE/>
              <w:autoSpaceDN/>
              <w:spacing w:before="120" w:after="120"/>
              <w:rPr>
                <w:rFonts w:asciiTheme="minorHAnsi" w:eastAsia="Times New Roman" w:hAnsiTheme="minorHAnsi" w:cstheme="minorHAnsi"/>
                <w:color w:val="FF0000"/>
                <w:lang w:bidi="ar-SA"/>
              </w:rPr>
            </w:pPr>
            <w:r w:rsidRPr="00252D7B">
              <w:rPr>
                <w:rFonts w:asciiTheme="minorHAnsi" w:hAnsiTheme="minorHAnsi" w:cstheme="minorHAnsi"/>
                <w:color w:val="000000"/>
              </w:rPr>
              <w:t xml:space="preserve"> </w:t>
            </w:r>
            <w:r w:rsidRPr="00252D7B">
              <w:rPr>
                <w:rFonts w:asciiTheme="minorHAnsi" w:eastAsia="Times New Roman" w:hAnsiTheme="minorHAnsi" w:cstheme="minorHAnsi"/>
                <w:lang w:bidi="ar-SA"/>
              </w:rPr>
              <w:t>R$</w:t>
            </w:r>
            <w:r w:rsidRPr="00252D7B">
              <w:rPr>
                <w:rFonts w:asciiTheme="minorHAnsi" w:hAnsiTheme="minorHAnsi" w:cstheme="minorHAnsi"/>
                <w:color w:val="000000"/>
              </w:rPr>
              <w:t xml:space="preserve">          </w:t>
            </w:r>
            <w:r w:rsidR="00B9380F" w:rsidRPr="00252D7B">
              <w:rPr>
                <w:rFonts w:asciiTheme="minorHAnsi" w:hAnsiTheme="minorHAnsi" w:cstheme="minorHAnsi"/>
                <w:color w:val="000000"/>
              </w:rPr>
              <w:t xml:space="preserve">     </w:t>
            </w:r>
            <w:r w:rsidRPr="00252D7B">
              <w:rPr>
                <w:rFonts w:asciiTheme="minorHAnsi" w:hAnsiTheme="minorHAnsi" w:cstheme="minorHAnsi"/>
                <w:color w:val="000000"/>
              </w:rPr>
              <w:t xml:space="preserve">5.985,00 </w:t>
            </w:r>
          </w:p>
        </w:tc>
      </w:tr>
      <w:tr w:rsidR="00A41DBB" w:rsidRPr="00252D7B" w14:paraId="175E1D95" w14:textId="77777777" w:rsidTr="00E03684">
        <w:trPr>
          <w:trHeight w:val="297"/>
          <w:jc w:val="center"/>
        </w:trPr>
        <w:tc>
          <w:tcPr>
            <w:tcW w:w="6804" w:type="dxa"/>
            <w:tcBorders>
              <w:left w:val="nil"/>
            </w:tcBorders>
          </w:tcPr>
          <w:p w14:paraId="46DD593A" w14:textId="77777777" w:rsidR="00A41DBB" w:rsidRPr="00252D7B" w:rsidRDefault="00A41DBB" w:rsidP="00E03684">
            <w:pPr>
              <w:widowControl/>
              <w:autoSpaceDE/>
              <w:autoSpaceDN/>
              <w:spacing w:before="120" w:after="120"/>
              <w:rPr>
                <w:rFonts w:asciiTheme="minorHAnsi" w:hAnsiTheme="minorHAnsi" w:cstheme="minorHAnsi"/>
              </w:rPr>
            </w:pPr>
            <w:r w:rsidRPr="00252D7B">
              <w:rPr>
                <w:rFonts w:asciiTheme="minorHAnsi" w:hAnsiTheme="minorHAnsi" w:cstheme="minorHAnsi"/>
                <w:color w:val="000000"/>
              </w:rPr>
              <w:t xml:space="preserve"> IMAGEM GEOSISTEMAS E COMERCIO LTDA  </w:t>
            </w:r>
          </w:p>
        </w:tc>
        <w:tc>
          <w:tcPr>
            <w:tcW w:w="1870" w:type="dxa"/>
            <w:tcBorders>
              <w:right w:val="nil"/>
            </w:tcBorders>
          </w:tcPr>
          <w:p w14:paraId="34B4CE61" w14:textId="08E304F3" w:rsidR="00A41DBB" w:rsidRPr="00252D7B" w:rsidRDefault="00A41DBB" w:rsidP="00B9380F">
            <w:pPr>
              <w:widowControl/>
              <w:autoSpaceDE/>
              <w:autoSpaceDN/>
              <w:spacing w:before="120" w:after="120"/>
              <w:ind w:right="-72"/>
              <w:rPr>
                <w:rFonts w:asciiTheme="minorHAnsi" w:eastAsia="Times New Roman" w:hAnsiTheme="minorHAnsi" w:cstheme="minorHAnsi"/>
                <w:color w:val="FF0000"/>
                <w:lang w:bidi="ar-SA"/>
              </w:rPr>
            </w:pPr>
            <w:r w:rsidRPr="00252D7B">
              <w:rPr>
                <w:rFonts w:asciiTheme="minorHAnsi" w:hAnsiTheme="minorHAnsi" w:cstheme="minorHAnsi"/>
                <w:color w:val="000000"/>
              </w:rPr>
              <w:t xml:space="preserve"> </w:t>
            </w:r>
            <w:r w:rsidRPr="00252D7B">
              <w:rPr>
                <w:rFonts w:asciiTheme="minorHAnsi" w:eastAsia="Times New Roman" w:hAnsiTheme="minorHAnsi" w:cstheme="minorHAnsi"/>
                <w:lang w:bidi="ar-SA"/>
              </w:rPr>
              <w:t>R$</w:t>
            </w:r>
            <w:r w:rsidRPr="00252D7B">
              <w:rPr>
                <w:rFonts w:asciiTheme="minorHAnsi" w:hAnsiTheme="minorHAnsi" w:cstheme="minorHAnsi"/>
                <w:color w:val="000000"/>
              </w:rPr>
              <w:t xml:space="preserve">      </w:t>
            </w:r>
            <w:r w:rsidR="00B9380F" w:rsidRPr="00252D7B">
              <w:rPr>
                <w:rFonts w:asciiTheme="minorHAnsi" w:hAnsiTheme="minorHAnsi" w:cstheme="minorHAnsi"/>
                <w:color w:val="000000"/>
              </w:rPr>
              <w:t xml:space="preserve">     </w:t>
            </w:r>
            <w:r w:rsidRPr="00252D7B">
              <w:rPr>
                <w:rFonts w:asciiTheme="minorHAnsi" w:hAnsiTheme="minorHAnsi" w:cstheme="minorHAnsi"/>
                <w:color w:val="000000"/>
              </w:rPr>
              <w:t xml:space="preserve">447.467,66 </w:t>
            </w:r>
          </w:p>
        </w:tc>
      </w:tr>
      <w:tr w:rsidR="00A41DBB" w:rsidRPr="00252D7B" w14:paraId="28B0FE94" w14:textId="77777777" w:rsidTr="00E03684">
        <w:trPr>
          <w:trHeight w:val="297"/>
          <w:jc w:val="center"/>
        </w:trPr>
        <w:tc>
          <w:tcPr>
            <w:tcW w:w="6804" w:type="dxa"/>
            <w:tcBorders>
              <w:left w:val="nil"/>
            </w:tcBorders>
            <w:hideMark/>
          </w:tcPr>
          <w:p w14:paraId="10A19567"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b/>
                <w:bCs/>
                <w:lang w:bidi="ar-SA"/>
              </w:rPr>
              <w:t>Total geral</w:t>
            </w:r>
          </w:p>
        </w:tc>
        <w:tc>
          <w:tcPr>
            <w:tcW w:w="1870" w:type="dxa"/>
            <w:tcBorders>
              <w:right w:val="nil"/>
            </w:tcBorders>
            <w:hideMark/>
          </w:tcPr>
          <w:p w14:paraId="21ED53B5" w14:textId="735E5BAA" w:rsidR="00A41DBB" w:rsidRPr="00252D7B" w:rsidRDefault="00A41DBB" w:rsidP="00B9380F">
            <w:pPr>
              <w:keepNext/>
              <w:widowControl/>
              <w:autoSpaceDE/>
              <w:autoSpaceDN/>
              <w:spacing w:before="120" w:after="120"/>
              <w:ind w:right="-72"/>
              <w:rPr>
                <w:rFonts w:asciiTheme="minorHAnsi" w:eastAsia="Times New Roman" w:hAnsiTheme="minorHAnsi" w:cstheme="minorHAnsi"/>
                <w:lang w:bidi="ar-SA"/>
              </w:rPr>
            </w:pPr>
            <w:r w:rsidRPr="00252D7B">
              <w:rPr>
                <w:rFonts w:asciiTheme="minorHAnsi" w:eastAsia="Times New Roman" w:hAnsiTheme="minorHAnsi" w:cstheme="minorHAnsi"/>
                <w:b/>
                <w:bCs/>
                <w:lang w:bidi="ar-SA"/>
              </w:rPr>
              <w:t xml:space="preserve"> R$ </w:t>
            </w:r>
            <w:r w:rsidR="00B9380F" w:rsidRPr="00252D7B">
              <w:rPr>
                <w:rFonts w:asciiTheme="minorHAnsi" w:eastAsia="Times New Roman" w:hAnsiTheme="minorHAnsi" w:cstheme="minorHAnsi"/>
                <w:b/>
                <w:bCs/>
                <w:lang w:bidi="ar-SA"/>
              </w:rPr>
              <w:t xml:space="preserve">       </w:t>
            </w:r>
            <w:r w:rsidRPr="00252D7B">
              <w:rPr>
                <w:rFonts w:asciiTheme="minorHAnsi" w:eastAsia="Times New Roman" w:hAnsiTheme="minorHAnsi" w:cstheme="minorHAnsi"/>
                <w:b/>
                <w:bCs/>
                <w:lang w:bidi="ar-SA"/>
              </w:rPr>
              <w:t>8.804.692,03</w:t>
            </w:r>
          </w:p>
        </w:tc>
      </w:tr>
    </w:tbl>
    <w:p w14:paraId="2923339B" w14:textId="77777777" w:rsidR="00A41DBB" w:rsidRPr="00252D7B" w:rsidRDefault="00A41DBB" w:rsidP="00A41DBB">
      <w:pPr>
        <w:pStyle w:val="Legenda"/>
        <w:spacing w:before="120" w:after="120"/>
        <w:jc w:val="center"/>
        <w:rPr>
          <w:rFonts w:asciiTheme="minorHAnsi" w:hAnsiTheme="minorHAnsi" w:cstheme="minorHAnsi"/>
        </w:rPr>
      </w:pPr>
    </w:p>
    <w:p w14:paraId="467F91DB" w14:textId="77777777" w:rsidR="00A41DBB" w:rsidRPr="00252D7B" w:rsidRDefault="00A41DBB" w:rsidP="00A41DBB">
      <w:pPr>
        <w:widowControl/>
        <w:autoSpaceDE/>
        <w:autoSpaceDN/>
        <w:spacing w:after="160" w:line="259" w:lineRule="auto"/>
        <w:rPr>
          <w:rFonts w:asciiTheme="minorHAnsi" w:hAnsiTheme="minorHAnsi" w:cstheme="minorHAnsi"/>
          <w:i/>
          <w:iCs/>
          <w:color w:val="1F497D"/>
          <w:sz w:val="20"/>
          <w:szCs w:val="20"/>
        </w:rPr>
      </w:pPr>
      <w:bookmarkStart w:id="438" w:name="_Toc97216042"/>
      <w:r w:rsidRPr="00252D7B">
        <w:rPr>
          <w:rFonts w:asciiTheme="minorHAnsi" w:hAnsiTheme="minorHAnsi" w:cstheme="minorHAnsi"/>
          <w:sz w:val="20"/>
          <w:szCs w:val="20"/>
        </w:rPr>
        <w:br w:type="page"/>
      </w:r>
    </w:p>
    <w:p w14:paraId="270B6284" w14:textId="79E5F03A" w:rsidR="00A41DBB" w:rsidRPr="00252D7B" w:rsidRDefault="00A41DBB" w:rsidP="00A41DBB">
      <w:pPr>
        <w:pStyle w:val="Legenda"/>
        <w:spacing w:before="120" w:after="120"/>
        <w:jc w:val="center"/>
        <w:rPr>
          <w:rFonts w:asciiTheme="minorHAnsi" w:hAnsiTheme="minorHAnsi" w:cstheme="minorHAnsi"/>
          <w:sz w:val="20"/>
          <w:szCs w:val="20"/>
        </w:rPr>
      </w:pPr>
      <w:bookmarkStart w:id="439" w:name="_Toc103680780"/>
      <w:r w:rsidRPr="00252D7B">
        <w:rPr>
          <w:rFonts w:asciiTheme="minorHAnsi" w:hAnsiTheme="minorHAnsi" w:cstheme="minorHAnsi"/>
          <w:sz w:val="20"/>
          <w:szCs w:val="20"/>
        </w:rPr>
        <w:lastRenderedPageBreak/>
        <w:t xml:space="preserve">Gráfico </w:t>
      </w:r>
      <w:r w:rsidRPr="00252D7B">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Gráfico \* ARABIC </w:instrText>
      </w:r>
      <w:r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15</w:t>
      </w:r>
      <w:r w:rsidRPr="00252D7B">
        <w:rPr>
          <w:rFonts w:asciiTheme="minorHAnsi" w:hAnsiTheme="minorHAnsi" w:cstheme="minorHAnsi"/>
          <w:sz w:val="20"/>
          <w:szCs w:val="20"/>
        </w:rPr>
        <w:fldChar w:fldCharType="end"/>
      </w:r>
      <w:r w:rsidR="00444AB2" w:rsidRPr="00252D7B">
        <w:rPr>
          <w:rFonts w:asciiTheme="minorHAnsi" w:hAnsiTheme="minorHAnsi" w:cstheme="minorHAnsi"/>
          <w:sz w:val="20"/>
          <w:szCs w:val="20"/>
        </w:rPr>
        <w:t xml:space="preserve"> – </w:t>
      </w:r>
      <w:r w:rsidRPr="00252D7B">
        <w:rPr>
          <w:rFonts w:asciiTheme="minorHAnsi" w:hAnsiTheme="minorHAnsi" w:cstheme="minorHAnsi"/>
          <w:sz w:val="20"/>
          <w:szCs w:val="20"/>
        </w:rPr>
        <w:t>Execução Orçamentária do PDTI de 2021</w:t>
      </w:r>
      <w:bookmarkEnd w:id="438"/>
      <w:bookmarkEnd w:id="439"/>
    </w:p>
    <w:p w14:paraId="7ACF2144" w14:textId="6464496B" w:rsidR="00A41DBB" w:rsidRPr="00252D7B" w:rsidRDefault="00444AB2" w:rsidP="00A41DBB">
      <w:pPr>
        <w:keepNext/>
        <w:spacing w:before="120" w:after="120"/>
        <w:jc w:val="center"/>
        <w:rPr>
          <w:rFonts w:asciiTheme="minorHAnsi" w:hAnsiTheme="minorHAnsi" w:cstheme="minorHAnsi"/>
        </w:rPr>
      </w:pPr>
      <w:r w:rsidRPr="00252D7B">
        <w:rPr>
          <w:rFonts w:asciiTheme="minorHAnsi" w:hAnsiTheme="minorHAnsi" w:cstheme="minorHAnsi"/>
          <w:noProof/>
        </w:rPr>
        <w:drawing>
          <wp:inline distT="0" distB="0" distL="0" distR="0" wp14:anchorId="41C7FB64" wp14:editId="44329AAA">
            <wp:extent cx="6200140" cy="4237355"/>
            <wp:effectExtent l="0" t="0" r="0" b="0"/>
            <wp:docPr id="1130521985" name="Imagem 113052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00140" cy="4237355"/>
                    </a:xfrm>
                    <a:prstGeom prst="rect">
                      <a:avLst/>
                    </a:prstGeom>
                    <a:noFill/>
                  </pic:spPr>
                </pic:pic>
              </a:graphicData>
            </a:graphic>
          </wp:inline>
        </w:drawing>
      </w:r>
    </w:p>
    <w:p w14:paraId="7737D876" w14:textId="77777777" w:rsidR="0098289E" w:rsidRPr="00252D7B" w:rsidRDefault="0098289E" w:rsidP="00A41DBB">
      <w:pPr>
        <w:spacing w:before="120" w:after="120"/>
        <w:jc w:val="both"/>
        <w:rPr>
          <w:rFonts w:asciiTheme="minorHAnsi" w:hAnsiTheme="minorHAnsi" w:cstheme="minorHAnsi"/>
          <w:sz w:val="24"/>
          <w:szCs w:val="24"/>
          <w:lang w:eastAsia="pt-BR"/>
        </w:rPr>
      </w:pPr>
    </w:p>
    <w:p w14:paraId="773C1A32" w14:textId="34781709" w:rsidR="00A41DBB" w:rsidRPr="00252D7B" w:rsidRDefault="00A41DBB" w:rsidP="00A41DBB">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lang w:eastAsia="pt-BR"/>
        </w:rPr>
        <w:t>É importante observar que na execução orçamentária de 2021 houve uma baixa performance com apenas 63% de execução orçamentária. Entretanto é essencial notar que houve uma melhora na execução orçamentária em relação ao ano de 2021, onde foram executados apenas 21% do orçamento previsto.</w:t>
      </w:r>
    </w:p>
    <w:p w14:paraId="0E97DF47" w14:textId="16565592" w:rsidR="0098289E" w:rsidRPr="00252D7B" w:rsidRDefault="0098289E" w:rsidP="00A41DBB">
      <w:pPr>
        <w:spacing w:before="120" w:after="120"/>
        <w:jc w:val="both"/>
        <w:rPr>
          <w:rFonts w:asciiTheme="minorHAnsi" w:hAnsiTheme="minorHAnsi" w:cstheme="minorHAnsi"/>
          <w:sz w:val="24"/>
          <w:szCs w:val="24"/>
          <w:lang w:eastAsia="pt-BR"/>
        </w:rPr>
      </w:pPr>
    </w:p>
    <w:p w14:paraId="091D78F7" w14:textId="77777777" w:rsidR="00CF6DA7" w:rsidRPr="00252D7B" w:rsidRDefault="00CF6DA7" w:rsidP="00A41DBB">
      <w:pPr>
        <w:spacing w:before="120" w:after="120"/>
        <w:jc w:val="both"/>
        <w:rPr>
          <w:rFonts w:asciiTheme="minorHAnsi" w:hAnsiTheme="minorHAnsi" w:cstheme="minorHAnsi"/>
          <w:sz w:val="24"/>
          <w:szCs w:val="24"/>
          <w:lang w:eastAsia="pt-BR"/>
        </w:rPr>
      </w:pPr>
    </w:p>
    <w:p w14:paraId="57C5F0F7" w14:textId="77777777" w:rsidR="00A41DBB" w:rsidRPr="00252D7B" w:rsidRDefault="00A41DBB" w:rsidP="00A41DBB">
      <w:pPr>
        <w:pStyle w:val="Ttulo3"/>
        <w:spacing w:before="120" w:after="120"/>
        <w:rPr>
          <w:rFonts w:asciiTheme="minorHAnsi" w:hAnsiTheme="minorHAnsi" w:cstheme="minorHAnsi"/>
        </w:rPr>
      </w:pPr>
      <w:bookmarkStart w:id="440" w:name="_Toc95906817"/>
      <w:bookmarkStart w:id="441" w:name="_Toc97215861"/>
      <w:bookmarkStart w:id="442" w:name="_Toc103680586"/>
      <w:bookmarkEnd w:id="433"/>
      <w:bookmarkEnd w:id="434"/>
      <w:r w:rsidRPr="00252D7B">
        <w:rPr>
          <w:rFonts w:asciiTheme="minorHAnsi" w:hAnsiTheme="minorHAnsi" w:cstheme="minorHAnsi"/>
        </w:rPr>
        <w:t>Contratações mais relevantes de recursos de TI</w:t>
      </w:r>
      <w:bookmarkEnd w:id="440"/>
      <w:bookmarkEnd w:id="441"/>
      <w:bookmarkEnd w:id="442"/>
    </w:p>
    <w:p w14:paraId="5FBA16DC" w14:textId="7449C8E1" w:rsidR="00A41DBB" w:rsidRPr="00252D7B" w:rsidRDefault="00A41DBB" w:rsidP="00A41DBB">
      <w:pPr>
        <w:spacing w:before="120" w:after="120"/>
        <w:jc w:val="both"/>
        <w:rPr>
          <w:rFonts w:asciiTheme="minorHAnsi" w:hAnsiTheme="minorHAnsi" w:cstheme="minorHAnsi"/>
          <w:sz w:val="24"/>
          <w:szCs w:val="24"/>
        </w:rPr>
      </w:pPr>
      <w:bookmarkStart w:id="443" w:name="_Toc94012554"/>
      <w:bookmarkStart w:id="444" w:name="_Toc95830287"/>
      <w:r w:rsidRPr="00252D7B">
        <w:rPr>
          <w:rFonts w:asciiTheme="minorHAnsi" w:hAnsiTheme="minorHAnsi" w:cstheme="minorHAnsi"/>
          <w:sz w:val="24"/>
          <w:szCs w:val="24"/>
        </w:rPr>
        <w:t xml:space="preserve">Em 2021, a SUPTI teve como principais contratações as da Fábrica de Software, Licenciamento Microsoft e a renovação do parque tecnológico da Valec </w:t>
      </w:r>
      <w:r w:rsidR="00610C91" w:rsidRPr="00252D7B">
        <w:rPr>
          <w:rFonts w:asciiTheme="minorHAnsi" w:hAnsiTheme="minorHAnsi" w:cstheme="minorHAnsi"/>
          <w:sz w:val="24"/>
          <w:szCs w:val="24"/>
        </w:rPr>
        <w:t>por meio</w:t>
      </w:r>
      <w:r w:rsidRPr="00252D7B">
        <w:rPr>
          <w:rFonts w:asciiTheme="minorHAnsi" w:hAnsiTheme="minorHAnsi" w:cstheme="minorHAnsi"/>
          <w:sz w:val="24"/>
          <w:szCs w:val="24"/>
        </w:rPr>
        <w:t xml:space="preserve"> da aquisição de </w:t>
      </w:r>
      <w:r w:rsidR="00610C91" w:rsidRPr="00252D7B">
        <w:rPr>
          <w:rFonts w:asciiTheme="minorHAnsi" w:hAnsiTheme="minorHAnsi" w:cstheme="minorHAnsi"/>
          <w:sz w:val="24"/>
          <w:szCs w:val="24"/>
        </w:rPr>
        <w:t>n</w:t>
      </w:r>
      <w:r w:rsidRPr="00252D7B">
        <w:rPr>
          <w:rFonts w:asciiTheme="minorHAnsi" w:hAnsiTheme="minorHAnsi" w:cstheme="minorHAnsi"/>
          <w:sz w:val="24"/>
          <w:szCs w:val="24"/>
        </w:rPr>
        <w:t xml:space="preserve">otebooks. </w:t>
      </w:r>
    </w:p>
    <w:p w14:paraId="4D269F22" w14:textId="77777777" w:rsidR="0098289E" w:rsidRPr="00252D7B" w:rsidRDefault="0098289E" w:rsidP="00A41DBB">
      <w:pPr>
        <w:spacing w:before="120" w:after="120"/>
        <w:jc w:val="both"/>
        <w:rPr>
          <w:rFonts w:asciiTheme="minorHAnsi" w:hAnsiTheme="minorHAnsi" w:cstheme="minorHAnsi"/>
          <w:sz w:val="24"/>
          <w:szCs w:val="24"/>
        </w:rPr>
      </w:pPr>
    </w:p>
    <w:p w14:paraId="010BDBAE" w14:textId="77777777" w:rsidR="00A41DBB" w:rsidRPr="00252D7B" w:rsidRDefault="00A41DBB" w:rsidP="00A41DBB">
      <w:pPr>
        <w:pStyle w:val="Ttulo4"/>
        <w:spacing w:before="120"/>
        <w:rPr>
          <w:rFonts w:asciiTheme="minorHAnsi" w:hAnsiTheme="minorHAnsi" w:cstheme="minorHAnsi"/>
          <w:lang w:bidi="ar-SA"/>
        </w:rPr>
      </w:pPr>
      <w:bookmarkStart w:id="445" w:name="_Toc97215862"/>
      <w:bookmarkStart w:id="446" w:name="_Toc103680587"/>
      <w:r w:rsidRPr="00252D7B">
        <w:rPr>
          <w:rFonts w:asciiTheme="minorHAnsi" w:hAnsiTheme="minorHAnsi" w:cstheme="minorHAnsi"/>
          <w:lang w:bidi="ar-SA"/>
        </w:rPr>
        <w:t>Contratação da Fábrica de Software</w:t>
      </w:r>
      <w:bookmarkEnd w:id="445"/>
      <w:bookmarkEnd w:id="446"/>
    </w:p>
    <w:p w14:paraId="3EF748F3" w14:textId="4A1FA9C7" w:rsidR="00A41DBB" w:rsidRPr="00252D7B" w:rsidRDefault="00A41DBB" w:rsidP="00A41DBB">
      <w:pPr>
        <w:widowControl/>
        <w:adjustRightInd w:val="0"/>
        <w:spacing w:before="120" w:after="120"/>
        <w:jc w:val="both"/>
        <w:rPr>
          <w:rFonts w:asciiTheme="minorHAnsi" w:eastAsiaTheme="minorHAnsi" w:hAnsiTheme="minorHAnsi" w:cstheme="minorHAnsi"/>
          <w:sz w:val="24"/>
          <w:szCs w:val="24"/>
          <w:lang w:bidi="ar-SA"/>
        </w:rPr>
      </w:pPr>
      <w:r w:rsidRPr="00252D7B">
        <w:rPr>
          <w:rFonts w:asciiTheme="minorHAnsi" w:eastAsiaTheme="minorHAnsi" w:hAnsiTheme="minorHAnsi" w:cstheme="minorHAnsi"/>
          <w:sz w:val="24"/>
          <w:szCs w:val="24"/>
          <w:lang w:bidi="ar-SA"/>
        </w:rPr>
        <w:t xml:space="preserve">O objetivo desta contratação de serviços é dar suporte e continuidade as ferramentas desenvolvidas pela gerência de sistemas, a fim de modernizar a arquitetura dos sistemas desenvolvidos, </w:t>
      </w:r>
      <w:r w:rsidR="00610C91" w:rsidRPr="00252D7B">
        <w:rPr>
          <w:rFonts w:asciiTheme="minorHAnsi" w:eastAsiaTheme="minorHAnsi" w:hAnsiTheme="minorHAnsi" w:cstheme="minorHAnsi"/>
          <w:sz w:val="24"/>
          <w:szCs w:val="24"/>
          <w:lang w:bidi="ar-SA"/>
        </w:rPr>
        <w:t>por meio</w:t>
      </w:r>
      <w:r w:rsidRPr="00252D7B">
        <w:rPr>
          <w:rFonts w:asciiTheme="minorHAnsi" w:eastAsiaTheme="minorHAnsi" w:hAnsiTheme="minorHAnsi" w:cstheme="minorHAnsi"/>
          <w:sz w:val="24"/>
          <w:szCs w:val="24"/>
          <w:lang w:bidi="ar-SA"/>
        </w:rPr>
        <w:t xml:space="preserve"> da observância de diversos normativos do governo, como as instruções normativas do Ministério da Economia e a implementação de modelos integrados, propiciando melhor gestão do negócio da </w:t>
      </w:r>
      <w:r w:rsidR="00610C91" w:rsidRPr="00252D7B">
        <w:rPr>
          <w:rFonts w:asciiTheme="minorHAnsi" w:eastAsiaTheme="minorHAnsi" w:hAnsiTheme="minorHAnsi" w:cstheme="minorHAnsi"/>
          <w:sz w:val="24"/>
          <w:szCs w:val="24"/>
          <w:lang w:bidi="ar-SA"/>
        </w:rPr>
        <w:t>Valec</w:t>
      </w:r>
      <w:r w:rsidRPr="00252D7B">
        <w:rPr>
          <w:rFonts w:asciiTheme="minorHAnsi" w:eastAsiaTheme="minorHAnsi" w:hAnsiTheme="minorHAnsi" w:cstheme="minorHAnsi"/>
          <w:sz w:val="24"/>
          <w:szCs w:val="24"/>
          <w:lang w:bidi="ar-SA"/>
        </w:rPr>
        <w:t>.</w:t>
      </w:r>
    </w:p>
    <w:p w14:paraId="0EC0D63C" w14:textId="79997A70" w:rsidR="00806F29" w:rsidRPr="00252D7B" w:rsidRDefault="00806F29">
      <w:pPr>
        <w:widowControl/>
        <w:autoSpaceDE/>
        <w:autoSpaceDN/>
        <w:spacing w:after="160" w:line="259" w:lineRule="auto"/>
        <w:rPr>
          <w:rFonts w:asciiTheme="minorHAnsi" w:eastAsiaTheme="minorHAnsi" w:hAnsiTheme="minorHAnsi" w:cstheme="minorHAnsi"/>
          <w:sz w:val="24"/>
          <w:szCs w:val="24"/>
          <w:lang w:bidi="ar-SA"/>
        </w:rPr>
      </w:pPr>
      <w:r w:rsidRPr="00252D7B">
        <w:rPr>
          <w:rFonts w:asciiTheme="minorHAnsi" w:eastAsiaTheme="minorHAnsi" w:hAnsiTheme="minorHAnsi" w:cstheme="minorHAnsi"/>
          <w:sz w:val="24"/>
          <w:szCs w:val="24"/>
          <w:lang w:bidi="ar-SA"/>
        </w:rPr>
        <w:br w:type="page"/>
      </w:r>
    </w:p>
    <w:p w14:paraId="2FB66899" w14:textId="77777777" w:rsidR="00A41DBB" w:rsidRPr="00252D7B" w:rsidRDefault="00A41DBB" w:rsidP="00A41DBB">
      <w:pPr>
        <w:pStyle w:val="Ttulo4"/>
        <w:spacing w:before="120"/>
        <w:rPr>
          <w:rFonts w:asciiTheme="minorHAnsi" w:hAnsiTheme="minorHAnsi" w:cstheme="minorHAnsi"/>
          <w:lang w:bidi="ar-SA"/>
        </w:rPr>
      </w:pPr>
      <w:bookmarkStart w:id="447" w:name="_Toc97215863"/>
      <w:bookmarkStart w:id="448" w:name="_Toc103680588"/>
      <w:r w:rsidRPr="00252D7B">
        <w:rPr>
          <w:rFonts w:asciiTheme="minorHAnsi" w:hAnsiTheme="minorHAnsi" w:cstheme="minorHAnsi"/>
          <w:lang w:bidi="ar-SA"/>
        </w:rPr>
        <w:lastRenderedPageBreak/>
        <w:t>Contratação de Licenças Microsoft</w:t>
      </w:r>
      <w:bookmarkEnd w:id="447"/>
      <w:bookmarkEnd w:id="448"/>
    </w:p>
    <w:p w14:paraId="03D77E1E" w14:textId="265F58A7" w:rsidR="00A41DBB" w:rsidRPr="00252D7B" w:rsidRDefault="00A41DBB" w:rsidP="00A41DBB">
      <w:pPr>
        <w:widowControl/>
        <w:adjustRightInd w:val="0"/>
        <w:spacing w:before="120" w:after="120"/>
        <w:jc w:val="both"/>
        <w:rPr>
          <w:rFonts w:asciiTheme="minorHAnsi" w:eastAsiaTheme="minorHAnsi" w:hAnsiTheme="minorHAnsi" w:cstheme="minorHAnsi"/>
          <w:sz w:val="24"/>
          <w:szCs w:val="24"/>
          <w:lang w:bidi="ar-SA"/>
        </w:rPr>
      </w:pPr>
      <w:r w:rsidRPr="00252D7B">
        <w:rPr>
          <w:rFonts w:asciiTheme="minorHAnsi" w:eastAsiaTheme="minorHAnsi" w:hAnsiTheme="minorHAnsi" w:cstheme="minorHAnsi"/>
          <w:sz w:val="24"/>
          <w:szCs w:val="24"/>
          <w:lang w:bidi="ar-SA"/>
        </w:rPr>
        <w:t>O objetivo da contratação foi obter licenças por subscrição das seguintes soluções:</w:t>
      </w:r>
    </w:p>
    <w:p w14:paraId="7D0DF1C7" w14:textId="6825C439" w:rsidR="00A41DBB" w:rsidRPr="00252D7B" w:rsidRDefault="00A41DBB" w:rsidP="0044434F">
      <w:pPr>
        <w:pStyle w:val="PargrafodaLista"/>
        <w:numPr>
          <w:ilvl w:val="0"/>
          <w:numId w:val="4"/>
        </w:numPr>
        <w:spacing w:before="120" w:after="120"/>
        <w:ind w:left="992" w:hanging="357"/>
        <w:contextualSpacing w:val="0"/>
        <w:jc w:val="both"/>
        <w:rPr>
          <w:rFonts w:asciiTheme="minorHAnsi" w:eastAsiaTheme="minorHAnsi" w:hAnsiTheme="minorHAnsi" w:cstheme="minorHAnsi"/>
          <w:sz w:val="24"/>
          <w:szCs w:val="24"/>
          <w:lang w:bidi="ar-SA"/>
        </w:rPr>
      </w:pPr>
      <w:r w:rsidRPr="00252D7B">
        <w:rPr>
          <w:rFonts w:asciiTheme="minorHAnsi" w:eastAsiaTheme="minorHAnsi" w:hAnsiTheme="minorHAnsi" w:cstheme="minorHAnsi"/>
          <w:sz w:val="24"/>
          <w:szCs w:val="24"/>
          <w:lang w:bidi="ar-SA"/>
        </w:rPr>
        <w:t xml:space="preserve">Suíte de </w:t>
      </w:r>
      <w:r w:rsidRPr="00252D7B">
        <w:rPr>
          <w:rFonts w:asciiTheme="minorHAnsi" w:hAnsiTheme="minorHAnsi" w:cstheme="minorHAnsi"/>
          <w:sz w:val="24"/>
          <w:szCs w:val="24"/>
        </w:rPr>
        <w:t>escritório</w:t>
      </w:r>
      <w:r w:rsidRPr="00252D7B">
        <w:rPr>
          <w:rFonts w:asciiTheme="minorHAnsi" w:eastAsiaTheme="minorHAnsi" w:hAnsiTheme="minorHAnsi" w:cstheme="minorHAnsi"/>
          <w:sz w:val="24"/>
          <w:szCs w:val="24"/>
          <w:lang w:bidi="ar-SA"/>
        </w:rPr>
        <w:t xml:space="preserve"> (Excel, Word, Power Point, dentre outras soluções).</w:t>
      </w:r>
    </w:p>
    <w:p w14:paraId="1B0157EE" w14:textId="0389F3FB" w:rsidR="00A41DBB" w:rsidRPr="00252D7B" w:rsidRDefault="00A41DBB" w:rsidP="0044434F">
      <w:pPr>
        <w:pStyle w:val="PargrafodaLista"/>
        <w:numPr>
          <w:ilvl w:val="0"/>
          <w:numId w:val="4"/>
        </w:numPr>
        <w:spacing w:before="120" w:after="120"/>
        <w:ind w:left="992" w:hanging="357"/>
        <w:contextualSpacing w:val="0"/>
        <w:jc w:val="both"/>
        <w:rPr>
          <w:rFonts w:asciiTheme="minorHAnsi" w:eastAsiaTheme="minorHAnsi" w:hAnsiTheme="minorHAnsi" w:cstheme="minorHAnsi"/>
          <w:sz w:val="24"/>
          <w:szCs w:val="24"/>
          <w:lang w:bidi="ar-SA"/>
        </w:rPr>
      </w:pPr>
      <w:r w:rsidRPr="00252D7B">
        <w:rPr>
          <w:rFonts w:asciiTheme="minorHAnsi" w:eastAsiaTheme="minorHAnsi" w:hAnsiTheme="minorHAnsi" w:cstheme="minorHAnsi"/>
          <w:sz w:val="24"/>
          <w:szCs w:val="24"/>
          <w:lang w:bidi="ar-SA"/>
        </w:rPr>
        <w:t xml:space="preserve">Sistema </w:t>
      </w:r>
      <w:r w:rsidRPr="00252D7B">
        <w:rPr>
          <w:rFonts w:asciiTheme="minorHAnsi" w:hAnsiTheme="minorHAnsi" w:cstheme="minorHAnsi"/>
          <w:sz w:val="24"/>
          <w:szCs w:val="24"/>
        </w:rPr>
        <w:t>gerenciador</w:t>
      </w:r>
      <w:r w:rsidRPr="00252D7B">
        <w:rPr>
          <w:rFonts w:asciiTheme="minorHAnsi" w:eastAsiaTheme="minorHAnsi" w:hAnsiTheme="minorHAnsi" w:cstheme="minorHAnsi"/>
          <w:sz w:val="24"/>
          <w:szCs w:val="24"/>
          <w:lang w:bidi="ar-SA"/>
        </w:rPr>
        <w:t xml:space="preserve"> de banco de dados (SQL </w:t>
      </w:r>
      <w:r w:rsidRPr="00252D7B">
        <w:rPr>
          <w:rFonts w:asciiTheme="minorHAnsi" w:eastAsiaTheme="minorHAnsi" w:hAnsiTheme="minorHAnsi" w:cstheme="minorHAnsi"/>
          <w:i/>
          <w:iCs/>
          <w:sz w:val="24"/>
          <w:szCs w:val="24"/>
          <w:lang w:bidi="ar-SA"/>
        </w:rPr>
        <w:t>Server</w:t>
      </w:r>
      <w:r w:rsidRPr="00252D7B">
        <w:rPr>
          <w:rFonts w:asciiTheme="minorHAnsi" w:eastAsiaTheme="minorHAnsi" w:hAnsiTheme="minorHAnsi" w:cstheme="minorHAnsi"/>
          <w:sz w:val="24"/>
          <w:szCs w:val="24"/>
          <w:lang w:bidi="ar-SA"/>
        </w:rPr>
        <w:t>).</w:t>
      </w:r>
    </w:p>
    <w:p w14:paraId="1D970A06" w14:textId="666FEFB0" w:rsidR="00A41DBB" w:rsidRPr="00252D7B" w:rsidRDefault="00A41DBB" w:rsidP="0044434F">
      <w:pPr>
        <w:pStyle w:val="PargrafodaLista"/>
        <w:numPr>
          <w:ilvl w:val="0"/>
          <w:numId w:val="4"/>
        </w:numPr>
        <w:spacing w:before="120" w:after="120"/>
        <w:ind w:left="992" w:hanging="357"/>
        <w:contextualSpacing w:val="0"/>
        <w:jc w:val="both"/>
        <w:rPr>
          <w:rFonts w:asciiTheme="minorHAnsi" w:eastAsiaTheme="minorHAnsi" w:hAnsiTheme="minorHAnsi" w:cstheme="minorHAnsi"/>
          <w:sz w:val="24"/>
          <w:szCs w:val="24"/>
          <w:lang w:val="en-US" w:bidi="ar-SA"/>
        </w:rPr>
      </w:pPr>
      <w:r w:rsidRPr="00252D7B">
        <w:rPr>
          <w:rFonts w:asciiTheme="minorHAnsi" w:eastAsiaTheme="minorHAnsi" w:hAnsiTheme="minorHAnsi" w:cstheme="minorHAnsi"/>
          <w:sz w:val="24"/>
          <w:szCs w:val="24"/>
          <w:lang w:val="en-US" w:bidi="ar-SA"/>
        </w:rPr>
        <w:t xml:space="preserve">Licenças </w:t>
      </w:r>
      <w:r w:rsidRPr="00252D7B">
        <w:rPr>
          <w:rFonts w:asciiTheme="minorHAnsi" w:eastAsiaTheme="minorHAnsi" w:hAnsiTheme="minorHAnsi" w:cstheme="minorHAnsi"/>
          <w:i/>
          <w:iCs/>
          <w:sz w:val="24"/>
          <w:szCs w:val="24"/>
          <w:lang w:val="en-US" w:bidi="ar-SA"/>
        </w:rPr>
        <w:t xml:space="preserve">Windows Server Data Center </w:t>
      </w:r>
      <w:r w:rsidRPr="00252D7B">
        <w:rPr>
          <w:rFonts w:asciiTheme="minorHAnsi" w:eastAsiaTheme="minorHAnsi" w:hAnsiTheme="minorHAnsi" w:cstheme="minorHAnsi"/>
          <w:sz w:val="24"/>
          <w:szCs w:val="24"/>
          <w:lang w:val="en-US" w:bidi="ar-SA"/>
        </w:rPr>
        <w:t>e</w:t>
      </w:r>
      <w:r w:rsidRPr="00252D7B">
        <w:rPr>
          <w:rFonts w:asciiTheme="minorHAnsi" w:eastAsiaTheme="minorHAnsi" w:hAnsiTheme="minorHAnsi" w:cstheme="minorHAnsi"/>
          <w:i/>
          <w:iCs/>
          <w:sz w:val="24"/>
          <w:szCs w:val="24"/>
          <w:lang w:val="en-US" w:bidi="ar-SA"/>
        </w:rPr>
        <w:t xml:space="preserve"> System Center</w:t>
      </w:r>
      <w:r w:rsidRPr="00252D7B">
        <w:rPr>
          <w:rFonts w:asciiTheme="minorHAnsi" w:eastAsiaTheme="minorHAnsi" w:hAnsiTheme="minorHAnsi" w:cstheme="minorHAnsi"/>
          <w:sz w:val="24"/>
          <w:szCs w:val="24"/>
          <w:lang w:val="en-US" w:bidi="ar-SA"/>
        </w:rPr>
        <w:t>.</w:t>
      </w:r>
    </w:p>
    <w:p w14:paraId="4668435F" w14:textId="7D66276D" w:rsidR="00A41DBB" w:rsidRPr="00252D7B" w:rsidRDefault="00A41DBB" w:rsidP="0044434F">
      <w:pPr>
        <w:pStyle w:val="PargrafodaLista"/>
        <w:numPr>
          <w:ilvl w:val="0"/>
          <w:numId w:val="4"/>
        </w:numPr>
        <w:spacing w:before="120" w:after="120"/>
        <w:ind w:left="992" w:hanging="357"/>
        <w:contextualSpacing w:val="0"/>
        <w:jc w:val="both"/>
        <w:rPr>
          <w:rFonts w:asciiTheme="minorHAnsi" w:eastAsiaTheme="minorHAnsi" w:hAnsiTheme="minorHAnsi" w:cstheme="minorHAnsi"/>
          <w:sz w:val="24"/>
          <w:szCs w:val="24"/>
          <w:lang w:val="en-US" w:bidi="ar-SA"/>
        </w:rPr>
      </w:pPr>
      <w:r w:rsidRPr="00252D7B">
        <w:rPr>
          <w:rFonts w:asciiTheme="minorHAnsi" w:eastAsiaTheme="minorHAnsi" w:hAnsiTheme="minorHAnsi" w:cstheme="minorHAnsi"/>
          <w:i/>
          <w:iCs/>
          <w:sz w:val="24"/>
          <w:szCs w:val="24"/>
          <w:lang w:val="en-US" w:bidi="ar-SA"/>
        </w:rPr>
        <w:t xml:space="preserve">Endpoint Next </w:t>
      </w:r>
      <w:r w:rsidRPr="00252D7B">
        <w:rPr>
          <w:rFonts w:asciiTheme="minorHAnsi" w:hAnsiTheme="minorHAnsi" w:cstheme="minorHAnsi"/>
          <w:i/>
          <w:iCs/>
          <w:sz w:val="24"/>
          <w:szCs w:val="24"/>
          <w:lang w:val="en-US"/>
        </w:rPr>
        <w:t>Generation</w:t>
      </w:r>
      <w:r w:rsidRPr="00252D7B">
        <w:rPr>
          <w:rFonts w:asciiTheme="minorHAnsi" w:eastAsiaTheme="minorHAnsi" w:hAnsiTheme="minorHAnsi" w:cstheme="minorHAnsi"/>
          <w:i/>
          <w:iCs/>
          <w:sz w:val="24"/>
          <w:szCs w:val="24"/>
          <w:lang w:val="en-US" w:bidi="ar-SA"/>
        </w:rPr>
        <w:t xml:space="preserve"> Anti-malware</w:t>
      </w:r>
      <w:r w:rsidRPr="00252D7B">
        <w:rPr>
          <w:rFonts w:asciiTheme="minorHAnsi" w:eastAsiaTheme="minorHAnsi" w:hAnsiTheme="minorHAnsi" w:cstheme="minorHAnsi"/>
          <w:sz w:val="24"/>
          <w:szCs w:val="24"/>
          <w:lang w:val="en-US" w:bidi="ar-SA"/>
        </w:rPr>
        <w:t xml:space="preserve"> (“Anti-virus”).</w:t>
      </w:r>
    </w:p>
    <w:p w14:paraId="28ED8062" w14:textId="3C32D93E" w:rsidR="00A41DBB" w:rsidRPr="00252D7B" w:rsidRDefault="00A41DBB" w:rsidP="0044434F">
      <w:pPr>
        <w:pStyle w:val="PargrafodaLista"/>
        <w:numPr>
          <w:ilvl w:val="0"/>
          <w:numId w:val="4"/>
        </w:numPr>
        <w:spacing w:before="120" w:after="120"/>
        <w:ind w:left="992" w:hanging="357"/>
        <w:contextualSpacing w:val="0"/>
        <w:jc w:val="both"/>
        <w:rPr>
          <w:rFonts w:asciiTheme="minorHAnsi" w:eastAsiaTheme="minorHAnsi" w:hAnsiTheme="minorHAnsi" w:cstheme="minorHAnsi"/>
          <w:sz w:val="24"/>
          <w:szCs w:val="24"/>
          <w:lang w:val="en-US" w:bidi="ar-SA"/>
        </w:rPr>
      </w:pPr>
      <w:r w:rsidRPr="00252D7B">
        <w:rPr>
          <w:rFonts w:asciiTheme="minorHAnsi" w:eastAsiaTheme="minorHAnsi" w:hAnsiTheme="minorHAnsi" w:cstheme="minorHAnsi"/>
          <w:sz w:val="24"/>
          <w:szCs w:val="24"/>
          <w:lang w:val="en-US" w:bidi="ar-SA"/>
        </w:rPr>
        <w:t>Casb (</w:t>
      </w:r>
      <w:r w:rsidRPr="00252D7B">
        <w:rPr>
          <w:rFonts w:asciiTheme="minorHAnsi" w:eastAsiaTheme="minorHAnsi" w:hAnsiTheme="minorHAnsi" w:cstheme="minorHAnsi"/>
          <w:i/>
          <w:iCs/>
          <w:sz w:val="24"/>
          <w:szCs w:val="24"/>
          <w:lang w:val="en-US" w:bidi="ar-SA"/>
        </w:rPr>
        <w:t xml:space="preserve">Cloud </w:t>
      </w:r>
      <w:r w:rsidRPr="00252D7B">
        <w:rPr>
          <w:rFonts w:asciiTheme="minorHAnsi" w:hAnsiTheme="minorHAnsi" w:cstheme="minorHAnsi"/>
          <w:i/>
          <w:iCs/>
          <w:sz w:val="24"/>
          <w:szCs w:val="24"/>
          <w:lang w:val="en-US"/>
        </w:rPr>
        <w:t>Access</w:t>
      </w:r>
      <w:r w:rsidRPr="00252D7B">
        <w:rPr>
          <w:rFonts w:asciiTheme="minorHAnsi" w:eastAsiaTheme="minorHAnsi" w:hAnsiTheme="minorHAnsi" w:cstheme="minorHAnsi"/>
          <w:i/>
          <w:iCs/>
          <w:sz w:val="24"/>
          <w:szCs w:val="24"/>
          <w:lang w:val="en-US" w:bidi="ar-SA"/>
        </w:rPr>
        <w:t xml:space="preserve"> Security Broker</w:t>
      </w:r>
      <w:r w:rsidRPr="00252D7B">
        <w:rPr>
          <w:rFonts w:asciiTheme="minorHAnsi" w:eastAsiaTheme="minorHAnsi" w:hAnsiTheme="minorHAnsi" w:cstheme="minorHAnsi"/>
          <w:sz w:val="24"/>
          <w:szCs w:val="24"/>
          <w:lang w:val="en-US" w:bidi="ar-SA"/>
        </w:rPr>
        <w:t>).</w:t>
      </w:r>
    </w:p>
    <w:p w14:paraId="3A630685" w14:textId="0F5613CB" w:rsidR="00A41DBB" w:rsidRPr="00252D7B" w:rsidRDefault="00A41DBB" w:rsidP="0044434F">
      <w:pPr>
        <w:pStyle w:val="PargrafodaLista"/>
        <w:numPr>
          <w:ilvl w:val="0"/>
          <w:numId w:val="4"/>
        </w:numPr>
        <w:spacing w:before="120" w:after="120"/>
        <w:ind w:left="992" w:hanging="357"/>
        <w:contextualSpacing w:val="0"/>
        <w:jc w:val="both"/>
        <w:rPr>
          <w:rFonts w:asciiTheme="minorHAnsi" w:eastAsiaTheme="minorHAnsi" w:hAnsiTheme="minorHAnsi" w:cstheme="minorHAnsi"/>
          <w:i/>
          <w:iCs/>
          <w:sz w:val="24"/>
          <w:szCs w:val="24"/>
          <w:lang w:val="en-US" w:bidi="ar-SA"/>
        </w:rPr>
      </w:pPr>
      <w:r w:rsidRPr="00252D7B">
        <w:rPr>
          <w:rFonts w:asciiTheme="minorHAnsi" w:hAnsiTheme="minorHAnsi" w:cstheme="minorHAnsi"/>
          <w:i/>
          <w:iCs/>
          <w:sz w:val="24"/>
          <w:szCs w:val="24"/>
        </w:rPr>
        <w:t>Power</w:t>
      </w:r>
      <w:r w:rsidRPr="00252D7B">
        <w:rPr>
          <w:rFonts w:asciiTheme="minorHAnsi" w:eastAsiaTheme="minorHAnsi" w:hAnsiTheme="minorHAnsi" w:cstheme="minorHAnsi"/>
          <w:i/>
          <w:iCs/>
          <w:sz w:val="24"/>
          <w:szCs w:val="24"/>
          <w:lang w:val="en-US" w:bidi="ar-SA"/>
        </w:rPr>
        <w:t xml:space="preserve"> BI.</w:t>
      </w:r>
    </w:p>
    <w:p w14:paraId="69BA4E59" w14:textId="77777777" w:rsidR="0098289E" w:rsidRPr="00252D7B" w:rsidRDefault="0098289E" w:rsidP="00A41DBB">
      <w:pPr>
        <w:widowControl/>
        <w:adjustRightInd w:val="0"/>
        <w:spacing w:before="120" w:after="120"/>
        <w:jc w:val="both"/>
        <w:rPr>
          <w:rFonts w:asciiTheme="minorHAnsi" w:eastAsiaTheme="minorHAnsi" w:hAnsiTheme="minorHAnsi" w:cstheme="minorHAnsi"/>
          <w:i/>
          <w:iCs/>
          <w:sz w:val="24"/>
          <w:szCs w:val="24"/>
          <w:lang w:val="en-US" w:bidi="ar-SA"/>
        </w:rPr>
      </w:pPr>
    </w:p>
    <w:p w14:paraId="03FDEAC5" w14:textId="77777777" w:rsidR="00A41DBB" w:rsidRPr="00252D7B" w:rsidRDefault="00A41DBB" w:rsidP="00A41DBB">
      <w:pPr>
        <w:pStyle w:val="Ttulo4"/>
        <w:spacing w:before="120"/>
        <w:rPr>
          <w:rFonts w:asciiTheme="minorHAnsi" w:hAnsiTheme="minorHAnsi" w:cstheme="minorHAnsi"/>
          <w:lang w:bidi="ar-SA"/>
        </w:rPr>
      </w:pPr>
      <w:bookmarkStart w:id="449" w:name="_Toc97215864"/>
      <w:bookmarkStart w:id="450" w:name="_Toc103680589"/>
      <w:r w:rsidRPr="00252D7B">
        <w:rPr>
          <w:rFonts w:asciiTheme="minorHAnsi" w:hAnsiTheme="minorHAnsi" w:cstheme="minorHAnsi"/>
          <w:lang w:bidi="ar-SA"/>
        </w:rPr>
        <w:t>Aquisição de Notebooks</w:t>
      </w:r>
      <w:bookmarkEnd w:id="449"/>
      <w:bookmarkEnd w:id="450"/>
    </w:p>
    <w:p w14:paraId="3F2441DC" w14:textId="12E21B81" w:rsidR="00A41DBB" w:rsidRPr="00252D7B" w:rsidRDefault="00A41DBB" w:rsidP="00A41DBB">
      <w:pPr>
        <w:widowControl/>
        <w:adjustRightInd w:val="0"/>
        <w:spacing w:before="120" w:after="120"/>
        <w:jc w:val="both"/>
        <w:rPr>
          <w:rFonts w:asciiTheme="minorHAnsi" w:eastAsiaTheme="minorHAnsi" w:hAnsiTheme="minorHAnsi" w:cstheme="minorHAnsi"/>
          <w:sz w:val="24"/>
          <w:szCs w:val="24"/>
          <w:lang w:bidi="ar-SA"/>
        </w:rPr>
      </w:pPr>
      <w:r w:rsidRPr="00252D7B">
        <w:rPr>
          <w:rFonts w:asciiTheme="minorHAnsi" w:eastAsiaTheme="minorHAnsi" w:hAnsiTheme="minorHAnsi" w:cstheme="minorHAnsi"/>
          <w:sz w:val="24"/>
          <w:szCs w:val="24"/>
          <w:lang w:bidi="ar-SA"/>
        </w:rPr>
        <w:t>O objetivo da contratação foi adquirir dispositivos móveis para substituir os equipamentos obsoletos fora de garantia, atualizando e modernizando parte do parque tecnológico da Valec.</w:t>
      </w:r>
    </w:p>
    <w:p w14:paraId="4F756FD5" w14:textId="7FE63905" w:rsidR="0098289E" w:rsidRPr="00252D7B" w:rsidRDefault="0098289E" w:rsidP="00A41DBB">
      <w:pPr>
        <w:widowControl/>
        <w:adjustRightInd w:val="0"/>
        <w:spacing w:before="120" w:after="120"/>
        <w:jc w:val="both"/>
        <w:rPr>
          <w:rFonts w:asciiTheme="minorHAnsi" w:eastAsiaTheme="minorHAnsi" w:hAnsiTheme="minorHAnsi" w:cstheme="minorHAnsi"/>
          <w:sz w:val="24"/>
          <w:szCs w:val="24"/>
          <w:lang w:bidi="ar-SA"/>
        </w:rPr>
      </w:pPr>
    </w:p>
    <w:p w14:paraId="3E26674F" w14:textId="77777777" w:rsidR="00806F29" w:rsidRPr="00252D7B" w:rsidRDefault="00806F29" w:rsidP="00A41DBB">
      <w:pPr>
        <w:widowControl/>
        <w:adjustRightInd w:val="0"/>
        <w:spacing w:before="120" w:after="120"/>
        <w:jc w:val="both"/>
        <w:rPr>
          <w:rFonts w:asciiTheme="minorHAnsi" w:eastAsiaTheme="minorHAnsi" w:hAnsiTheme="minorHAnsi" w:cstheme="minorHAnsi"/>
          <w:sz w:val="24"/>
          <w:szCs w:val="24"/>
          <w:lang w:bidi="ar-SA"/>
        </w:rPr>
      </w:pPr>
    </w:p>
    <w:p w14:paraId="6CFF7AE6" w14:textId="77777777" w:rsidR="00A41DBB" w:rsidRPr="00252D7B" w:rsidRDefault="00A41DBB" w:rsidP="00A41DBB">
      <w:pPr>
        <w:pStyle w:val="Ttulo3"/>
        <w:spacing w:before="120" w:after="120"/>
        <w:rPr>
          <w:rFonts w:asciiTheme="minorHAnsi" w:hAnsiTheme="minorHAnsi" w:cstheme="minorHAnsi"/>
        </w:rPr>
      </w:pPr>
      <w:bookmarkStart w:id="451" w:name="_Toc95906818"/>
      <w:bookmarkStart w:id="452" w:name="_Toc97215865"/>
      <w:bookmarkStart w:id="453" w:name="_Toc103680590"/>
      <w:bookmarkEnd w:id="443"/>
      <w:bookmarkEnd w:id="444"/>
      <w:r w:rsidRPr="00252D7B">
        <w:rPr>
          <w:rFonts w:asciiTheme="minorHAnsi" w:hAnsiTheme="minorHAnsi" w:cstheme="minorHAnsi"/>
        </w:rPr>
        <w:t>Principais iniciativas e resultados na área de TI por cadeia de valor</w:t>
      </w:r>
      <w:bookmarkEnd w:id="451"/>
      <w:bookmarkEnd w:id="452"/>
      <w:bookmarkEnd w:id="453"/>
    </w:p>
    <w:p w14:paraId="1A3A4072" w14:textId="77777777" w:rsidR="0098289E" w:rsidRPr="00252D7B" w:rsidRDefault="0098289E" w:rsidP="0098289E">
      <w:pPr>
        <w:widowControl/>
        <w:adjustRightInd w:val="0"/>
        <w:spacing w:before="120" w:after="120"/>
        <w:jc w:val="both"/>
        <w:rPr>
          <w:rFonts w:asciiTheme="minorHAnsi" w:eastAsiaTheme="minorHAnsi" w:hAnsiTheme="minorHAnsi" w:cstheme="minorHAnsi"/>
          <w:sz w:val="24"/>
          <w:szCs w:val="24"/>
          <w:lang w:bidi="ar-SA"/>
        </w:rPr>
      </w:pPr>
      <w:bookmarkStart w:id="454" w:name="_Toc97215866"/>
      <w:bookmarkStart w:id="455" w:name="_Toc64571557"/>
      <w:bookmarkStart w:id="456" w:name="_Toc94012555"/>
      <w:bookmarkStart w:id="457" w:name="_Toc95830288"/>
    </w:p>
    <w:p w14:paraId="201AAB90" w14:textId="1C3AE39A" w:rsidR="00A41DBB" w:rsidRPr="00252D7B" w:rsidRDefault="00A41DBB" w:rsidP="00A41DBB">
      <w:pPr>
        <w:pStyle w:val="Ttulo4"/>
        <w:spacing w:before="120"/>
        <w:rPr>
          <w:rFonts w:asciiTheme="minorHAnsi" w:hAnsiTheme="minorHAnsi" w:cstheme="minorHAnsi"/>
        </w:rPr>
      </w:pPr>
      <w:bookmarkStart w:id="458" w:name="_Toc103680591"/>
      <w:r w:rsidRPr="00252D7B">
        <w:rPr>
          <w:rFonts w:asciiTheme="minorHAnsi" w:hAnsiTheme="minorHAnsi" w:cstheme="minorHAnsi"/>
        </w:rPr>
        <w:t>Cadeia de valor</w:t>
      </w:r>
      <w:bookmarkEnd w:id="454"/>
      <w:bookmarkEnd w:id="458"/>
    </w:p>
    <w:p w14:paraId="3A347D44" w14:textId="5E61A0CD" w:rsidR="00A41DBB" w:rsidRPr="00252D7B" w:rsidRDefault="00A41DBB" w:rsidP="00A41DBB">
      <w:pPr>
        <w:spacing w:before="120" w:after="120"/>
        <w:jc w:val="both"/>
        <w:rPr>
          <w:rFonts w:asciiTheme="minorHAnsi" w:hAnsiTheme="minorHAnsi" w:cstheme="minorHAnsi"/>
          <w:sz w:val="24"/>
          <w:szCs w:val="24"/>
          <w:lang w:eastAsia="pt-BR"/>
        </w:rPr>
      </w:pPr>
      <w:r w:rsidRPr="00252D7B">
        <w:rPr>
          <w:rFonts w:asciiTheme="minorHAnsi" w:hAnsiTheme="minorHAnsi" w:cstheme="minorHAnsi"/>
          <w:sz w:val="24"/>
          <w:szCs w:val="24"/>
          <w:lang w:eastAsia="pt-BR"/>
        </w:rPr>
        <w:t xml:space="preserve">Em 2021 foi feita a revisão da cadeia de valor da SUPTI, submetida a aprovação do CONSAD na reunião de fevereiro de 2022. </w:t>
      </w:r>
    </w:p>
    <w:p w14:paraId="0AB67E43" w14:textId="77777777" w:rsidR="00A41DBB" w:rsidRPr="00252D7B" w:rsidRDefault="00A41DBB" w:rsidP="00A41DBB">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A revisão foi feita com base na compreensão dos objetivos do Planejamento Estratégico Institucional de responsabilidade da TI e no mapa estratégico da própria TI. Outras referências utilizadas para a revisão foram os processos relacionados a cadeia de valor, avaliação de maturidade e o plano de ação para atendimento aos relatórios e Auditoria Externa (atendimento as recomendações CGPAR e SISP).</w:t>
      </w:r>
    </w:p>
    <w:p w14:paraId="16167AAD" w14:textId="77777777" w:rsidR="00A41DBB" w:rsidRPr="00252D7B" w:rsidRDefault="00A41DBB" w:rsidP="00A41DBB">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Compreende-se, portanto, que a Gestão e TI envolve tanto os mecanismos de governança organizacional, corporativa como aspectos bem específicos da Governança de TIC e práticas de gestão administrativa, ainda que para a realização das entregas da SUPTI todos os produtos estejam relacionados as três de maneira complementar.</w:t>
      </w:r>
    </w:p>
    <w:p w14:paraId="776D0A5F" w14:textId="7A3CA5AF" w:rsidR="00A41DBB" w:rsidRPr="00252D7B" w:rsidRDefault="00A41DBB" w:rsidP="00A41DBB">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Como resultante da reflexão sobre os esforços necessários para conduzir os trabalhos da TI, a Cadeia e valor foi finalmente redesenhada conforme a </w:t>
      </w:r>
      <w:r w:rsidR="003C37D9" w:rsidRPr="00252D7B">
        <w:rPr>
          <w:rFonts w:asciiTheme="minorHAnsi" w:hAnsiTheme="minorHAnsi" w:cstheme="minorHAnsi"/>
          <w:sz w:val="24"/>
          <w:szCs w:val="24"/>
        </w:rPr>
        <w:fldChar w:fldCharType="begin"/>
      </w:r>
      <w:r w:rsidR="003C37D9" w:rsidRPr="00252D7B">
        <w:rPr>
          <w:rFonts w:asciiTheme="minorHAnsi" w:hAnsiTheme="minorHAnsi" w:cstheme="minorHAnsi"/>
          <w:sz w:val="24"/>
          <w:szCs w:val="24"/>
        </w:rPr>
        <w:instrText xml:space="preserve"> REF _Ref97569537 \h  \* MERGEFORMAT </w:instrText>
      </w:r>
      <w:r w:rsidR="003C37D9" w:rsidRPr="00252D7B">
        <w:rPr>
          <w:rFonts w:asciiTheme="minorHAnsi" w:hAnsiTheme="minorHAnsi" w:cstheme="minorHAnsi"/>
          <w:sz w:val="24"/>
          <w:szCs w:val="24"/>
        </w:rPr>
      </w:r>
      <w:r w:rsidR="003C37D9" w:rsidRPr="00252D7B">
        <w:rPr>
          <w:rFonts w:asciiTheme="minorHAnsi" w:hAnsiTheme="minorHAnsi" w:cstheme="minorHAnsi"/>
          <w:sz w:val="24"/>
          <w:szCs w:val="24"/>
        </w:rPr>
        <w:fldChar w:fldCharType="separate"/>
      </w:r>
      <w:r w:rsidR="00C12888" w:rsidRPr="00C12888">
        <w:rPr>
          <w:rFonts w:asciiTheme="minorHAnsi" w:hAnsiTheme="minorHAnsi" w:cstheme="minorHAnsi"/>
          <w:sz w:val="24"/>
          <w:szCs w:val="24"/>
        </w:rPr>
        <w:t>Figura 25</w:t>
      </w:r>
      <w:r w:rsidR="003C37D9" w:rsidRPr="00252D7B">
        <w:rPr>
          <w:rFonts w:asciiTheme="minorHAnsi" w:hAnsiTheme="minorHAnsi" w:cstheme="minorHAnsi"/>
          <w:sz w:val="24"/>
          <w:szCs w:val="24"/>
        </w:rPr>
        <w:fldChar w:fldCharType="end"/>
      </w:r>
      <w:r w:rsidR="003C37D9" w:rsidRPr="00252D7B">
        <w:rPr>
          <w:rFonts w:asciiTheme="minorHAnsi" w:hAnsiTheme="minorHAnsi" w:cstheme="minorHAnsi"/>
          <w:sz w:val="24"/>
          <w:szCs w:val="24"/>
        </w:rPr>
        <w:t>.</w:t>
      </w:r>
    </w:p>
    <w:p w14:paraId="3A7DDE05" w14:textId="77777777" w:rsidR="00A41DBB" w:rsidRPr="00252D7B" w:rsidRDefault="00A41DBB" w:rsidP="00A41DBB">
      <w:pPr>
        <w:widowControl/>
        <w:autoSpaceDE/>
        <w:autoSpaceDN/>
        <w:spacing w:before="120" w:after="120"/>
        <w:rPr>
          <w:rFonts w:asciiTheme="minorHAnsi" w:hAnsiTheme="minorHAnsi" w:cstheme="minorHAnsi"/>
          <w:sz w:val="24"/>
          <w:szCs w:val="24"/>
        </w:rPr>
      </w:pPr>
      <w:r w:rsidRPr="00252D7B">
        <w:rPr>
          <w:rFonts w:asciiTheme="minorHAnsi" w:hAnsiTheme="minorHAnsi" w:cstheme="minorHAnsi"/>
          <w:sz w:val="24"/>
          <w:szCs w:val="24"/>
        </w:rPr>
        <w:br w:type="page"/>
      </w:r>
    </w:p>
    <w:p w14:paraId="6F9A00CC" w14:textId="0BF9E5B2" w:rsidR="00A41DBB" w:rsidRPr="00252D7B" w:rsidRDefault="00A41DBB" w:rsidP="00A41DBB">
      <w:pPr>
        <w:pStyle w:val="Legenda"/>
        <w:spacing w:before="120" w:after="120"/>
        <w:jc w:val="center"/>
        <w:rPr>
          <w:rFonts w:asciiTheme="minorHAnsi" w:hAnsiTheme="minorHAnsi" w:cstheme="minorHAnsi"/>
          <w:sz w:val="20"/>
          <w:szCs w:val="20"/>
        </w:rPr>
      </w:pPr>
      <w:bookmarkStart w:id="459" w:name="_Ref97569537"/>
      <w:bookmarkStart w:id="460" w:name="_Toc97216033"/>
      <w:bookmarkStart w:id="461" w:name="_Ref97569525"/>
      <w:bookmarkStart w:id="462" w:name="_Toc103680761"/>
      <w:r w:rsidRPr="00252D7B">
        <w:rPr>
          <w:rFonts w:asciiTheme="minorHAnsi" w:hAnsiTheme="minorHAnsi" w:cstheme="minorHAnsi"/>
          <w:sz w:val="20"/>
          <w:szCs w:val="20"/>
        </w:rPr>
        <w:lastRenderedPageBreak/>
        <w:t xml:space="preserve">Figura </w:t>
      </w:r>
      <w:r w:rsidR="00F46BDB" w:rsidRPr="00252D7B">
        <w:rPr>
          <w:rFonts w:asciiTheme="minorHAnsi" w:hAnsiTheme="minorHAnsi" w:cstheme="minorHAnsi"/>
          <w:sz w:val="20"/>
          <w:szCs w:val="20"/>
        </w:rPr>
        <w:fldChar w:fldCharType="begin"/>
      </w:r>
      <w:r w:rsidR="00F46BDB" w:rsidRPr="00252D7B">
        <w:rPr>
          <w:rFonts w:asciiTheme="minorHAnsi" w:hAnsiTheme="minorHAnsi" w:cstheme="minorHAnsi"/>
          <w:sz w:val="20"/>
          <w:szCs w:val="20"/>
        </w:rPr>
        <w:instrText xml:space="preserve"> SEQ Figura \* ARABIC </w:instrText>
      </w:r>
      <w:r w:rsidR="00F46BDB"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25</w:t>
      </w:r>
      <w:r w:rsidR="00F46BDB" w:rsidRPr="00252D7B">
        <w:rPr>
          <w:rFonts w:asciiTheme="minorHAnsi" w:hAnsiTheme="minorHAnsi" w:cstheme="minorHAnsi"/>
          <w:sz w:val="20"/>
          <w:szCs w:val="20"/>
        </w:rPr>
        <w:fldChar w:fldCharType="end"/>
      </w:r>
      <w:bookmarkEnd w:id="459"/>
      <w:r w:rsidR="00E73F64" w:rsidRPr="00252D7B">
        <w:rPr>
          <w:rFonts w:asciiTheme="minorHAnsi" w:hAnsiTheme="minorHAnsi" w:cstheme="minorHAnsi"/>
          <w:sz w:val="20"/>
          <w:szCs w:val="20"/>
        </w:rPr>
        <w:t xml:space="preserve"> –</w:t>
      </w:r>
      <w:r w:rsidRPr="00252D7B">
        <w:rPr>
          <w:rFonts w:asciiTheme="minorHAnsi" w:hAnsiTheme="minorHAnsi" w:cstheme="minorHAnsi"/>
          <w:sz w:val="20"/>
          <w:szCs w:val="20"/>
        </w:rPr>
        <w:t xml:space="preserve"> Cadeia de valor SUPTI.</w:t>
      </w:r>
      <w:bookmarkEnd w:id="460"/>
      <w:bookmarkEnd w:id="461"/>
      <w:bookmarkEnd w:id="462"/>
    </w:p>
    <w:p w14:paraId="021D7505" w14:textId="77777777" w:rsidR="00A41DBB" w:rsidRPr="00252D7B" w:rsidRDefault="00A41DBB" w:rsidP="0044434F">
      <w:pPr>
        <w:keepNext/>
        <w:spacing w:before="120" w:after="120"/>
        <w:jc w:val="center"/>
        <w:rPr>
          <w:rFonts w:asciiTheme="minorHAnsi" w:hAnsiTheme="minorHAnsi" w:cstheme="minorHAnsi"/>
        </w:rPr>
      </w:pPr>
      <w:r w:rsidRPr="00252D7B">
        <w:rPr>
          <w:rFonts w:asciiTheme="minorHAnsi" w:hAnsiTheme="minorHAnsi" w:cstheme="minorHAnsi"/>
          <w:noProof/>
          <w:sz w:val="20"/>
          <w:szCs w:val="20"/>
        </w:rPr>
        <w:drawing>
          <wp:inline distT="0" distB="0" distL="0" distR="0" wp14:anchorId="722D7613" wp14:editId="4BA9463E">
            <wp:extent cx="6077371" cy="3443844"/>
            <wp:effectExtent l="0" t="0" r="0" b="4445"/>
            <wp:docPr id="1874145857" name="Picture 1874145857" descr="Diagrama,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45857" name="Picture 1874145857" descr="Diagrama, Texto&#10;&#10;Descrição gerada automaticamente"/>
                    <pic:cNvPicPr/>
                  </pic:nvPicPr>
                  <pic:blipFill>
                    <a:blip r:embed="rId85">
                      <a:extLst>
                        <a:ext uri="{28A0092B-C50C-407E-A947-70E740481C1C}">
                          <a14:useLocalDpi xmlns:a14="http://schemas.microsoft.com/office/drawing/2010/main" val="0"/>
                        </a:ext>
                      </a:extLst>
                    </a:blip>
                    <a:stretch>
                      <a:fillRect/>
                    </a:stretch>
                  </pic:blipFill>
                  <pic:spPr>
                    <a:xfrm>
                      <a:off x="0" y="0"/>
                      <a:ext cx="6108000" cy="3461200"/>
                    </a:xfrm>
                    <a:prstGeom prst="rect">
                      <a:avLst/>
                    </a:prstGeom>
                  </pic:spPr>
                </pic:pic>
              </a:graphicData>
            </a:graphic>
          </wp:inline>
        </w:drawing>
      </w:r>
    </w:p>
    <w:p w14:paraId="3F1EEB4D" w14:textId="77777777" w:rsidR="00A41DBB" w:rsidRPr="00252D7B" w:rsidRDefault="00A41DBB" w:rsidP="00A41DBB">
      <w:pPr>
        <w:spacing w:before="120" w:after="120"/>
        <w:ind w:firstLine="708"/>
        <w:jc w:val="both"/>
        <w:rPr>
          <w:rFonts w:asciiTheme="minorHAnsi" w:hAnsiTheme="minorHAnsi" w:cstheme="minorHAnsi"/>
        </w:rPr>
      </w:pPr>
    </w:p>
    <w:p w14:paraId="2035C271" w14:textId="77777777" w:rsidR="00A41DBB" w:rsidRPr="00252D7B" w:rsidRDefault="00A41DBB" w:rsidP="00A41DBB">
      <w:pPr>
        <w:spacing w:before="120" w:after="120"/>
        <w:jc w:val="both"/>
        <w:rPr>
          <w:rFonts w:asciiTheme="minorHAnsi" w:hAnsiTheme="minorHAnsi" w:cstheme="minorHAnsi"/>
          <w:sz w:val="24"/>
          <w:szCs w:val="24"/>
          <w:lang w:eastAsia="pt-BR"/>
        </w:rPr>
      </w:pPr>
      <w:r w:rsidRPr="00252D7B">
        <w:rPr>
          <w:rFonts w:asciiTheme="minorHAnsi" w:hAnsiTheme="minorHAnsi" w:cstheme="minorHAnsi"/>
          <w:sz w:val="24"/>
          <w:szCs w:val="24"/>
          <w:lang w:eastAsia="pt-BR"/>
        </w:rPr>
        <w:t xml:space="preserve">Portanto, a cadeia de Valor da SUPTI possui dois níveis de Macroprocessos: em segundo nível e em terceiro nível relação à cadeia de valor da Valec. </w:t>
      </w:r>
    </w:p>
    <w:p w14:paraId="49712EE2" w14:textId="77777777" w:rsidR="00A41DBB" w:rsidRPr="00252D7B" w:rsidRDefault="00A41DBB" w:rsidP="00A41DBB">
      <w:pPr>
        <w:spacing w:before="120" w:after="120"/>
        <w:jc w:val="both"/>
        <w:rPr>
          <w:rFonts w:asciiTheme="minorHAnsi" w:hAnsiTheme="minorHAnsi" w:cstheme="minorHAnsi"/>
          <w:sz w:val="24"/>
          <w:szCs w:val="24"/>
          <w:lang w:eastAsia="pt-BR"/>
        </w:rPr>
      </w:pPr>
      <w:r w:rsidRPr="00252D7B">
        <w:rPr>
          <w:rFonts w:asciiTheme="minorHAnsi" w:hAnsiTheme="minorHAnsi" w:cstheme="minorHAnsi"/>
          <w:sz w:val="24"/>
          <w:szCs w:val="24"/>
          <w:lang w:eastAsia="pt-BR"/>
        </w:rPr>
        <w:t>O Macroprocesso em segundo nível “Gerir Tecnologia da Informação” é composto pelos Macroprocessos em terceiro nível:</w:t>
      </w:r>
    </w:p>
    <w:p w14:paraId="16207908" w14:textId="77777777" w:rsidR="00A41DBB" w:rsidRPr="00252D7B" w:rsidRDefault="00A41DBB" w:rsidP="00E8125E">
      <w:pPr>
        <w:pStyle w:val="PargrafodaLista"/>
        <w:numPr>
          <w:ilvl w:val="0"/>
          <w:numId w:val="4"/>
        </w:numPr>
        <w:spacing w:before="120" w:after="120"/>
        <w:ind w:left="992" w:hanging="357"/>
        <w:contextualSpacing w:val="0"/>
        <w:jc w:val="both"/>
        <w:rPr>
          <w:rFonts w:asciiTheme="minorHAnsi" w:eastAsiaTheme="minorEastAsia" w:hAnsiTheme="minorHAnsi" w:cstheme="minorHAnsi"/>
          <w:sz w:val="24"/>
          <w:szCs w:val="24"/>
        </w:rPr>
      </w:pPr>
      <w:r w:rsidRPr="00252D7B">
        <w:rPr>
          <w:rFonts w:asciiTheme="minorHAnsi" w:hAnsiTheme="minorHAnsi" w:cstheme="minorHAnsi"/>
          <w:sz w:val="24"/>
          <w:szCs w:val="24"/>
        </w:rPr>
        <w:t xml:space="preserve">Planejar de TIC que é orientado pelas práticas de Governança de TIC; </w:t>
      </w:r>
    </w:p>
    <w:p w14:paraId="76CFF514" w14:textId="77777777" w:rsidR="00A41DBB" w:rsidRPr="00252D7B" w:rsidRDefault="00A41DBB" w:rsidP="00E8125E">
      <w:pPr>
        <w:pStyle w:val="PargrafodaLista"/>
        <w:numPr>
          <w:ilvl w:val="0"/>
          <w:numId w:val="4"/>
        </w:numPr>
        <w:spacing w:before="120" w:after="120"/>
        <w:ind w:left="992" w:hanging="357"/>
        <w:contextualSpacing w:val="0"/>
        <w:jc w:val="both"/>
        <w:rPr>
          <w:rFonts w:asciiTheme="minorHAnsi" w:hAnsiTheme="minorHAnsi" w:cstheme="minorHAnsi"/>
          <w:sz w:val="24"/>
          <w:szCs w:val="24"/>
        </w:rPr>
      </w:pPr>
      <w:r w:rsidRPr="00252D7B">
        <w:rPr>
          <w:rFonts w:asciiTheme="minorHAnsi" w:hAnsiTheme="minorHAnsi" w:cstheme="minorHAnsi"/>
          <w:sz w:val="24"/>
          <w:szCs w:val="24"/>
        </w:rPr>
        <w:t>Gerir o planejamento de TIC encadeado a este e por meio de processos administrativos como os demais;</w:t>
      </w:r>
    </w:p>
    <w:p w14:paraId="22FA03EB" w14:textId="77777777" w:rsidR="00A41DBB" w:rsidRPr="00252D7B" w:rsidRDefault="00A41DBB" w:rsidP="00E8125E">
      <w:pPr>
        <w:pStyle w:val="PargrafodaLista"/>
        <w:numPr>
          <w:ilvl w:val="0"/>
          <w:numId w:val="4"/>
        </w:numPr>
        <w:spacing w:before="120" w:after="120"/>
        <w:ind w:left="992" w:hanging="357"/>
        <w:contextualSpacing w:val="0"/>
        <w:jc w:val="both"/>
        <w:rPr>
          <w:rFonts w:asciiTheme="minorHAnsi" w:hAnsiTheme="minorHAnsi" w:cstheme="minorHAnsi"/>
          <w:sz w:val="24"/>
          <w:szCs w:val="24"/>
          <w:lang w:eastAsia="pt-BR"/>
        </w:rPr>
      </w:pPr>
      <w:r w:rsidRPr="00252D7B">
        <w:rPr>
          <w:rFonts w:asciiTheme="minorHAnsi" w:hAnsiTheme="minorHAnsi" w:cstheme="minorHAnsi"/>
          <w:sz w:val="24"/>
          <w:szCs w:val="24"/>
        </w:rPr>
        <w:t>Gerir as demandas de SUPTI que incluem não só aquelas contidas no planejamento de TIC como as demandas espontâneas e aquelas decorrentes da governança corporativa e dos procedimentos organizacionais como a gestão de pessoas, gestão de processos administrativos e seus procedimentos;</w:t>
      </w:r>
    </w:p>
    <w:p w14:paraId="6C750764" w14:textId="77777777" w:rsidR="00A41DBB" w:rsidRPr="00252D7B" w:rsidRDefault="00A41DBB" w:rsidP="00E8125E">
      <w:pPr>
        <w:pStyle w:val="PargrafodaLista"/>
        <w:numPr>
          <w:ilvl w:val="0"/>
          <w:numId w:val="4"/>
        </w:numPr>
        <w:spacing w:before="120" w:after="120"/>
        <w:ind w:left="992" w:hanging="357"/>
        <w:contextualSpacing w:val="0"/>
        <w:jc w:val="both"/>
        <w:rPr>
          <w:rFonts w:asciiTheme="minorHAnsi" w:hAnsiTheme="minorHAnsi" w:cstheme="minorHAnsi"/>
          <w:sz w:val="24"/>
          <w:szCs w:val="24"/>
          <w:lang w:eastAsia="pt-BR"/>
        </w:rPr>
      </w:pPr>
      <w:r w:rsidRPr="00252D7B">
        <w:rPr>
          <w:rFonts w:asciiTheme="minorHAnsi" w:hAnsiTheme="minorHAnsi" w:cstheme="minorHAnsi"/>
          <w:sz w:val="24"/>
          <w:szCs w:val="24"/>
          <w:lang w:eastAsia="pt-BR"/>
        </w:rPr>
        <w:t xml:space="preserve">Gerir Infraestrutura: que reúne os </w:t>
      </w:r>
      <w:r w:rsidRPr="00252D7B">
        <w:rPr>
          <w:rFonts w:asciiTheme="minorHAnsi" w:hAnsiTheme="minorHAnsi" w:cstheme="minorHAnsi"/>
          <w:sz w:val="24"/>
          <w:szCs w:val="24"/>
        </w:rPr>
        <w:t>processos</w:t>
      </w:r>
      <w:r w:rsidRPr="00252D7B">
        <w:rPr>
          <w:rFonts w:asciiTheme="minorHAnsi" w:hAnsiTheme="minorHAnsi" w:cstheme="minorHAnsi"/>
          <w:sz w:val="24"/>
          <w:szCs w:val="24"/>
          <w:lang w:eastAsia="pt-BR"/>
        </w:rPr>
        <w:t xml:space="preserve"> de manutenção de equipamentos e rede, aquisições, </w:t>
      </w:r>
      <w:r w:rsidRPr="00252D7B">
        <w:rPr>
          <w:rFonts w:asciiTheme="minorHAnsi" w:hAnsiTheme="minorHAnsi" w:cstheme="minorHAnsi"/>
          <w:i/>
          <w:sz w:val="24"/>
          <w:szCs w:val="24"/>
          <w:lang w:eastAsia="pt-BR"/>
        </w:rPr>
        <w:t>helpdesk</w:t>
      </w:r>
      <w:r w:rsidRPr="00252D7B">
        <w:rPr>
          <w:rFonts w:asciiTheme="minorHAnsi" w:hAnsiTheme="minorHAnsi" w:cstheme="minorHAnsi"/>
          <w:sz w:val="24"/>
          <w:szCs w:val="24"/>
          <w:lang w:eastAsia="pt-BR"/>
        </w:rPr>
        <w:t xml:space="preserve"> etc.;</w:t>
      </w:r>
    </w:p>
    <w:p w14:paraId="60A969EF" w14:textId="77777777" w:rsidR="00A41DBB" w:rsidRPr="00252D7B" w:rsidRDefault="00A41DBB" w:rsidP="00E8125E">
      <w:pPr>
        <w:pStyle w:val="PargrafodaLista"/>
        <w:numPr>
          <w:ilvl w:val="0"/>
          <w:numId w:val="4"/>
        </w:numPr>
        <w:spacing w:before="120" w:after="120"/>
        <w:ind w:left="992" w:hanging="357"/>
        <w:contextualSpacing w:val="0"/>
        <w:jc w:val="both"/>
        <w:rPr>
          <w:rFonts w:asciiTheme="minorHAnsi" w:hAnsiTheme="minorHAnsi" w:cstheme="minorHAnsi"/>
          <w:sz w:val="24"/>
          <w:szCs w:val="24"/>
          <w:lang w:eastAsia="pt-BR"/>
        </w:rPr>
      </w:pPr>
      <w:r w:rsidRPr="00252D7B">
        <w:rPr>
          <w:rFonts w:asciiTheme="minorHAnsi" w:hAnsiTheme="minorHAnsi" w:cstheme="minorHAnsi"/>
          <w:sz w:val="24"/>
          <w:szCs w:val="24"/>
          <w:lang w:eastAsia="pt-BR"/>
        </w:rPr>
        <w:t>Gerir Sistemas: que reúne os processos de desenvolvimento gestão da fábrica, implantação;</w:t>
      </w:r>
    </w:p>
    <w:p w14:paraId="5E51D129" w14:textId="77777777" w:rsidR="00A41DBB" w:rsidRPr="00252D7B" w:rsidRDefault="00A41DBB" w:rsidP="00E8125E">
      <w:pPr>
        <w:pStyle w:val="PargrafodaLista"/>
        <w:numPr>
          <w:ilvl w:val="0"/>
          <w:numId w:val="4"/>
        </w:numPr>
        <w:spacing w:before="120" w:after="120"/>
        <w:ind w:left="992" w:hanging="357"/>
        <w:contextualSpacing w:val="0"/>
        <w:jc w:val="both"/>
        <w:rPr>
          <w:rFonts w:asciiTheme="minorHAnsi" w:hAnsiTheme="minorHAnsi" w:cstheme="minorHAnsi"/>
          <w:sz w:val="24"/>
          <w:szCs w:val="24"/>
          <w:lang w:eastAsia="pt-BR"/>
        </w:rPr>
      </w:pPr>
      <w:r w:rsidRPr="00252D7B">
        <w:rPr>
          <w:rFonts w:asciiTheme="minorHAnsi" w:hAnsiTheme="minorHAnsi" w:cstheme="minorHAnsi"/>
          <w:sz w:val="24"/>
          <w:szCs w:val="24"/>
          <w:lang w:eastAsia="pt-BR"/>
        </w:rPr>
        <w:t xml:space="preserve">Gerir Segurança da </w:t>
      </w:r>
      <w:r w:rsidRPr="00252D7B">
        <w:rPr>
          <w:rFonts w:asciiTheme="minorHAnsi" w:hAnsiTheme="minorHAnsi" w:cstheme="minorHAnsi"/>
          <w:sz w:val="24"/>
          <w:szCs w:val="24"/>
        </w:rPr>
        <w:t>Informação</w:t>
      </w:r>
      <w:r w:rsidRPr="00252D7B">
        <w:rPr>
          <w:rFonts w:asciiTheme="minorHAnsi" w:hAnsiTheme="minorHAnsi" w:cstheme="minorHAnsi"/>
          <w:sz w:val="24"/>
          <w:szCs w:val="24"/>
          <w:lang w:eastAsia="pt-BR"/>
        </w:rPr>
        <w:t>.</w:t>
      </w:r>
    </w:p>
    <w:p w14:paraId="03D1FBD9" w14:textId="77777777" w:rsidR="00A41DBB" w:rsidRPr="00252D7B" w:rsidRDefault="00A41DBB" w:rsidP="00A41DBB">
      <w:pPr>
        <w:pStyle w:val="PargrafodaLista"/>
        <w:spacing w:before="120" w:after="120"/>
        <w:ind w:left="1440"/>
        <w:jc w:val="both"/>
        <w:rPr>
          <w:rFonts w:asciiTheme="minorHAnsi" w:hAnsiTheme="minorHAnsi" w:cstheme="minorHAnsi"/>
          <w:sz w:val="24"/>
          <w:szCs w:val="24"/>
          <w:lang w:eastAsia="pt-BR"/>
        </w:rPr>
      </w:pPr>
    </w:p>
    <w:p w14:paraId="29B7612A" w14:textId="77777777" w:rsidR="00A41DBB" w:rsidRPr="00252D7B" w:rsidRDefault="00A41DBB" w:rsidP="00A41DBB">
      <w:pPr>
        <w:pStyle w:val="Ttulo4"/>
        <w:spacing w:before="120"/>
        <w:rPr>
          <w:rFonts w:asciiTheme="minorHAnsi" w:hAnsiTheme="minorHAnsi" w:cstheme="minorHAnsi"/>
        </w:rPr>
      </w:pPr>
      <w:bookmarkStart w:id="463" w:name="_Toc97215867"/>
      <w:bookmarkStart w:id="464" w:name="_Toc103680592"/>
      <w:r w:rsidRPr="00252D7B">
        <w:rPr>
          <w:rFonts w:asciiTheme="minorHAnsi" w:hAnsiTheme="minorHAnsi" w:cstheme="minorHAnsi"/>
        </w:rPr>
        <w:t>Resultados da TI</w:t>
      </w:r>
      <w:bookmarkEnd w:id="463"/>
      <w:bookmarkEnd w:id="464"/>
    </w:p>
    <w:p w14:paraId="7B175DF9" w14:textId="59656693" w:rsidR="00A41DBB" w:rsidRPr="00252D7B" w:rsidRDefault="00A41DBB" w:rsidP="00A41DBB">
      <w:pPr>
        <w:spacing w:before="120" w:after="120"/>
        <w:jc w:val="both"/>
        <w:rPr>
          <w:rFonts w:asciiTheme="minorHAnsi" w:hAnsiTheme="minorHAnsi" w:cstheme="minorHAnsi"/>
          <w:sz w:val="24"/>
          <w:szCs w:val="24"/>
          <w:lang w:eastAsia="pt-BR"/>
        </w:rPr>
      </w:pPr>
      <w:r w:rsidRPr="00252D7B">
        <w:rPr>
          <w:rFonts w:asciiTheme="minorHAnsi" w:hAnsiTheme="minorHAnsi" w:cstheme="minorHAnsi"/>
          <w:sz w:val="24"/>
          <w:szCs w:val="24"/>
          <w:lang w:eastAsia="pt-BR"/>
        </w:rPr>
        <w:t>Os Resultados de 2021 correspondem ao último ano do PDTIC 2019-2021, acrescidas das demandas espontâneas surgidas no período.</w:t>
      </w:r>
    </w:p>
    <w:p w14:paraId="4A7D11DE" w14:textId="7117C84B" w:rsidR="00A41DBB" w:rsidRPr="00252D7B" w:rsidRDefault="00A41DBB" w:rsidP="00E8125E">
      <w:pPr>
        <w:spacing w:before="120"/>
        <w:jc w:val="both"/>
        <w:rPr>
          <w:rFonts w:asciiTheme="minorHAnsi" w:hAnsiTheme="minorHAnsi" w:cstheme="minorHAnsi"/>
          <w:sz w:val="24"/>
          <w:szCs w:val="24"/>
          <w:lang w:eastAsia="pt-BR"/>
        </w:rPr>
      </w:pPr>
      <w:r w:rsidRPr="00252D7B">
        <w:rPr>
          <w:rFonts w:asciiTheme="minorHAnsi" w:hAnsiTheme="minorHAnsi" w:cstheme="minorHAnsi"/>
          <w:sz w:val="24"/>
          <w:szCs w:val="24"/>
          <w:lang w:eastAsia="pt-BR"/>
        </w:rPr>
        <w:t xml:space="preserve">De acordo com o processo SEI 51402.101059/2021-65, “Relatórios Gerenciais DIRAF 2021”, </w:t>
      </w:r>
      <w:r w:rsidRPr="00252D7B">
        <w:rPr>
          <w:rFonts w:asciiTheme="minorHAnsi" w:hAnsiTheme="minorHAnsi" w:cstheme="minorHAnsi"/>
          <w:sz w:val="24"/>
          <w:szCs w:val="24"/>
          <w:lang w:eastAsia="pt-BR"/>
        </w:rPr>
        <w:lastRenderedPageBreak/>
        <w:t>publicado mensalmente, foram executadas 355 ações na SUPTI, retiradas aquelas eminentemente administrativas. A distribuição das ações em relação as Diretorias e às cadeias de valor estão representadas n</w:t>
      </w:r>
      <w:r w:rsidR="00EE7C2E" w:rsidRPr="00252D7B">
        <w:rPr>
          <w:rFonts w:asciiTheme="minorHAnsi" w:hAnsiTheme="minorHAnsi" w:cstheme="minorHAnsi"/>
          <w:sz w:val="24"/>
          <w:szCs w:val="24"/>
          <w:lang w:eastAsia="pt-BR"/>
        </w:rPr>
        <w:t xml:space="preserve">a Tabela </w:t>
      </w:r>
      <w:r w:rsidR="0067629F">
        <w:rPr>
          <w:rFonts w:asciiTheme="minorHAnsi" w:hAnsiTheme="minorHAnsi" w:cstheme="minorHAnsi"/>
          <w:sz w:val="24"/>
          <w:szCs w:val="24"/>
          <w:lang w:eastAsia="pt-BR"/>
        </w:rPr>
        <w:t>21</w:t>
      </w:r>
      <w:r w:rsidR="00EE7C2E" w:rsidRPr="00252D7B">
        <w:rPr>
          <w:rFonts w:asciiTheme="minorHAnsi" w:hAnsiTheme="minorHAnsi" w:cstheme="minorHAnsi"/>
          <w:sz w:val="24"/>
          <w:szCs w:val="24"/>
          <w:lang w:eastAsia="pt-BR"/>
        </w:rPr>
        <w:t xml:space="preserve"> e Gráfico 16</w:t>
      </w:r>
      <w:r w:rsidRPr="00252D7B">
        <w:rPr>
          <w:rFonts w:asciiTheme="minorHAnsi" w:hAnsiTheme="minorHAnsi" w:cstheme="minorHAnsi"/>
          <w:sz w:val="24"/>
          <w:szCs w:val="24"/>
          <w:lang w:eastAsia="pt-BR"/>
        </w:rPr>
        <w:t>.</w:t>
      </w:r>
    </w:p>
    <w:p w14:paraId="28F87B90" w14:textId="77777777" w:rsidR="00A41DBB" w:rsidRPr="00252D7B" w:rsidRDefault="00A41DBB" w:rsidP="00E8125E">
      <w:pPr>
        <w:pStyle w:val="Legenda"/>
        <w:spacing w:before="120" w:after="0"/>
        <w:jc w:val="center"/>
        <w:rPr>
          <w:rFonts w:asciiTheme="minorHAnsi" w:hAnsiTheme="minorHAnsi" w:cstheme="minorHAnsi"/>
          <w:sz w:val="20"/>
          <w:szCs w:val="20"/>
          <w:lang w:eastAsia="pt-BR"/>
        </w:rPr>
      </w:pPr>
    </w:p>
    <w:p w14:paraId="5FA90CAA" w14:textId="006BB8FC" w:rsidR="00A41DBB" w:rsidRPr="00252D7B" w:rsidRDefault="00A41DBB" w:rsidP="00A41DBB">
      <w:pPr>
        <w:pStyle w:val="Legenda"/>
        <w:keepNext/>
        <w:spacing w:before="120" w:after="120"/>
        <w:jc w:val="center"/>
        <w:rPr>
          <w:rFonts w:asciiTheme="minorHAnsi" w:hAnsiTheme="minorHAnsi" w:cstheme="minorHAnsi"/>
          <w:sz w:val="20"/>
          <w:szCs w:val="20"/>
        </w:rPr>
      </w:pPr>
      <w:bookmarkStart w:id="465" w:name="_Toc103680683"/>
      <w:r w:rsidRPr="00252D7B">
        <w:rPr>
          <w:rFonts w:asciiTheme="minorHAnsi" w:hAnsiTheme="minorHAnsi" w:cstheme="minorHAnsi"/>
          <w:sz w:val="20"/>
          <w:szCs w:val="20"/>
        </w:rPr>
        <w:t xml:space="preserve">Tabela </w:t>
      </w:r>
      <w:r w:rsidRPr="00252D7B">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Tabela \* ARABIC </w:instrText>
      </w:r>
      <w:r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21</w:t>
      </w:r>
      <w:r w:rsidRPr="00252D7B">
        <w:rPr>
          <w:rFonts w:asciiTheme="minorHAnsi" w:hAnsiTheme="minorHAnsi" w:cstheme="minorHAnsi"/>
          <w:sz w:val="20"/>
          <w:szCs w:val="20"/>
        </w:rPr>
        <w:fldChar w:fldCharType="end"/>
      </w:r>
      <w:r w:rsidR="00E73F64" w:rsidRPr="00252D7B">
        <w:rPr>
          <w:rFonts w:asciiTheme="minorHAnsi" w:hAnsiTheme="minorHAnsi" w:cstheme="minorHAnsi"/>
          <w:sz w:val="20"/>
          <w:szCs w:val="20"/>
        </w:rPr>
        <w:t xml:space="preserve"> –</w:t>
      </w:r>
      <w:r w:rsidRPr="00252D7B">
        <w:rPr>
          <w:rFonts w:asciiTheme="minorHAnsi" w:hAnsiTheme="minorHAnsi" w:cstheme="minorHAnsi"/>
          <w:sz w:val="20"/>
          <w:szCs w:val="20"/>
        </w:rPr>
        <w:t xml:space="preserve"> Ações executadas em 2021 por cliente</w:t>
      </w:r>
      <w:bookmarkEnd w:id="465"/>
    </w:p>
    <w:p w14:paraId="721DDB3C" w14:textId="77777777" w:rsidR="00E8125E" w:rsidRPr="00252D7B" w:rsidRDefault="00E8125E" w:rsidP="00E8125E">
      <w:pPr>
        <w:rPr>
          <w:rFonts w:asciiTheme="minorHAnsi" w:hAnsiTheme="minorHAnsi" w:cstheme="minorHAnsi"/>
          <w:sz w:val="10"/>
          <w:szCs w:val="10"/>
        </w:rPr>
      </w:pPr>
    </w:p>
    <w:tbl>
      <w:tblPr>
        <w:tblStyle w:val="Tabelacomgrade10"/>
        <w:tblW w:w="0" w:type="auto"/>
        <w:jc w:val="center"/>
        <w:tblInd w:w="0" w:type="dxa"/>
        <w:tblLook w:val="06A0" w:firstRow="1" w:lastRow="0" w:firstColumn="1" w:lastColumn="0" w:noHBand="1" w:noVBand="1"/>
      </w:tblPr>
      <w:tblGrid>
        <w:gridCol w:w="3669"/>
        <w:gridCol w:w="2100"/>
      </w:tblGrid>
      <w:tr w:rsidR="00A41DBB" w:rsidRPr="00252D7B" w14:paraId="58D158D4" w14:textId="77777777" w:rsidTr="00185B1F">
        <w:trPr>
          <w:trHeight w:val="300"/>
          <w:jc w:val="center"/>
        </w:trPr>
        <w:tc>
          <w:tcPr>
            <w:tcW w:w="3669" w:type="dxa"/>
            <w:tcBorders>
              <w:left w:val="nil"/>
            </w:tcBorders>
            <w:shd w:val="clear" w:color="auto" w:fill="D9D9D9"/>
          </w:tcPr>
          <w:p w14:paraId="7357CF4A" w14:textId="77777777" w:rsidR="00A41DBB" w:rsidRPr="00252D7B" w:rsidRDefault="00A41DBB" w:rsidP="00E03684">
            <w:pPr>
              <w:spacing w:before="120" w:after="120"/>
              <w:jc w:val="center"/>
              <w:rPr>
                <w:rFonts w:asciiTheme="minorHAnsi" w:hAnsiTheme="minorHAnsi" w:cstheme="minorHAnsi"/>
                <w:b/>
                <w:bCs/>
              </w:rPr>
            </w:pPr>
            <w:r w:rsidRPr="00252D7B">
              <w:rPr>
                <w:rFonts w:asciiTheme="minorHAnsi" w:eastAsia="Corbel" w:hAnsiTheme="minorHAnsi" w:cstheme="minorHAnsi"/>
                <w:b/>
                <w:bCs/>
                <w:color w:val="000000" w:themeColor="text1"/>
              </w:rPr>
              <w:t>Cliente</w:t>
            </w:r>
          </w:p>
        </w:tc>
        <w:tc>
          <w:tcPr>
            <w:tcW w:w="2100" w:type="dxa"/>
            <w:tcBorders>
              <w:right w:val="nil"/>
            </w:tcBorders>
            <w:shd w:val="clear" w:color="auto" w:fill="D9D9D9"/>
          </w:tcPr>
          <w:p w14:paraId="0AB83B8D" w14:textId="77777777" w:rsidR="00A41DBB" w:rsidRPr="00252D7B" w:rsidRDefault="00A41DBB" w:rsidP="00E03684">
            <w:pPr>
              <w:spacing w:before="120" w:after="120"/>
              <w:jc w:val="center"/>
              <w:rPr>
                <w:rFonts w:asciiTheme="minorHAnsi" w:hAnsiTheme="minorHAnsi" w:cstheme="minorHAnsi"/>
                <w:b/>
                <w:bCs/>
              </w:rPr>
            </w:pPr>
            <w:r w:rsidRPr="00252D7B">
              <w:rPr>
                <w:rFonts w:asciiTheme="minorHAnsi" w:eastAsia="Corbel" w:hAnsiTheme="minorHAnsi" w:cstheme="minorHAnsi"/>
                <w:b/>
                <w:bCs/>
                <w:color w:val="000000" w:themeColor="text1"/>
              </w:rPr>
              <w:t>Ações</w:t>
            </w:r>
          </w:p>
        </w:tc>
      </w:tr>
      <w:tr w:rsidR="00A41DBB" w:rsidRPr="00252D7B" w14:paraId="61C0BF59" w14:textId="77777777" w:rsidTr="00185B1F">
        <w:trPr>
          <w:trHeight w:val="268"/>
          <w:jc w:val="center"/>
        </w:trPr>
        <w:tc>
          <w:tcPr>
            <w:tcW w:w="3669" w:type="dxa"/>
            <w:tcBorders>
              <w:left w:val="nil"/>
            </w:tcBorders>
          </w:tcPr>
          <w:p w14:paraId="7249973A" w14:textId="77777777" w:rsidR="00A41DBB" w:rsidRPr="00252D7B" w:rsidRDefault="00A41DBB" w:rsidP="00E03684">
            <w:pPr>
              <w:spacing w:before="120" w:after="120"/>
              <w:jc w:val="center"/>
              <w:rPr>
                <w:rFonts w:asciiTheme="minorHAnsi" w:hAnsiTheme="minorHAnsi" w:cstheme="minorHAnsi"/>
              </w:rPr>
            </w:pPr>
            <w:r w:rsidRPr="00252D7B">
              <w:rPr>
                <w:rFonts w:asciiTheme="minorHAnsi" w:eastAsia="Corbel" w:hAnsiTheme="minorHAnsi" w:cstheme="minorHAnsi"/>
                <w:color w:val="000000" w:themeColor="text1"/>
              </w:rPr>
              <w:t>Presidência (Inclusive DT-e)</w:t>
            </w:r>
          </w:p>
        </w:tc>
        <w:tc>
          <w:tcPr>
            <w:tcW w:w="2100" w:type="dxa"/>
            <w:tcBorders>
              <w:right w:val="nil"/>
            </w:tcBorders>
          </w:tcPr>
          <w:p w14:paraId="0C3B8096" w14:textId="77777777" w:rsidR="00A41DBB" w:rsidRPr="00252D7B" w:rsidRDefault="00A41DBB" w:rsidP="00E03684">
            <w:pPr>
              <w:spacing w:before="120" w:after="120"/>
              <w:jc w:val="center"/>
              <w:rPr>
                <w:rFonts w:asciiTheme="minorHAnsi" w:hAnsiTheme="minorHAnsi" w:cstheme="minorHAnsi"/>
              </w:rPr>
            </w:pPr>
            <w:r w:rsidRPr="00252D7B">
              <w:rPr>
                <w:rFonts w:asciiTheme="minorHAnsi" w:eastAsia="Corbel" w:hAnsiTheme="minorHAnsi" w:cstheme="minorHAnsi"/>
                <w:color w:val="000000" w:themeColor="text1"/>
              </w:rPr>
              <w:t>48</w:t>
            </w:r>
          </w:p>
        </w:tc>
      </w:tr>
      <w:tr w:rsidR="00A41DBB" w:rsidRPr="00252D7B" w14:paraId="476B107C" w14:textId="77777777" w:rsidTr="00185B1F">
        <w:trPr>
          <w:trHeight w:val="285"/>
          <w:jc w:val="center"/>
        </w:trPr>
        <w:tc>
          <w:tcPr>
            <w:tcW w:w="3669" w:type="dxa"/>
            <w:tcBorders>
              <w:left w:val="nil"/>
            </w:tcBorders>
          </w:tcPr>
          <w:p w14:paraId="3A79B6C3" w14:textId="77777777" w:rsidR="00A41DBB" w:rsidRPr="00252D7B" w:rsidRDefault="00A41DBB" w:rsidP="00E03684">
            <w:pPr>
              <w:spacing w:before="120" w:after="120"/>
              <w:jc w:val="center"/>
              <w:rPr>
                <w:rFonts w:asciiTheme="minorHAnsi" w:hAnsiTheme="minorHAnsi" w:cstheme="minorHAnsi"/>
              </w:rPr>
            </w:pPr>
            <w:r w:rsidRPr="00252D7B">
              <w:rPr>
                <w:rFonts w:asciiTheme="minorHAnsi" w:eastAsia="Corbel" w:hAnsiTheme="minorHAnsi" w:cstheme="minorHAnsi"/>
                <w:color w:val="000000" w:themeColor="text1"/>
              </w:rPr>
              <w:t>DIRAF</w:t>
            </w:r>
          </w:p>
        </w:tc>
        <w:tc>
          <w:tcPr>
            <w:tcW w:w="2100" w:type="dxa"/>
            <w:tcBorders>
              <w:right w:val="nil"/>
            </w:tcBorders>
          </w:tcPr>
          <w:p w14:paraId="6A653339" w14:textId="77777777" w:rsidR="00A41DBB" w:rsidRPr="00252D7B" w:rsidRDefault="00A41DBB" w:rsidP="00E03684">
            <w:pPr>
              <w:spacing w:before="120" w:after="120"/>
              <w:jc w:val="center"/>
              <w:rPr>
                <w:rFonts w:asciiTheme="minorHAnsi" w:hAnsiTheme="minorHAnsi" w:cstheme="minorHAnsi"/>
              </w:rPr>
            </w:pPr>
            <w:r w:rsidRPr="00252D7B">
              <w:rPr>
                <w:rFonts w:asciiTheme="minorHAnsi" w:eastAsia="Corbel" w:hAnsiTheme="minorHAnsi" w:cstheme="minorHAnsi"/>
                <w:color w:val="000000" w:themeColor="text1"/>
              </w:rPr>
              <w:t>65</w:t>
            </w:r>
          </w:p>
        </w:tc>
      </w:tr>
      <w:tr w:rsidR="00A41DBB" w:rsidRPr="00252D7B" w14:paraId="51A3A973" w14:textId="77777777" w:rsidTr="00185B1F">
        <w:trPr>
          <w:trHeight w:val="285"/>
          <w:jc w:val="center"/>
        </w:trPr>
        <w:tc>
          <w:tcPr>
            <w:tcW w:w="3669" w:type="dxa"/>
            <w:tcBorders>
              <w:left w:val="nil"/>
            </w:tcBorders>
          </w:tcPr>
          <w:p w14:paraId="71644BC5" w14:textId="77777777" w:rsidR="00A41DBB" w:rsidRPr="00252D7B" w:rsidRDefault="00A41DBB" w:rsidP="00E03684">
            <w:pPr>
              <w:spacing w:before="120" w:after="120"/>
              <w:jc w:val="center"/>
              <w:rPr>
                <w:rFonts w:asciiTheme="minorHAnsi" w:hAnsiTheme="minorHAnsi" w:cstheme="minorHAnsi"/>
              </w:rPr>
            </w:pPr>
            <w:r w:rsidRPr="00252D7B">
              <w:rPr>
                <w:rFonts w:asciiTheme="minorHAnsi" w:eastAsia="Corbel" w:hAnsiTheme="minorHAnsi" w:cstheme="minorHAnsi"/>
                <w:color w:val="000000" w:themeColor="text1"/>
              </w:rPr>
              <w:t>DIREM</w:t>
            </w:r>
          </w:p>
        </w:tc>
        <w:tc>
          <w:tcPr>
            <w:tcW w:w="2100" w:type="dxa"/>
            <w:tcBorders>
              <w:right w:val="nil"/>
            </w:tcBorders>
          </w:tcPr>
          <w:p w14:paraId="2FBBC5E5" w14:textId="77777777" w:rsidR="00A41DBB" w:rsidRPr="00252D7B" w:rsidRDefault="00A41DBB" w:rsidP="00E03684">
            <w:pPr>
              <w:spacing w:before="120" w:after="120"/>
              <w:jc w:val="center"/>
              <w:rPr>
                <w:rFonts w:asciiTheme="minorHAnsi" w:hAnsiTheme="minorHAnsi" w:cstheme="minorHAnsi"/>
              </w:rPr>
            </w:pPr>
            <w:r w:rsidRPr="00252D7B">
              <w:rPr>
                <w:rFonts w:asciiTheme="minorHAnsi" w:eastAsia="Corbel" w:hAnsiTheme="minorHAnsi" w:cstheme="minorHAnsi"/>
                <w:color w:val="000000" w:themeColor="text1"/>
              </w:rPr>
              <w:t>60</w:t>
            </w:r>
          </w:p>
        </w:tc>
      </w:tr>
      <w:tr w:rsidR="00A41DBB" w:rsidRPr="00252D7B" w14:paraId="01F07579" w14:textId="77777777" w:rsidTr="00185B1F">
        <w:trPr>
          <w:trHeight w:val="285"/>
          <w:jc w:val="center"/>
        </w:trPr>
        <w:tc>
          <w:tcPr>
            <w:tcW w:w="3669" w:type="dxa"/>
            <w:tcBorders>
              <w:left w:val="nil"/>
            </w:tcBorders>
          </w:tcPr>
          <w:p w14:paraId="0EA870A7" w14:textId="69ABB0CD" w:rsidR="00A41DBB" w:rsidRPr="00252D7B" w:rsidRDefault="00610C91" w:rsidP="00E03684">
            <w:pPr>
              <w:spacing w:before="120" w:after="120"/>
              <w:jc w:val="center"/>
              <w:rPr>
                <w:rFonts w:asciiTheme="minorHAnsi" w:hAnsiTheme="minorHAnsi" w:cstheme="minorHAnsi"/>
              </w:rPr>
            </w:pPr>
            <w:r w:rsidRPr="00252D7B">
              <w:rPr>
                <w:rFonts w:asciiTheme="minorHAnsi" w:eastAsia="Corbel" w:hAnsiTheme="minorHAnsi" w:cstheme="minorHAnsi"/>
                <w:color w:val="000000" w:themeColor="text1"/>
              </w:rPr>
              <w:t>Valec</w:t>
            </w:r>
          </w:p>
        </w:tc>
        <w:tc>
          <w:tcPr>
            <w:tcW w:w="2100" w:type="dxa"/>
            <w:tcBorders>
              <w:right w:val="nil"/>
            </w:tcBorders>
          </w:tcPr>
          <w:p w14:paraId="6EF68245" w14:textId="77777777" w:rsidR="00A41DBB" w:rsidRPr="00252D7B" w:rsidRDefault="00A41DBB" w:rsidP="00E03684">
            <w:pPr>
              <w:spacing w:before="120" w:after="120"/>
              <w:jc w:val="center"/>
              <w:rPr>
                <w:rFonts w:asciiTheme="minorHAnsi" w:hAnsiTheme="minorHAnsi" w:cstheme="minorHAnsi"/>
              </w:rPr>
            </w:pPr>
            <w:r w:rsidRPr="00252D7B">
              <w:rPr>
                <w:rFonts w:asciiTheme="minorHAnsi" w:eastAsia="Corbel" w:hAnsiTheme="minorHAnsi" w:cstheme="minorHAnsi"/>
                <w:color w:val="000000" w:themeColor="text1"/>
              </w:rPr>
              <w:t>182</w:t>
            </w:r>
          </w:p>
        </w:tc>
      </w:tr>
      <w:tr w:rsidR="00A41DBB" w:rsidRPr="00252D7B" w14:paraId="01A4D5B9" w14:textId="77777777" w:rsidTr="00185B1F">
        <w:trPr>
          <w:trHeight w:val="300"/>
          <w:jc w:val="center"/>
        </w:trPr>
        <w:tc>
          <w:tcPr>
            <w:tcW w:w="3669" w:type="dxa"/>
            <w:tcBorders>
              <w:left w:val="nil"/>
            </w:tcBorders>
          </w:tcPr>
          <w:p w14:paraId="00D765B9" w14:textId="77777777" w:rsidR="00A41DBB" w:rsidRPr="00252D7B" w:rsidRDefault="00A41DBB" w:rsidP="00E03684">
            <w:pPr>
              <w:spacing w:before="120" w:after="120"/>
              <w:jc w:val="center"/>
              <w:rPr>
                <w:rFonts w:asciiTheme="minorHAnsi" w:hAnsiTheme="minorHAnsi" w:cstheme="minorHAnsi"/>
              </w:rPr>
            </w:pPr>
            <w:r w:rsidRPr="00252D7B">
              <w:rPr>
                <w:rFonts w:asciiTheme="minorHAnsi" w:eastAsia="Corbel" w:hAnsiTheme="minorHAnsi" w:cstheme="minorHAnsi"/>
                <w:color w:val="000000" w:themeColor="text1"/>
              </w:rPr>
              <w:t>Total</w:t>
            </w:r>
          </w:p>
        </w:tc>
        <w:tc>
          <w:tcPr>
            <w:tcW w:w="2100" w:type="dxa"/>
            <w:tcBorders>
              <w:right w:val="nil"/>
            </w:tcBorders>
          </w:tcPr>
          <w:p w14:paraId="6266179D" w14:textId="77777777" w:rsidR="00A41DBB" w:rsidRPr="00252D7B" w:rsidRDefault="00A41DBB" w:rsidP="00E03684">
            <w:pPr>
              <w:spacing w:before="120" w:after="120"/>
              <w:jc w:val="center"/>
              <w:rPr>
                <w:rFonts w:asciiTheme="minorHAnsi" w:hAnsiTheme="minorHAnsi" w:cstheme="minorHAnsi"/>
              </w:rPr>
            </w:pPr>
            <w:r w:rsidRPr="00252D7B">
              <w:rPr>
                <w:rFonts w:asciiTheme="minorHAnsi" w:eastAsia="Corbel" w:hAnsiTheme="minorHAnsi" w:cstheme="minorHAnsi"/>
                <w:color w:val="000000" w:themeColor="text1"/>
              </w:rPr>
              <w:t>355</w:t>
            </w:r>
          </w:p>
        </w:tc>
      </w:tr>
    </w:tbl>
    <w:p w14:paraId="2BA7CBF6" w14:textId="77777777" w:rsidR="00A41DBB" w:rsidRPr="00252D7B" w:rsidRDefault="00A41DBB" w:rsidP="00E8125E">
      <w:pPr>
        <w:pStyle w:val="Legenda"/>
        <w:keepNext/>
        <w:spacing w:before="120" w:after="120"/>
        <w:jc w:val="center"/>
        <w:rPr>
          <w:rFonts w:asciiTheme="minorHAnsi" w:hAnsiTheme="minorHAnsi" w:cstheme="minorHAnsi"/>
          <w:sz w:val="20"/>
          <w:szCs w:val="20"/>
        </w:rPr>
      </w:pPr>
      <w:r w:rsidRPr="00252D7B">
        <w:rPr>
          <w:rFonts w:asciiTheme="minorHAnsi" w:hAnsiTheme="minorHAnsi" w:cstheme="minorHAnsi"/>
          <w:sz w:val="20"/>
          <w:szCs w:val="20"/>
        </w:rPr>
        <w:t>Fonte: SEI 51402.101059/2021-65, “Relatórios Gerenciais DIRAF 2021”</w:t>
      </w:r>
    </w:p>
    <w:p w14:paraId="77ACC64A" w14:textId="77777777" w:rsidR="00A41DBB" w:rsidRPr="00252D7B" w:rsidRDefault="00A41DBB" w:rsidP="00A41DBB">
      <w:pPr>
        <w:pStyle w:val="Legenda"/>
        <w:spacing w:before="120" w:after="120"/>
        <w:jc w:val="center"/>
        <w:rPr>
          <w:rFonts w:asciiTheme="minorHAnsi" w:hAnsiTheme="minorHAnsi" w:cstheme="minorHAnsi"/>
          <w:sz w:val="20"/>
          <w:szCs w:val="20"/>
          <w:lang w:eastAsia="pt-BR"/>
        </w:rPr>
      </w:pPr>
    </w:p>
    <w:p w14:paraId="3A3FFF77" w14:textId="65021B3E" w:rsidR="00A41DBB" w:rsidRPr="00252D7B" w:rsidRDefault="00A41DBB" w:rsidP="00A41DBB">
      <w:pPr>
        <w:pStyle w:val="Legenda"/>
        <w:keepNext/>
        <w:spacing w:before="120" w:after="120"/>
        <w:jc w:val="center"/>
        <w:rPr>
          <w:rFonts w:asciiTheme="minorHAnsi" w:hAnsiTheme="minorHAnsi" w:cstheme="minorHAnsi"/>
          <w:sz w:val="20"/>
          <w:szCs w:val="20"/>
        </w:rPr>
      </w:pPr>
      <w:bookmarkStart w:id="466" w:name="_Toc103680781"/>
      <w:r w:rsidRPr="00252D7B">
        <w:rPr>
          <w:rFonts w:asciiTheme="minorHAnsi" w:hAnsiTheme="minorHAnsi" w:cstheme="minorHAnsi"/>
          <w:sz w:val="20"/>
          <w:szCs w:val="20"/>
        </w:rPr>
        <w:t xml:space="preserve">Gráfico </w:t>
      </w:r>
      <w:r w:rsidRPr="00252D7B">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Gráfico \* ARABIC </w:instrText>
      </w:r>
      <w:r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16</w:t>
      </w:r>
      <w:r w:rsidRPr="00252D7B">
        <w:rPr>
          <w:rFonts w:asciiTheme="minorHAnsi" w:hAnsiTheme="minorHAnsi" w:cstheme="minorHAnsi"/>
          <w:sz w:val="20"/>
          <w:szCs w:val="20"/>
        </w:rPr>
        <w:fldChar w:fldCharType="end"/>
      </w:r>
      <w:r w:rsidRPr="00252D7B">
        <w:rPr>
          <w:rFonts w:asciiTheme="minorHAnsi" w:hAnsiTheme="minorHAnsi" w:cstheme="minorHAnsi"/>
          <w:sz w:val="20"/>
          <w:szCs w:val="20"/>
        </w:rPr>
        <w:t xml:space="preserve"> </w:t>
      </w:r>
      <w:r w:rsidR="00E73F64" w:rsidRPr="00252D7B">
        <w:rPr>
          <w:rFonts w:asciiTheme="minorHAnsi" w:hAnsiTheme="minorHAnsi" w:cstheme="minorHAnsi"/>
          <w:sz w:val="20"/>
          <w:szCs w:val="20"/>
        </w:rPr>
        <w:t>–</w:t>
      </w:r>
      <w:r w:rsidRPr="00252D7B">
        <w:rPr>
          <w:rFonts w:asciiTheme="minorHAnsi" w:hAnsiTheme="minorHAnsi" w:cstheme="minorHAnsi"/>
          <w:sz w:val="20"/>
          <w:szCs w:val="20"/>
        </w:rPr>
        <w:t xml:space="preserve"> Distribuição das principais ações desempenhadas pela SUPTI por cliente</w:t>
      </w:r>
      <w:bookmarkEnd w:id="466"/>
    </w:p>
    <w:p w14:paraId="4438585D" w14:textId="77777777" w:rsidR="00A41DBB" w:rsidRPr="00252D7B" w:rsidRDefault="00A41DBB" w:rsidP="00A41DBB">
      <w:pPr>
        <w:spacing w:before="120" w:after="120"/>
        <w:ind w:firstLine="720"/>
        <w:jc w:val="center"/>
        <w:rPr>
          <w:rFonts w:asciiTheme="minorHAnsi" w:hAnsiTheme="minorHAnsi" w:cstheme="minorHAnsi"/>
        </w:rPr>
      </w:pPr>
      <w:r w:rsidRPr="00252D7B">
        <w:rPr>
          <w:rFonts w:asciiTheme="minorHAnsi" w:hAnsiTheme="minorHAnsi" w:cstheme="minorHAnsi"/>
          <w:noProof/>
        </w:rPr>
        <w:drawing>
          <wp:inline distT="0" distB="0" distL="0" distR="0" wp14:anchorId="057D0ABD" wp14:editId="2911A25E">
            <wp:extent cx="4572000" cy="3333750"/>
            <wp:effectExtent l="0" t="0" r="0" b="0"/>
            <wp:docPr id="1508942229" name="Picture 1508942229"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942229" name="Picture 1508942229" descr="Gráfico, Gráfico de pizza&#10;&#10;Descrição gerada automaticamente"/>
                    <pic:cNvPicPr/>
                  </pic:nvPicPr>
                  <pic:blipFill>
                    <a:blip r:embed="rId86">
                      <a:extLst>
                        <a:ext uri="{28A0092B-C50C-407E-A947-70E740481C1C}">
                          <a14:useLocalDpi xmlns:a14="http://schemas.microsoft.com/office/drawing/2010/main" val="0"/>
                        </a:ext>
                      </a:extLst>
                    </a:blip>
                    <a:stretch>
                      <a:fillRect/>
                    </a:stretch>
                  </pic:blipFill>
                  <pic:spPr>
                    <a:xfrm>
                      <a:off x="0" y="0"/>
                      <a:ext cx="4572000" cy="3333750"/>
                    </a:xfrm>
                    <a:prstGeom prst="rect">
                      <a:avLst/>
                    </a:prstGeom>
                  </pic:spPr>
                </pic:pic>
              </a:graphicData>
            </a:graphic>
          </wp:inline>
        </w:drawing>
      </w:r>
    </w:p>
    <w:p w14:paraId="40A2C359" w14:textId="4B7CDB81" w:rsidR="00F60640" w:rsidRPr="00252D7B" w:rsidRDefault="00F60640">
      <w:pPr>
        <w:widowControl/>
        <w:autoSpaceDE/>
        <w:autoSpaceDN/>
        <w:spacing w:after="160" w:line="259" w:lineRule="auto"/>
        <w:rPr>
          <w:rFonts w:asciiTheme="minorHAnsi" w:hAnsiTheme="minorHAnsi" w:cstheme="minorHAnsi"/>
        </w:rPr>
      </w:pPr>
      <w:r w:rsidRPr="00252D7B">
        <w:rPr>
          <w:rFonts w:asciiTheme="minorHAnsi" w:hAnsiTheme="minorHAnsi" w:cstheme="minorHAnsi"/>
        </w:rPr>
        <w:br w:type="page"/>
      </w:r>
    </w:p>
    <w:p w14:paraId="3B68D845" w14:textId="0A6E316F" w:rsidR="00E8125E" w:rsidRPr="00252D7B" w:rsidRDefault="00E8125E" w:rsidP="00E8125E">
      <w:pPr>
        <w:pStyle w:val="Legenda"/>
        <w:keepNext/>
        <w:spacing w:before="120" w:after="120"/>
        <w:jc w:val="center"/>
        <w:rPr>
          <w:rFonts w:asciiTheme="minorHAnsi" w:hAnsiTheme="minorHAnsi" w:cstheme="minorHAnsi"/>
          <w:sz w:val="20"/>
          <w:szCs w:val="20"/>
        </w:rPr>
      </w:pPr>
      <w:bookmarkStart w:id="467" w:name="_Toc103680684"/>
      <w:r w:rsidRPr="00252D7B">
        <w:rPr>
          <w:rFonts w:asciiTheme="minorHAnsi" w:hAnsiTheme="minorHAnsi" w:cstheme="minorHAnsi"/>
          <w:sz w:val="20"/>
          <w:szCs w:val="20"/>
        </w:rPr>
        <w:lastRenderedPageBreak/>
        <w:t xml:space="preserve">Tabela </w:t>
      </w:r>
      <w:r w:rsidRPr="00252D7B">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Tabela \* ARABIC </w:instrText>
      </w:r>
      <w:r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22</w:t>
      </w:r>
      <w:r w:rsidRPr="00252D7B">
        <w:rPr>
          <w:rFonts w:asciiTheme="minorHAnsi" w:hAnsiTheme="minorHAnsi" w:cstheme="minorHAnsi"/>
          <w:sz w:val="20"/>
          <w:szCs w:val="20"/>
        </w:rPr>
        <w:fldChar w:fldCharType="end"/>
      </w:r>
      <w:r w:rsidRPr="00252D7B">
        <w:rPr>
          <w:rFonts w:asciiTheme="minorHAnsi" w:hAnsiTheme="minorHAnsi" w:cstheme="minorHAnsi"/>
          <w:sz w:val="20"/>
          <w:szCs w:val="20"/>
        </w:rPr>
        <w:t xml:space="preserve"> </w:t>
      </w:r>
      <w:r w:rsidR="00E73F64" w:rsidRPr="00252D7B">
        <w:rPr>
          <w:rFonts w:asciiTheme="minorHAnsi" w:hAnsiTheme="minorHAnsi" w:cstheme="minorHAnsi"/>
          <w:sz w:val="20"/>
          <w:szCs w:val="20"/>
        </w:rPr>
        <w:t>–</w:t>
      </w:r>
      <w:r w:rsidRPr="00252D7B">
        <w:rPr>
          <w:rFonts w:asciiTheme="minorHAnsi" w:hAnsiTheme="minorHAnsi" w:cstheme="minorHAnsi"/>
          <w:sz w:val="20"/>
          <w:szCs w:val="20"/>
        </w:rPr>
        <w:t xml:space="preserve"> Principais atendimentos por Cadeia de Valor</w:t>
      </w:r>
      <w:bookmarkEnd w:id="467"/>
    </w:p>
    <w:tbl>
      <w:tblPr>
        <w:tblStyle w:val="Tabelacomgrade10"/>
        <w:tblW w:w="0" w:type="auto"/>
        <w:tblInd w:w="5" w:type="dxa"/>
        <w:tblLayout w:type="fixed"/>
        <w:tblLook w:val="06A0" w:firstRow="1" w:lastRow="0" w:firstColumn="1" w:lastColumn="0" w:noHBand="1" w:noVBand="1"/>
      </w:tblPr>
      <w:tblGrid>
        <w:gridCol w:w="1635"/>
        <w:gridCol w:w="1621"/>
        <w:gridCol w:w="6479"/>
      </w:tblGrid>
      <w:tr w:rsidR="00A41DBB" w:rsidRPr="00252D7B" w14:paraId="4B006FB0" w14:textId="77777777" w:rsidTr="00185B1F">
        <w:trPr>
          <w:trHeight w:val="300"/>
        </w:trPr>
        <w:tc>
          <w:tcPr>
            <w:tcW w:w="1635" w:type="dxa"/>
            <w:tcBorders>
              <w:left w:val="nil"/>
            </w:tcBorders>
            <w:shd w:val="clear" w:color="auto" w:fill="D9D9D9"/>
            <w:vAlign w:val="center"/>
          </w:tcPr>
          <w:p w14:paraId="4774D80C" w14:textId="77777777" w:rsidR="00A41DBB" w:rsidRPr="00252D7B" w:rsidRDefault="00A41DBB" w:rsidP="00E8125E">
            <w:pPr>
              <w:spacing w:before="120" w:after="120"/>
              <w:jc w:val="center"/>
              <w:rPr>
                <w:rFonts w:asciiTheme="minorHAnsi" w:hAnsiTheme="minorHAnsi" w:cstheme="minorHAnsi"/>
                <w:b/>
                <w:bCs/>
              </w:rPr>
            </w:pPr>
            <w:r w:rsidRPr="00252D7B">
              <w:rPr>
                <w:rFonts w:asciiTheme="minorHAnsi" w:eastAsia="Corbel" w:hAnsiTheme="minorHAnsi" w:cstheme="minorHAnsi"/>
                <w:b/>
                <w:bCs/>
                <w:color w:val="000000" w:themeColor="text1"/>
              </w:rPr>
              <w:t>Cadeias de Valor</w:t>
            </w:r>
          </w:p>
        </w:tc>
        <w:tc>
          <w:tcPr>
            <w:tcW w:w="1621" w:type="dxa"/>
            <w:shd w:val="clear" w:color="auto" w:fill="D9D9D9"/>
            <w:vAlign w:val="center"/>
          </w:tcPr>
          <w:p w14:paraId="68912C0F" w14:textId="77777777" w:rsidR="00A41DBB" w:rsidRPr="00252D7B" w:rsidRDefault="00A41DBB" w:rsidP="00E8125E">
            <w:pPr>
              <w:spacing w:before="120" w:after="120"/>
              <w:jc w:val="center"/>
              <w:rPr>
                <w:rFonts w:asciiTheme="minorHAnsi" w:hAnsiTheme="minorHAnsi" w:cstheme="minorHAnsi"/>
                <w:b/>
                <w:bCs/>
              </w:rPr>
            </w:pPr>
            <w:r w:rsidRPr="00252D7B">
              <w:rPr>
                <w:rFonts w:asciiTheme="minorHAnsi" w:eastAsia="Corbel" w:hAnsiTheme="minorHAnsi" w:cstheme="minorHAnsi"/>
                <w:b/>
                <w:bCs/>
                <w:color w:val="000000" w:themeColor="text1"/>
              </w:rPr>
              <w:t>Ações de atendimentos</w:t>
            </w:r>
          </w:p>
        </w:tc>
        <w:tc>
          <w:tcPr>
            <w:tcW w:w="6479" w:type="dxa"/>
            <w:tcBorders>
              <w:right w:val="nil"/>
            </w:tcBorders>
            <w:shd w:val="clear" w:color="auto" w:fill="D9D9D9"/>
            <w:vAlign w:val="center"/>
          </w:tcPr>
          <w:p w14:paraId="24542447" w14:textId="77777777" w:rsidR="00A41DBB" w:rsidRPr="00252D7B" w:rsidRDefault="00A41DBB" w:rsidP="00E8125E">
            <w:pPr>
              <w:spacing w:before="120" w:after="120"/>
              <w:jc w:val="center"/>
              <w:rPr>
                <w:rFonts w:asciiTheme="minorHAnsi" w:hAnsiTheme="minorHAnsi" w:cstheme="minorHAnsi"/>
                <w:b/>
                <w:bCs/>
              </w:rPr>
            </w:pPr>
            <w:r w:rsidRPr="00252D7B">
              <w:rPr>
                <w:rFonts w:asciiTheme="minorHAnsi" w:eastAsia="Corbel" w:hAnsiTheme="minorHAnsi" w:cstheme="minorHAnsi"/>
                <w:b/>
                <w:bCs/>
                <w:color w:val="000000" w:themeColor="text1"/>
              </w:rPr>
              <w:t>Cadeias de Valor</w:t>
            </w:r>
          </w:p>
        </w:tc>
      </w:tr>
      <w:tr w:rsidR="00A41DBB" w:rsidRPr="00252D7B" w14:paraId="110647CE" w14:textId="77777777" w:rsidTr="00185B1F">
        <w:trPr>
          <w:trHeight w:val="285"/>
        </w:trPr>
        <w:tc>
          <w:tcPr>
            <w:tcW w:w="1635" w:type="dxa"/>
            <w:tcBorders>
              <w:left w:val="nil"/>
            </w:tcBorders>
            <w:vAlign w:val="center"/>
          </w:tcPr>
          <w:p w14:paraId="6AC9A01B" w14:textId="77777777" w:rsidR="00A41DBB" w:rsidRPr="00252D7B" w:rsidRDefault="00A41DBB" w:rsidP="00E8125E">
            <w:pPr>
              <w:spacing w:before="120" w:after="120"/>
              <w:jc w:val="center"/>
              <w:rPr>
                <w:rFonts w:asciiTheme="minorHAnsi" w:hAnsiTheme="minorHAnsi" w:cstheme="minorHAnsi"/>
                <w:b/>
                <w:bCs/>
              </w:rPr>
            </w:pPr>
            <w:r w:rsidRPr="00252D7B">
              <w:rPr>
                <w:rFonts w:asciiTheme="minorHAnsi" w:eastAsia="Corbel" w:hAnsiTheme="minorHAnsi" w:cstheme="minorHAnsi"/>
                <w:b/>
                <w:bCs/>
                <w:color w:val="000000" w:themeColor="text1"/>
              </w:rPr>
              <w:t>ASCOM</w:t>
            </w:r>
          </w:p>
        </w:tc>
        <w:tc>
          <w:tcPr>
            <w:tcW w:w="1621" w:type="dxa"/>
            <w:vAlign w:val="center"/>
          </w:tcPr>
          <w:p w14:paraId="54101E99" w14:textId="77777777" w:rsidR="00A41DBB" w:rsidRPr="00252D7B" w:rsidRDefault="00A41DBB" w:rsidP="00E8125E">
            <w:pPr>
              <w:spacing w:before="120" w:after="120"/>
              <w:jc w:val="center"/>
              <w:rPr>
                <w:rFonts w:asciiTheme="minorHAnsi" w:hAnsiTheme="minorHAnsi" w:cstheme="minorHAnsi"/>
              </w:rPr>
            </w:pPr>
            <w:r w:rsidRPr="00252D7B">
              <w:rPr>
                <w:rFonts w:asciiTheme="minorHAnsi" w:eastAsia="Corbel" w:hAnsiTheme="minorHAnsi" w:cstheme="minorHAnsi"/>
                <w:color w:val="000000" w:themeColor="text1"/>
              </w:rPr>
              <w:t>3</w:t>
            </w:r>
          </w:p>
        </w:tc>
        <w:tc>
          <w:tcPr>
            <w:tcW w:w="6479" w:type="dxa"/>
            <w:tcBorders>
              <w:right w:val="nil"/>
            </w:tcBorders>
            <w:vAlign w:val="center"/>
          </w:tcPr>
          <w:p w14:paraId="0972B7EA" w14:textId="77777777" w:rsidR="00A41DBB" w:rsidRPr="00252D7B" w:rsidRDefault="00A41DBB" w:rsidP="00E8125E">
            <w:pPr>
              <w:spacing w:before="120" w:after="120"/>
              <w:rPr>
                <w:rFonts w:asciiTheme="minorHAnsi" w:hAnsiTheme="minorHAnsi" w:cstheme="minorHAnsi"/>
              </w:rPr>
            </w:pPr>
            <w:r w:rsidRPr="00252D7B">
              <w:rPr>
                <w:rFonts w:asciiTheme="minorHAnsi" w:eastAsia="Corbel" w:hAnsiTheme="minorHAnsi" w:cstheme="minorHAnsi"/>
                <w:color w:val="000000" w:themeColor="text1"/>
              </w:rPr>
              <w:t>02 Gerir comunicação</w:t>
            </w:r>
          </w:p>
        </w:tc>
      </w:tr>
      <w:tr w:rsidR="00A41DBB" w:rsidRPr="00252D7B" w14:paraId="373668E4" w14:textId="77777777" w:rsidTr="00185B1F">
        <w:trPr>
          <w:trHeight w:val="285"/>
        </w:trPr>
        <w:tc>
          <w:tcPr>
            <w:tcW w:w="1635" w:type="dxa"/>
            <w:tcBorders>
              <w:left w:val="nil"/>
            </w:tcBorders>
            <w:vAlign w:val="center"/>
          </w:tcPr>
          <w:p w14:paraId="38FD5B5D" w14:textId="77777777" w:rsidR="00A41DBB" w:rsidRPr="00252D7B" w:rsidRDefault="00A41DBB" w:rsidP="00E8125E">
            <w:pPr>
              <w:spacing w:before="120" w:after="120"/>
              <w:jc w:val="center"/>
              <w:rPr>
                <w:rFonts w:asciiTheme="minorHAnsi" w:hAnsiTheme="minorHAnsi" w:cstheme="minorHAnsi"/>
                <w:b/>
                <w:bCs/>
              </w:rPr>
            </w:pPr>
            <w:r w:rsidRPr="00252D7B">
              <w:rPr>
                <w:rFonts w:asciiTheme="minorHAnsi" w:eastAsia="Corbel" w:hAnsiTheme="minorHAnsi" w:cstheme="minorHAnsi"/>
                <w:b/>
                <w:bCs/>
                <w:color w:val="000000" w:themeColor="text1"/>
              </w:rPr>
              <w:t>AUDIN</w:t>
            </w:r>
          </w:p>
        </w:tc>
        <w:tc>
          <w:tcPr>
            <w:tcW w:w="1621" w:type="dxa"/>
            <w:vAlign w:val="center"/>
          </w:tcPr>
          <w:p w14:paraId="6AA6DB18" w14:textId="77777777" w:rsidR="00A41DBB" w:rsidRPr="00252D7B" w:rsidRDefault="00A41DBB" w:rsidP="00E8125E">
            <w:pPr>
              <w:spacing w:before="120" w:after="120"/>
              <w:jc w:val="center"/>
              <w:rPr>
                <w:rFonts w:asciiTheme="minorHAnsi" w:hAnsiTheme="minorHAnsi" w:cstheme="minorHAnsi"/>
              </w:rPr>
            </w:pPr>
            <w:r w:rsidRPr="00252D7B">
              <w:rPr>
                <w:rFonts w:asciiTheme="minorHAnsi" w:eastAsia="Corbel" w:hAnsiTheme="minorHAnsi" w:cstheme="minorHAnsi"/>
                <w:color w:val="000000" w:themeColor="text1"/>
              </w:rPr>
              <w:t>1</w:t>
            </w:r>
          </w:p>
        </w:tc>
        <w:tc>
          <w:tcPr>
            <w:tcW w:w="6479" w:type="dxa"/>
            <w:tcBorders>
              <w:right w:val="nil"/>
            </w:tcBorders>
            <w:vAlign w:val="center"/>
          </w:tcPr>
          <w:p w14:paraId="1E301F88" w14:textId="77777777" w:rsidR="00A41DBB" w:rsidRPr="00252D7B" w:rsidRDefault="00A41DBB" w:rsidP="00E8125E">
            <w:pPr>
              <w:spacing w:before="120" w:after="120"/>
              <w:rPr>
                <w:rFonts w:asciiTheme="minorHAnsi" w:hAnsiTheme="minorHAnsi" w:cstheme="minorHAnsi"/>
              </w:rPr>
            </w:pPr>
            <w:r w:rsidRPr="00252D7B">
              <w:rPr>
                <w:rFonts w:asciiTheme="minorHAnsi" w:eastAsia="Corbel" w:hAnsiTheme="minorHAnsi" w:cstheme="minorHAnsi"/>
                <w:color w:val="000000" w:themeColor="text1"/>
              </w:rPr>
              <w:t>01 Aperfeiçoar e promover a Gestão e a Governança Corporativa</w:t>
            </w:r>
          </w:p>
        </w:tc>
      </w:tr>
      <w:tr w:rsidR="00A41DBB" w:rsidRPr="00252D7B" w14:paraId="0EECF4F9" w14:textId="77777777" w:rsidTr="00185B1F">
        <w:trPr>
          <w:trHeight w:val="285"/>
        </w:trPr>
        <w:tc>
          <w:tcPr>
            <w:tcW w:w="1635" w:type="dxa"/>
            <w:tcBorders>
              <w:left w:val="nil"/>
            </w:tcBorders>
            <w:vAlign w:val="center"/>
          </w:tcPr>
          <w:p w14:paraId="3D62CD6B" w14:textId="77777777" w:rsidR="00A41DBB" w:rsidRPr="00252D7B" w:rsidRDefault="00A41DBB" w:rsidP="00E8125E">
            <w:pPr>
              <w:spacing w:before="120" w:after="120"/>
              <w:jc w:val="center"/>
              <w:rPr>
                <w:rFonts w:asciiTheme="minorHAnsi" w:hAnsiTheme="minorHAnsi" w:cstheme="minorHAnsi"/>
                <w:b/>
                <w:bCs/>
              </w:rPr>
            </w:pPr>
            <w:r w:rsidRPr="00252D7B">
              <w:rPr>
                <w:rFonts w:asciiTheme="minorHAnsi" w:eastAsia="Corbel" w:hAnsiTheme="minorHAnsi" w:cstheme="minorHAnsi"/>
                <w:b/>
                <w:bCs/>
                <w:color w:val="000000" w:themeColor="text1"/>
              </w:rPr>
              <w:t>CONSAD</w:t>
            </w:r>
          </w:p>
        </w:tc>
        <w:tc>
          <w:tcPr>
            <w:tcW w:w="1621" w:type="dxa"/>
            <w:vAlign w:val="center"/>
          </w:tcPr>
          <w:p w14:paraId="126F4C81" w14:textId="77777777" w:rsidR="00A41DBB" w:rsidRPr="00252D7B" w:rsidRDefault="00A41DBB" w:rsidP="00E8125E">
            <w:pPr>
              <w:spacing w:before="120" w:after="120"/>
              <w:jc w:val="center"/>
              <w:rPr>
                <w:rFonts w:asciiTheme="minorHAnsi" w:hAnsiTheme="minorHAnsi" w:cstheme="minorHAnsi"/>
              </w:rPr>
            </w:pPr>
            <w:r w:rsidRPr="00252D7B">
              <w:rPr>
                <w:rFonts w:asciiTheme="minorHAnsi" w:eastAsia="Corbel" w:hAnsiTheme="minorHAnsi" w:cstheme="minorHAnsi"/>
                <w:color w:val="000000" w:themeColor="text1"/>
              </w:rPr>
              <w:t>2</w:t>
            </w:r>
          </w:p>
        </w:tc>
        <w:tc>
          <w:tcPr>
            <w:tcW w:w="6479" w:type="dxa"/>
            <w:tcBorders>
              <w:right w:val="nil"/>
            </w:tcBorders>
            <w:vAlign w:val="center"/>
          </w:tcPr>
          <w:p w14:paraId="52D6A10B" w14:textId="77777777" w:rsidR="00A41DBB" w:rsidRPr="00252D7B" w:rsidRDefault="00A41DBB" w:rsidP="00E8125E">
            <w:pPr>
              <w:spacing w:before="120" w:after="120"/>
              <w:rPr>
                <w:rFonts w:asciiTheme="minorHAnsi" w:hAnsiTheme="minorHAnsi" w:cstheme="minorHAnsi"/>
              </w:rPr>
            </w:pPr>
            <w:r w:rsidRPr="00252D7B">
              <w:rPr>
                <w:rFonts w:asciiTheme="minorHAnsi" w:eastAsia="Corbel" w:hAnsiTheme="minorHAnsi" w:cstheme="minorHAnsi"/>
                <w:color w:val="000000" w:themeColor="text1"/>
              </w:rPr>
              <w:t>01 Aperfeiçoar e promover a Gestão e a Governança Corporativa</w:t>
            </w:r>
          </w:p>
        </w:tc>
      </w:tr>
      <w:tr w:rsidR="00A41DBB" w:rsidRPr="00252D7B" w14:paraId="07507DAB" w14:textId="77777777" w:rsidTr="00185B1F">
        <w:trPr>
          <w:trHeight w:val="585"/>
        </w:trPr>
        <w:tc>
          <w:tcPr>
            <w:tcW w:w="1635" w:type="dxa"/>
            <w:tcBorders>
              <w:left w:val="nil"/>
            </w:tcBorders>
            <w:vAlign w:val="center"/>
          </w:tcPr>
          <w:p w14:paraId="337E9CFF" w14:textId="77777777" w:rsidR="00A41DBB" w:rsidRPr="00252D7B" w:rsidRDefault="00A41DBB" w:rsidP="00E8125E">
            <w:pPr>
              <w:spacing w:before="120" w:after="120"/>
              <w:jc w:val="center"/>
              <w:rPr>
                <w:rFonts w:asciiTheme="minorHAnsi" w:hAnsiTheme="minorHAnsi" w:cstheme="minorHAnsi"/>
                <w:b/>
                <w:bCs/>
              </w:rPr>
            </w:pPr>
            <w:r w:rsidRPr="00252D7B">
              <w:rPr>
                <w:rFonts w:asciiTheme="minorHAnsi" w:eastAsia="Corbel" w:hAnsiTheme="minorHAnsi" w:cstheme="minorHAnsi"/>
                <w:b/>
                <w:bCs/>
                <w:color w:val="000000" w:themeColor="text1"/>
              </w:rPr>
              <w:t>DIRAF</w:t>
            </w:r>
          </w:p>
        </w:tc>
        <w:tc>
          <w:tcPr>
            <w:tcW w:w="1621" w:type="dxa"/>
            <w:vAlign w:val="center"/>
          </w:tcPr>
          <w:p w14:paraId="1B59A061" w14:textId="77777777" w:rsidR="00A41DBB" w:rsidRPr="00252D7B" w:rsidRDefault="00A41DBB" w:rsidP="00E8125E">
            <w:pPr>
              <w:spacing w:before="120" w:after="120"/>
              <w:jc w:val="center"/>
              <w:rPr>
                <w:rFonts w:asciiTheme="minorHAnsi" w:hAnsiTheme="minorHAnsi" w:cstheme="minorHAnsi"/>
              </w:rPr>
            </w:pPr>
            <w:r w:rsidRPr="00252D7B">
              <w:rPr>
                <w:rFonts w:asciiTheme="minorHAnsi" w:eastAsia="Corbel" w:hAnsiTheme="minorHAnsi" w:cstheme="minorHAnsi"/>
                <w:color w:val="000000" w:themeColor="text1"/>
              </w:rPr>
              <w:t>17</w:t>
            </w:r>
          </w:p>
        </w:tc>
        <w:tc>
          <w:tcPr>
            <w:tcW w:w="6479" w:type="dxa"/>
            <w:tcBorders>
              <w:right w:val="nil"/>
            </w:tcBorders>
            <w:vAlign w:val="center"/>
          </w:tcPr>
          <w:p w14:paraId="586A767D" w14:textId="77777777" w:rsidR="00A41DBB" w:rsidRPr="00252D7B" w:rsidRDefault="00A41DBB" w:rsidP="00E8125E">
            <w:pPr>
              <w:spacing w:before="120" w:after="120"/>
              <w:rPr>
                <w:rFonts w:asciiTheme="minorHAnsi" w:hAnsiTheme="minorHAnsi" w:cstheme="minorHAnsi"/>
              </w:rPr>
            </w:pPr>
            <w:r w:rsidRPr="00252D7B">
              <w:rPr>
                <w:rFonts w:asciiTheme="minorHAnsi" w:eastAsia="Corbel" w:hAnsiTheme="minorHAnsi" w:cstheme="minorHAnsi"/>
                <w:color w:val="000000" w:themeColor="text1"/>
              </w:rPr>
              <w:t>07 Realizar Contratação, 08 Executar contratos, 09 Gerir Pessoas, 10 Gerir recursos Orçamentários e Financeiros, 11 Gerir Tecnologia da Informação12 Gerir Logística</w:t>
            </w:r>
          </w:p>
        </w:tc>
      </w:tr>
      <w:tr w:rsidR="00A41DBB" w:rsidRPr="00252D7B" w14:paraId="18B6163E" w14:textId="77777777" w:rsidTr="00185B1F">
        <w:trPr>
          <w:trHeight w:val="285"/>
        </w:trPr>
        <w:tc>
          <w:tcPr>
            <w:tcW w:w="1635" w:type="dxa"/>
            <w:tcBorders>
              <w:left w:val="nil"/>
            </w:tcBorders>
            <w:vAlign w:val="center"/>
          </w:tcPr>
          <w:p w14:paraId="35F1BDF2" w14:textId="02ED2114" w:rsidR="00A41DBB" w:rsidRPr="00252D7B" w:rsidRDefault="00A41DBB" w:rsidP="00E8125E">
            <w:pPr>
              <w:spacing w:before="120" w:after="120"/>
              <w:jc w:val="center"/>
              <w:rPr>
                <w:rFonts w:asciiTheme="minorHAnsi" w:hAnsiTheme="minorHAnsi" w:cstheme="minorHAnsi"/>
                <w:b/>
                <w:bCs/>
              </w:rPr>
            </w:pPr>
            <w:r w:rsidRPr="00252D7B">
              <w:rPr>
                <w:rFonts w:asciiTheme="minorHAnsi" w:eastAsia="Corbel" w:hAnsiTheme="minorHAnsi" w:cstheme="minorHAnsi"/>
                <w:b/>
                <w:bCs/>
                <w:color w:val="000000" w:themeColor="text1"/>
              </w:rPr>
              <w:t>DIREM</w:t>
            </w:r>
          </w:p>
        </w:tc>
        <w:tc>
          <w:tcPr>
            <w:tcW w:w="1621" w:type="dxa"/>
            <w:vAlign w:val="center"/>
          </w:tcPr>
          <w:p w14:paraId="1610C8EE" w14:textId="77777777" w:rsidR="00A41DBB" w:rsidRPr="00252D7B" w:rsidRDefault="00A41DBB" w:rsidP="00E8125E">
            <w:pPr>
              <w:spacing w:before="120" w:after="120"/>
              <w:jc w:val="center"/>
              <w:rPr>
                <w:rFonts w:asciiTheme="minorHAnsi" w:hAnsiTheme="minorHAnsi" w:cstheme="minorHAnsi"/>
              </w:rPr>
            </w:pPr>
            <w:r w:rsidRPr="00252D7B">
              <w:rPr>
                <w:rFonts w:asciiTheme="minorHAnsi" w:eastAsia="Corbel" w:hAnsiTheme="minorHAnsi" w:cstheme="minorHAnsi"/>
                <w:color w:val="000000" w:themeColor="text1"/>
              </w:rPr>
              <w:t>14</w:t>
            </w:r>
          </w:p>
        </w:tc>
        <w:tc>
          <w:tcPr>
            <w:tcW w:w="6479" w:type="dxa"/>
            <w:tcBorders>
              <w:right w:val="nil"/>
            </w:tcBorders>
            <w:vAlign w:val="center"/>
          </w:tcPr>
          <w:p w14:paraId="1CF9080A" w14:textId="77777777" w:rsidR="00A41DBB" w:rsidRPr="00252D7B" w:rsidRDefault="00A41DBB" w:rsidP="00E8125E">
            <w:pPr>
              <w:spacing w:before="120" w:after="120"/>
              <w:rPr>
                <w:rFonts w:asciiTheme="minorHAnsi" w:hAnsiTheme="minorHAnsi" w:cstheme="minorHAnsi"/>
              </w:rPr>
            </w:pPr>
            <w:r w:rsidRPr="00252D7B">
              <w:rPr>
                <w:rFonts w:asciiTheme="minorHAnsi" w:eastAsia="Corbel" w:hAnsiTheme="minorHAnsi" w:cstheme="minorHAnsi"/>
                <w:color w:val="000000" w:themeColor="text1"/>
              </w:rPr>
              <w:t>05 Produzir Produtos e Serviços</w:t>
            </w:r>
          </w:p>
        </w:tc>
      </w:tr>
      <w:tr w:rsidR="00A41DBB" w:rsidRPr="00252D7B" w14:paraId="749205A5" w14:textId="77777777" w:rsidTr="00185B1F">
        <w:trPr>
          <w:trHeight w:val="285"/>
        </w:trPr>
        <w:tc>
          <w:tcPr>
            <w:tcW w:w="1635" w:type="dxa"/>
            <w:tcBorders>
              <w:left w:val="nil"/>
            </w:tcBorders>
            <w:vAlign w:val="center"/>
          </w:tcPr>
          <w:p w14:paraId="1C7FFB41" w14:textId="77777777" w:rsidR="00A41DBB" w:rsidRPr="00252D7B" w:rsidRDefault="00A41DBB" w:rsidP="00E8125E">
            <w:pPr>
              <w:spacing w:before="120" w:after="120"/>
              <w:jc w:val="center"/>
              <w:rPr>
                <w:rFonts w:asciiTheme="minorHAnsi" w:hAnsiTheme="minorHAnsi" w:cstheme="minorHAnsi"/>
                <w:b/>
                <w:bCs/>
              </w:rPr>
            </w:pPr>
            <w:r w:rsidRPr="00252D7B">
              <w:rPr>
                <w:rFonts w:asciiTheme="minorHAnsi" w:eastAsia="Corbel" w:hAnsiTheme="minorHAnsi" w:cstheme="minorHAnsi"/>
                <w:b/>
                <w:bCs/>
                <w:color w:val="000000" w:themeColor="text1"/>
              </w:rPr>
              <w:t>GEORC</w:t>
            </w:r>
          </w:p>
        </w:tc>
        <w:tc>
          <w:tcPr>
            <w:tcW w:w="1621" w:type="dxa"/>
            <w:vAlign w:val="center"/>
          </w:tcPr>
          <w:p w14:paraId="74D69EF6" w14:textId="77777777" w:rsidR="00A41DBB" w:rsidRPr="00252D7B" w:rsidRDefault="00A41DBB" w:rsidP="00E8125E">
            <w:pPr>
              <w:spacing w:before="120" w:after="120"/>
              <w:jc w:val="center"/>
              <w:rPr>
                <w:rFonts w:asciiTheme="minorHAnsi" w:hAnsiTheme="minorHAnsi" w:cstheme="minorHAnsi"/>
              </w:rPr>
            </w:pPr>
            <w:r w:rsidRPr="00252D7B">
              <w:rPr>
                <w:rFonts w:asciiTheme="minorHAnsi" w:eastAsia="Corbel" w:hAnsiTheme="minorHAnsi" w:cstheme="minorHAnsi"/>
                <w:color w:val="000000" w:themeColor="text1"/>
              </w:rPr>
              <w:t>1</w:t>
            </w:r>
          </w:p>
        </w:tc>
        <w:tc>
          <w:tcPr>
            <w:tcW w:w="6479" w:type="dxa"/>
            <w:tcBorders>
              <w:right w:val="nil"/>
            </w:tcBorders>
            <w:vAlign w:val="center"/>
          </w:tcPr>
          <w:p w14:paraId="689D45F7" w14:textId="77777777" w:rsidR="00A41DBB" w:rsidRPr="00252D7B" w:rsidRDefault="00A41DBB" w:rsidP="00E8125E">
            <w:pPr>
              <w:spacing w:before="120" w:after="120"/>
              <w:rPr>
                <w:rFonts w:asciiTheme="minorHAnsi" w:eastAsia="Corbel" w:hAnsiTheme="minorHAnsi" w:cstheme="minorHAnsi"/>
                <w:color w:val="000000" w:themeColor="text1"/>
              </w:rPr>
            </w:pPr>
            <w:r w:rsidRPr="00252D7B">
              <w:rPr>
                <w:rFonts w:asciiTheme="minorHAnsi" w:eastAsia="Corbel" w:hAnsiTheme="minorHAnsi" w:cstheme="minorHAnsi"/>
                <w:color w:val="000000" w:themeColor="text1"/>
              </w:rPr>
              <w:t>10 Gerir recursos Orçamentários e Financeiros</w:t>
            </w:r>
          </w:p>
        </w:tc>
      </w:tr>
      <w:tr w:rsidR="00A41DBB" w:rsidRPr="00252D7B" w14:paraId="23C4C354" w14:textId="77777777" w:rsidTr="00185B1F">
        <w:trPr>
          <w:trHeight w:val="285"/>
        </w:trPr>
        <w:tc>
          <w:tcPr>
            <w:tcW w:w="1635" w:type="dxa"/>
            <w:tcBorders>
              <w:left w:val="nil"/>
            </w:tcBorders>
            <w:vAlign w:val="center"/>
          </w:tcPr>
          <w:p w14:paraId="20EF80E1" w14:textId="77777777" w:rsidR="00A41DBB" w:rsidRPr="00252D7B" w:rsidRDefault="00A41DBB" w:rsidP="00E8125E">
            <w:pPr>
              <w:spacing w:before="120" w:after="120"/>
              <w:jc w:val="center"/>
              <w:rPr>
                <w:rFonts w:asciiTheme="minorHAnsi" w:hAnsiTheme="minorHAnsi" w:cstheme="minorHAnsi"/>
                <w:b/>
                <w:bCs/>
              </w:rPr>
            </w:pPr>
            <w:r w:rsidRPr="00252D7B">
              <w:rPr>
                <w:rFonts w:asciiTheme="minorHAnsi" w:eastAsia="Corbel" w:hAnsiTheme="minorHAnsi" w:cstheme="minorHAnsi"/>
                <w:b/>
                <w:bCs/>
                <w:color w:val="000000" w:themeColor="text1"/>
              </w:rPr>
              <w:t>DIREM</w:t>
            </w:r>
          </w:p>
        </w:tc>
        <w:tc>
          <w:tcPr>
            <w:tcW w:w="1621" w:type="dxa"/>
            <w:vAlign w:val="center"/>
          </w:tcPr>
          <w:p w14:paraId="1F300DFC" w14:textId="77777777" w:rsidR="00A41DBB" w:rsidRPr="00252D7B" w:rsidRDefault="00A41DBB" w:rsidP="00E8125E">
            <w:pPr>
              <w:spacing w:before="120" w:after="120"/>
              <w:jc w:val="center"/>
              <w:rPr>
                <w:rFonts w:asciiTheme="minorHAnsi" w:hAnsiTheme="minorHAnsi" w:cstheme="minorHAnsi"/>
              </w:rPr>
            </w:pPr>
            <w:r w:rsidRPr="00252D7B">
              <w:rPr>
                <w:rFonts w:asciiTheme="minorHAnsi" w:eastAsia="Corbel" w:hAnsiTheme="minorHAnsi" w:cstheme="minorHAnsi"/>
                <w:color w:val="000000" w:themeColor="text1"/>
              </w:rPr>
              <w:t>25</w:t>
            </w:r>
          </w:p>
        </w:tc>
        <w:tc>
          <w:tcPr>
            <w:tcW w:w="6479" w:type="dxa"/>
            <w:tcBorders>
              <w:right w:val="nil"/>
            </w:tcBorders>
            <w:vAlign w:val="center"/>
          </w:tcPr>
          <w:p w14:paraId="119532A6" w14:textId="77777777" w:rsidR="00A41DBB" w:rsidRPr="00252D7B" w:rsidRDefault="00A41DBB" w:rsidP="00E8125E">
            <w:pPr>
              <w:spacing w:before="120" w:after="120"/>
              <w:rPr>
                <w:rFonts w:asciiTheme="minorHAnsi" w:hAnsiTheme="minorHAnsi" w:cstheme="minorHAnsi"/>
              </w:rPr>
            </w:pPr>
            <w:r w:rsidRPr="00252D7B">
              <w:rPr>
                <w:rFonts w:asciiTheme="minorHAnsi" w:eastAsia="Corbel" w:hAnsiTheme="minorHAnsi" w:cstheme="minorHAnsi"/>
                <w:color w:val="000000" w:themeColor="text1"/>
              </w:rPr>
              <w:t>05 Produzir Produtos e Serviços</w:t>
            </w:r>
          </w:p>
        </w:tc>
      </w:tr>
      <w:tr w:rsidR="00A41DBB" w:rsidRPr="00252D7B" w14:paraId="43CCF849" w14:textId="77777777" w:rsidTr="00185B1F">
        <w:trPr>
          <w:trHeight w:val="285"/>
        </w:trPr>
        <w:tc>
          <w:tcPr>
            <w:tcW w:w="1635" w:type="dxa"/>
            <w:tcBorders>
              <w:left w:val="nil"/>
            </w:tcBorders>
            <w:vAlign w:val="center"/>
          </w:tcPr>
          <w:p w14:paraId="4E8629C2" w14:textId="77777777" w:rsidR="00A41DBB" w:rsidRPr="00252D7B" w:rsidRDefault="00A41DBB" w:rsidP="00E8125E">
            <w:pPr>
              <w:spacing w:before="120" w:after="120"/>
              <w:jc w:val="center"/>
              <w:rPr>
                <w:rFonts w:asciiTheme="minorHAnsi" w:hAnsiTheme="minorHAnsi" w:cstheme="minorHAnsi"/>
                <w:b/>
                <w:bCs/>
              </w:rPr>
            </w:pPr>
            <w:r w:rsidRPr="00252D7B">
              <w:rPr>
                <w:rFonts w:asciiTheme="minorHAnsi" w:eastAsia="Corbel" w:hAnsiTheme="minorHAnsi" w:cstheme="minorHAnsi"/>
                <w:b/>
                <w:bCs/>
                <w:color w:val="000000" w:themeColor="text1"/>
              </w:rPr>
              <w:t>GAB</w:t>
            </w:r>
          </w:p>
        </w:tc>
        <w:tc>
          <w:tcPr>
            <w:tcW w:w="1621" w:type="dxa"/>
            <w:vAlign w:val="center"/>
          </w:tcPr>
          <w:p w14:paraId="0BFCD2D1" w14:textId="77777777" w:rsidR="00A41DBB" w:rsidRPr="00252D7B" w:rsidRDefault="00A41DBB" w:rsidP="00E8125E">
            <w:pPr>
              <w:spacing w:before="120" w:after="120"/>
              <w:jc w:val="center"/>
              <w:rPr>
                <w:rFonts w:asciiTheme="minorHAnsi" w:hAnsiTheme="minorHAnsi" w:cstheme="minorHAnsi"/>
              </w:rPr>
            </w:pPr>
            <w:r w:rsidRPr="00252D7B">
              <w:rPr>
                <w:rFonts w:asciiTheme="minorHAnsi" w:eastAsia="Corbel" w:hAnsiTheme="minorHAnsi" w:cstheme="minorHAnsi"/>
                <w:color w:val="000000" w:themeColor="text1"/>
              </w:rPr>
              <w:t>1</w:t>
            </w:r>
          </w:p>
        </w:tc>
        <w:tc>
          <w:tcPr>
            <w:tcW w:w="6479" w:type="dxa"/>
            <w:tcBorders>
              <w:right w:val="nil"/>
            </w:tcBorders>
            <w:vAlign w:val="center"/>
          </w:tcPr>
          <w:p w14:paraId="7D305F82" w14:textId="77777777" w:rsidR="00A41DBB" w:rsidRPr="00252D7B" w:rsidRDefault="00A41DBB" w:rsidP="00E8125E">
            <w:pPr>
              <w:spacing w:before="120" w:after="120"/>
              <w:rPr>
                <w:rFonts w:asciiTheme="minorHAnsi" w:hAnsiTheme="minorHAnsi" w:cstheme="minorHAnsi"/>
              </w:rPr>
            </w:pPr>
            <w:r w:rsidRPr="00252D7B">
              <w:rPr>
                <w:rFonts w:asciiTheme="minorHAnsi" w:eastAsia="Corbel" w:hAnsiTheme="minorHAnsi" w:cstheme="minorHAnsi"/>
                <w:color w:val="000000" w:themeColor="text1"/>
              </w:rPr>
              <w:t>01 Aperfeiçoar e promover a Gestão e a Governança Corporativa</w:t>
            </w:r>
          </w:p>
        </w:tc>
      </w:tr>
      <w:tr w:rsidR="00A41DBB" w:rsidRPr="00252D7B" w14:paraId="2D959C73" w14:textId="77777777" w:rsidTr="00185B1F">
        <w:trPr>
          <w:trHeight w:val="285"/>
        </w:trPr>
        <w:tc>
          <w:tcPr>
            <w:tcW w:w="1635" w:type="dxa"/>
            <w:tcBorders>
              <w:left w:val="nil"/>
            </w:tcBorders>
            <w:vAlign w:val="center"/>
          </w:tcPr>
          <w:p w14:paraId="295DDE50" w14:textId="77777777" w:rsidR="00A41DBB" w:rsidRPr="00252D7B" w:rsidRDefault="00A41DBB" w:rsidP="00E8125E">
            <w:pPr>
              <w:spacing w:before="120" w:after="120"/>
              <w:jc w:val="center"/>
              <w:rPr>
                <w:rFonts w:asciiTheme="minorHAnsi" w:hAnsiTheme="minorHAnsi" w:cstheme="minorHAnsi"/>
                <w:b/>
                <w:bCs/>
              </w:rPr>
            </w:pPr>
            <w:r w:rsidRPr="00252D7B">
              <w:rPr>
                <w:rFonts w:asciiTheme="minorHAnsi" w:eastAsia="Corbel" w:hAnsiTheme="minorHAnsi" w:cstheme="minorHAnsi"/>
                <w:b/>
                <w:bCs/>
                <w:color w:val="000000" w:themeColor="text1"/>
              </w:rPr>
              <w:t>PRESI</w:t>
            </w:r>
          </w:p>
        </w:tc>
        <w:tc>
          <w:tcPr>
            <w:tcW w:w="1621" w:type="dxa"/>
            <w:vAlign w:val="center"/>
          </w:tcPr>
          <w:p w14:paraId="11267C15" w14:textId="77777777" w:rsidR="00A41DBB" w:rsidRPr="00252D7B" w:rsidRDefault="00A41DBB" w:rsidP="00E8125E">
            <w:pPr>
              <w:spacing w:before="120" w:after="120"/>
              <w:jc w:val="center"/>
              <w:rPr>
                <w:rFonts w:asciiTheme="minorHAnsi" w:hAnsiTheme="minorHAnsi" w:cstheme="minorHAnsi"/>
              </w:rPr>
            </w:pPr>
            <w:r w:rsidRPr="00252D7B">
              <w:rPr>
                <w:rFonts w:asciiTheme="minorHAnsi" w:eastAsia="Corbel" w:hAnsiTheme="minorHAnsi" w:cstheme="minorHAnsi"/>
                <w:color w:val="000000" w:themeColor="text1"/>
              </w:rPr>
              <w:t>1</w:t>
            </w:r>
          </w:p>
        </w:tc>
        <w:tc>
          <w:tcPr>
            <w:tcW w:w="6479" w:type="dxa"/>
            <w:tcBorders>
              <w:right w:val="nil"/>
            </w:tcBorders>
            <w:vAlign w:val="center"/>
          </w:tcPr>
          <w:p w14:paraId="0C72DD04" w14:textId="77777777" w:rsidR="00A41DBB" w:rsidRPr="00252D7B" w:rsidRDefault="00A41DBB" w:rsidP="00E8125E">
            <w:pPr>
              <w:spacing w:before="120" w:after="120"/>
              <w:rPr>
                <w:rFonts w:asciiTheme="minorHAnsi" w:hAnsiTheme="minorHAnsi" w:cstheme="minorHAnsi"/>
              </w:rPr>
            </w:pPr>
            <w:r w:rsidRPr="00252D7B">
              <w:rPr>
                <w:rFonts w:asciiTheme="minorHAnsi" w:eastAsia="Corbel" w:hAnsiTheme="minorHAnsi" w:cstheme="minorHAnsi"/>
                <w:color w:val="000000" w:themeColor="text1"/>
              </w:rPr>
              <w:t>01 Aperfeiçoar e promover a Gestão e a Governança Corporativa</w:t>
            </w:r>
          </w:p>
        </w:tc>
      </w:tr>
      <w:tr w:rsidR="00A41DBB" w:rsidRPr="00252D7B" w14:paraId="4C2FA91B" w14:textId="77777777" w:rsidTr="00185B1F">
        <w:trPr>
          <w:trHeight w:val="285"/>
        </w:trPr>
        <w:tc>
          <w:tcPr>
            <w:tcW w:w="1635" w:type="dxa"/>
            <w:tcBorders>
              <w:left w:val="nil"/>
            </w:tcBorders>
            <w:vAlign w:val="center"/>
          </w:tcPr>
          <w:p w14:paraId="5F9FB1E1" w14:textId="77777777" w:rsidR="00A41DBB" w:rsidRPr="00252D7B" w:rsidRDefault="00A41DBB" w:rsidP="00E8125E">
            <w:pPr>
              <w:spacing w:before="120" w:after="120"/>
              <w:jc w:val="center"/>
              <w:rPr>
                <w:rFonts w:asciiTheme="minorHAnsi" w:hAnsiTheme="minorHAnsi" w:cstheme="minorHAnsi"/>
                <w:b/>
                <w:bCs/>
              </w:rPr>
            </w:pPr>
            <w:r w:rsidRPr="00252D7B">
              <w:rPr>
                <w:rFonts w:asciiTheme="minorHAnsi" w:eastAsia="Corbel" w:hAnsiTheme="minorHAnsi" w:cstheme="minorHAnsi"/>
                <w:b/>
                <w:bCs/>
                <w:color w:val="000000" w:themeColor="text1"/>
              </w:rPr>
              <w:t>PROJUR</w:t>
            </w:r>
          </w:p>
        </w:tc>
        <w:tc>
          <w:tcPr>
            <w:tcW w:w="1621" w:type="dxa"/>
            <w:vAlign w:val="center"/>
          </w:tcPr>
          <w:p w14:paraId="0C77F73B" w14:textId="77777777" w:rsidR="00A41DBB" w:rsidRPr="00252D7B" w:rsidRDefault="00A41DBB" w:rsidP="00E8125E">
            <w:pPr>
              <w:spacing w:before="120" w:after="120"/>
              <w:jc w:val="center"/>
              <w:rPr>
                <w:rFonts w:asciiTheme="minorHAnsi" w:hAnsiTheme="minorHAnsi" w:cstheme="minorHAnsi"/>
              </w:rPr>
            </w:pPr>
            <w:r w:rsidRPr="00252D7B">
              <w:rPr>
                <w:rFonts w:asciiTheme="minorHAnsi" w:eastAsia="Corbel" w:hAnsiTheme="minorHAnsi" w:cstheme="minorHAnsi"/>
                <w:color w:val="000000" w:themeColor="text1"/>
              </w:rPr>
              <w:t>7</w:t>
            </w:r>
          </w:p>
        </w:tc>
        <w:tc>
          <w:tcPr>
            <w:tcW w:w="6479" w:type="dxa"/>
            <w:tcBorders>
              <w:right w:val="nil"/>
            </w:tcBorders>
            <w:vAlign w:val="center"/>
          </w:tcPr>
          <w:p w14:paraId="71545AE3" w14:textId="77777777" w:rsidR="00A41DBB" w:rsidRPr="00252D7B" w:rsidRDefault="00A41DBB" w:rsidP="00E8125E">
            <w:pPr>
              <w:spacing w:before="120" w:after="120"/>
              <w:rPr>
                <w:rFonts w:asciiTheme="minorHAnsi" w:hAnsiTheme="minorHAnsi" w:cstheme="minorHAnsi"/>
              </w:rPr>
            </w:pPr>
            <w:r w:rsidRPr="00252D7B">
              <w:rPr>
                <w:rFonts w:asciiTheme="minorHAnsi" w:eastAsia="Corbel" w:hAnsiTheme="minorHAnsi" w:cstheme="minorHAnsi"/>
                <w:color w:val="000000" w:themeColor="text1"/>
              </w:rPr>
              <w:t>13 Realizar Atuação Jurídica</w:t>
            </w:r>
          </w:p>
        </w:tc>
      </w:tr>
      <w:tr w:rsidR="00A41DBB" w:rsidRPr="00252D7B" w14:paraId="0F8797ED" w14:textId="77777777" w:rsidTr="00185B1F">
        <w:trPr>
          <w:trHeight w:val="285"/>
        </w:trPr>
        <w:tc>
          <w:tcPr>
            <w:tcW w:w="1635" w:type="dxa"/>
            <w:tcBorders>
              <w:left w:val="nil"/>
            </w:tcBorders>
            <w:vAlign w:val="center"/>
          </w:tcPr>
          <w:p w14:paraId="5B774759" w14:textId="77777777" w:rsidR="00A41DBB" w:rsidRPr="00252D7B" w:rsidRDefault="00A41DBB" w:rsidP="00E8125E">
            <w:pPr>
              <w:spacing w:before="120" w:after="120"/>
              <w:jc w:val="center"/>
              <w:rPr>
                <w:rFonts w:asciiTheme="minorHAnsi" w:hAnsiTheme="minorHAnsi" w:cstheme="minorHAnsi"/>
                <w:b/>
                <w:bCs/>
              </w:rPr>
            </w:pPr>
            <w:r w:rsidRPr="00252D7B">
              <w:rPr>
                <w:rFonts w:asciiTheme="minorHAnsi" w:eastAsia="Corbel" w:hAnsiTheme="minorHAnsi" w:cstheme="minorHAnsi"/>
                <w:b/>
                <w:bCs/>
                <w:color w:val="000000" w:themeColor="text1"/>
              </w:rPr>
              <w:t>SUADM</w:t>
            </w:r>
          </w:p>
        </w:tc>
        <w:tc>
          <w:tcPr>
            <w:tcW w:w="1621" w:type="dxa"/>
            <w:vAlign w:val="center"/>
          </w:tcPr>
          <w:p w14:paraId="09F919AC" w14:textId="77777777" w:rsidR="00A41DBB" w:rsidRPr="00252D7B" w:rsidRDefault="00A41DBB" w:rsidP="00E8125E">
            <w:pPr>
              <w:spacing w:before="120" w:after="120"/>
              <w:jc w:val="center"/>
              <w:rPr>
                <w:rFonts w:asciiTheme="minorHAnsi" w:hAnsiTheme="minorHAnsi" w:cstheme="minorHAnsi"/>
              </w:rPr>
            </w:pPr>
            <w:r w:rsidRPr="00252D7B">
              <w:rPr>
                <w:rFonts w:asciiTheme="minorHAnsi" w:eastAsia="Corbel" w:hAnsiTheme="minorHAnsi" w:cstheme="minorHAnsi"/>
                <w:color w:val="000000" w:themeColor="text1"/>
              </w:rPr>
              <w:t>3</w:t>
            </w:r>
          </w:p>
        </w:tc>
        <w:tc>
          <w:tcPr>
            <w:tcW w:w="6479" w:type="dxa"/>
            <w:tcBorders>
              <w:right w:val="nil"/>
            </w:tcBorders>
            <w:vAlign w:val="center"/>
          </w:tcPr>
          <w:p w14:paraId="345A8406" w14:textId="77777777" w:rsidR="00A41DBB" w:rsidRPr="00252D7B" w:rsidRDefault="00A41DBB" w:rsidP="00E8125E">
            <w:pPr>
              <w:spacing w:before="120" w:after="120"/>
              <w:rPr>
                <w:rFonts w:asciiTheme="minorHAnsi" w:hAnsiTheme="minorHAnsi" w:cstheme="minorHAnsi"/>
              </w:rPr>
            </w:pPr>
            <w:r w:rsidRPr="00252D7B">
              <w:rPr>
                <w:rFonts w:asciiTheme="minorHAnsi" w:eastAsia="Corbel" w:hAnsiTheme="minorHAnsi" w:cstheme="minorHAnsi"/>
                <w:color w:val="000000" w:themeColor="text1"/>
              </w:rPr>
              <w:t>07 Realizar Contratação, 12 Gerir Logística</w:t>
            </w:r>
          </w:p>
        </w:tc>
      </w:tr>
      <w:tr w:rsidR="00A41DBB" w:rsidRPr="00252D7B" w14:paraId="2D10CE68" w14:textId="77777777" w:rsidTr="00185B1F">
        <w:trPr>
          <w:trHeight w:val="285"/>
        </w:trPr>
        <w:tc>
          <w:tcPr>
            <w:tcW w:w="1635" w:type="dxa"/>
            <w:tcBorders>
              <w:left w:val="nil"/>
            </w:tcBorders>
            <w:vAlign w:val="center"/>
          </w:tcPr>
          <w:p w14:paraId="5FDC05FC" w14:textId="77777777" w:rsidR="00A41DBB" w:rsidRPr="00252D7B" w:rsidRDefault="00A41DBB" w:rsidP="00E8125E">
            <w:pPr>
              <w:spacing w:before="120" w:after="120"/>
              <w:jc w:val="center"/>
              <w:rPr>
                <w:rFonts w:asciiTheme="minorHAnsi" w:hAnsiTheme="minorHAnsi" w:cstheme="minorHAnsi"/>
                <w:b/>
                <w:bCs/>
              </w:rPr>
            </w:pPr>
            <w:r w:rsidRPr="00252D7B">
              <w:rPr>
                <w:rFonts w:asciiTheme="minorHAnsi" w:eastAsia="Corbel" w:hAnsiTheme="minorHAnsi" w:cstheme="minorHAnsi"/>
                <w:b/>
                <w:bCs/>
                <w:color w:val="000000" w:themeColor="text1"/>
              </w:rPr>
              <w:t>SUGAT</w:t>
            </w:r>
          </w:p>
        </w:tc>
        <w:tc>
          <w:tcPr>
            <w:tcW w:w="1621" w:type="dxa"/>
            <w:vAlign w:val="center"/>
          </w:tcPr>
          <w:p w14:paraId="16DE78CE" w14:textId="77777777" w:rsidR="00A41DBB" w:rsidRPr="00252D7B" w:rsidRDefault="00A41DBB" w:rsidP="00E8125E">
            <w:pPr>
              <w:spacing w:before="120" w:after="120"/>
              <w:jc w:val="center"/>
              <w:rPr>
                <w:rFonts w:asciiTheme="minorHAnsi" w:hAnsiTheme="minorHAnsi" w:cstheme="minorHAnsi"/>
              </w:rPr>
            </w:pPr>
            <w:r w:rsidRPr="00252D7B">
              <w:rPr>
                <w:rFonts w:asciiTheme="minorHAnsi" w:eastAsia="Corbel" w:hAnsiTheme="minorHAnsi" w:cstheme="minorHAnsi"/>
                <w:color w:val="000000" w:themeColor="text1"/>
              </w:rPr>
              <w:t>19</w:t>
            </w:r>
          </w:p>
        </w:tc>
        <w:tc>
          <w:tcPr>
            <w:tcW w:w="6479" w:type="dxa"/>
            <w:tcBorders>
              <w:right w:val="nil"/>
            </w:tcBorders>
            <w:vAlign w:val="center"/>
          </w:tcPr>
          <w:p w14:paraId="6FCD2BA8" w14:textId="77777777" w:rsidR="00A41DBB" w:rsidRPr="00252D7B" w:rsidRDefault="00A41DBB" w:rsidP="00E8125E">
            <w:pPr>
              <w:spacing w:before="120" w:after="120"/>
              <w:rPr>
                <w:rFonts w:asciiTheme="minorHAnsi" w:hAnsiTheme="minorHAnsi" w:cstheme="minorHAnsi"/>
              </w:rPr>
            </w:pPr>
            <w:r w:rsidRPr="00252D7B">
              <w:rPr>
                <w:rFonts w:asciiTheme="minorHAnsi" w:eastAsia="Corbel" w:hAnsiTheme="minorHAnsi" w:cstheme="minorHAnsi"/>
                <w:color w:val="000000" w:themeColor="text1"/>
              </w:rPr>
              <w:t>02 Gerir Comunicação</w:t>
            </w:r>
          </w:p>
        </w:tc>
      </w:tr>
      <w:tr w:rsidR="00A41DBB" w:rsidRPr="00252D7B" w14:paraId="32F55520" w14:textId="77777777" w:rsidTr="00185B1F">
        <w:trPr>
          <w:trHeight w:val="285"/>
        </w:trPr>
        <w:tc>
          <w:tcPr>
            <w:tcW w:w="1635" w:type="dxa"/>
            <w:tcBorders>
              <w:left w:val="nil"/>
            </w:tcBorders>
            <w:vAlign w:val="center"/>
          </w:tcPr>
          <w:p w14:paraId="78CB47B7" w14:textId="77777777" w:rsidR="00A41DBB" w:rsidRPr="00252D7B" w:rsidRDefault="00A41DBB" w:rsidP="00E8125E">
            <w:pPr>
              <w:spacing w:before="120" w:after="120"/>
              <w:jc w:val="center"/>
              <w:rPr>
                <w:rFonts w:asciiTheme="minorHAnsi" w:hAnsiTheme="minorHAnsi" w:cstheme="minorHAnsi"/>
                <w:b/>
                <w:bCs/>
              </w:rPr>
            </w:pPr>
            <w:r w:rsidRPr="00252D7B">
              <w:rPr>
                <w:rFonts w:asciiTheme="minorHAnsi" w:eastAsia="Corbel" w:hAnsiTheme="minorHAnsi" w:cstheme="minorHAnsi"/>
                <w:b/>
                <w:bCs/>
                <w:color w:val="000000" w:themeColor="text1"/>
              </w:rPr>
              <w:t>SUGEP</w:t>
            </w:r>
          </w:p>
        </w:tc>
        <w:tc>
          <w:tcPr>
            <w:tcW w:w="1621" w:type="dxa"/>
            <w:vAlign w:val="center"/>
          </w:tcPr>
          <w:p w14:paraId="298B32D0" w14:textId="77777777" w:rsidR="00A41DBB" w:rsidRPr="00252D7B" w:rsidRDefault="00A41DBB" w:rsidP="00E8125E">
            <w:pPr>
              <w:spacing w:before="120" w:after="120"/>
              <w:jc w:val="center"/>
              <w:rPr>
                <w:rFonts w:asciiTheme="minorHAnsi" w:hAnsiTheme="minorHAnsi" w:cstheme="minorHAnsi"/>
              </w:rPr>
            </w:pPr>
            <w:r w:rsidRPr="00252D7B">
              <w:rPr>
                <w:rFonts w:asciiTheme="minorHAnsi" w:eastAsia="Corbel" w:hAnsiTheme="minorHAnsi" w:cstheme="minorHAnsi"/>
                <w:color w:val="000000" w:themeColor="text1"/>
              </w:rPr>
              <w:t>21</w:t>
            </w:r>
          </w:p>
        </w:tc>
        <w:tc>
          <w:tcPr>
            <w:tcW w:w="6479" w:type="dxa"/>
            <w:tcBorders>
              <w:right w:val="nil"/>
            </w:tcBorders>
            <w:vAlign w:val="center"/>
          </w:tcPr>
          <w:p w14:paraId="5C292ECD" w14:textId="77777777" w:rsidR="00A41DBB" w:rsidRPr="00252D7B" w:rsidRDefault="00A41DBB" w:rsidP="00E8125E">
            <w:pPr>
              <w:spacing w:before="120" w:after="120"/>
              <w:rPr>
                <w:rFonts w:asciiTheme="minorHAnsi" w:hAnsiTheme="minorHAnsi" w:cstheme="minorHAnsi"/>
              </w:rPr>
            </w:pPr>
            <w:r w:rsidRPr="00252D7B">
              <w:rPr>
                <w:rFonts w:asciiTheme="minorHAnsi" w:eastAsia="Corbel" w:hAnsiTheme="minorHAnsi" w:cstheme="minorHAnsi"/>
                <w:color w:val="000000" w:themeColor="text1"/>
              </w:rPr>
              <w:t>09 Gerir Pessoas</w:t>
            </w:r>
          </w:p>
        </w:tc>
      </w:tr>
      <w:tr w:rsidR="00A41DBB" w:rsidRPr="00252D7B" w14:paraId="0A1C641D" w14:textId="77777777" w:rsidTr="00185B1F">
        <w:trPr>
          <w:trHeight w:val="285"/>
        </w:trPr>
        <w:tc>
          <w:tcPr>
            <w:tcW w:w="1635" w:type="dxa"/>
            <w:tcBorders>
              <w:left w:val="nil"/>
            </w:tcBorders>
            <w:vAlign w:val="center"/>
          </w:tcPr>
          <w:p w14:paraId="08CF80A0" w14:textId="77777777" w:rsidR="00A41DBB" w:rsidRPr="00252D7B" w:rsidRDefault="00A41DBB" w:rsidP="00E8125E">
            <w:pPr>
              <w:spacing w:before="120" w:after="120"/>
              <w:jc w:val="center"/>
              <w:rPr>
                <w:rFonts w:asciiTheme="minorHAnsi" w:hAnsiTheme="minorHAnsi" w:cstheme="minorHAnsi"/>
                <w:b/>
                <w:bCs/>
              </w:rPr>
            </w:pPr>
            <w:r w:rsidRPr="00252D7B">
              <w:rPr>
                <w:rFonts w:asciiTheme="minorHAnsi" w:eastAsia="Corbel" w:hAnsiTheme="minorHAnsi" w:cstheme="minorHAnsi"/>
                <w:b/>
                <w:bCs/>
                <w:color w:val="000000" w:themeColor="text1"/>
              </w:rPr>
              <w:t>SUINT</w:t>
            </w:r>
          </w:p>
        </w:tc>
        <w:tc>
          <w:tcPr>
            <w:tcW w:w="1621" w:type="dxa"/>
            <w:vAlign w:val="center"/>
          </w:tcPr>
          <w:p w14:paraId="1B861EFE" w14:textId="77777777" w:rsidR="00A41DBB" w:rsidRPr="00252D7B" w:rsidRDefault="00A41DBB" w:rsidP="00E8125E">
            <w:pPr>
              <w:spacing w:before="120" w:after="120"/>
              <w:jc w:val="center"/>
              <w:rPr>
                <w:rFonts w:asciiTheme="minorHAnsi" w:hAnsiTheme="minorHAnsi" w:cstheme="minorHAnsi"/>
              </w:rPr>
            </w:pPr>
            <w:r w:rsidRPr="00252D7B">
              <w:rPr>
                <w:rFonts w:asciiTheme="minorHAnsi" w:eastAsia="Corbel" w:hAnsiTheme="minorHAnsi" w:cstheme="minorHAnsi"/>
                <w:color w:val="000000" w:themeColor="text1"/>
              </w:rPr>
              <w:t>1</w:t>
            </w:r>
          </w:p>
        </w:tc>
        <w:tc>
          <w:tcPr>
            <w:tcW w:w="6479" w:type="dxa"/>
            <w:tcBorders>
              <w:right w:val="nil"/>
            </w:tcBorders>
            <w:vAlign w:val="center"/>
          </w:tcPr>
          <w:p w14:paraId="035FB7D7" w14:textId="77777777" w:rsidR="00A41DBB" w:rsidRPr="00252D7B" w:rsidRDefault="00A41DBB" w:rsidP="00E8125E">
            <w:pPr>
              <w:spacing w:before="120" w:after="120"/>
              <w:rPr>
                <w:rFonts w:asciiTheme="minorHAnsi" w:hAnsiTheme="minorHAnsi" w:cstheme="minorHAnsi"/>
              </w:rPr>
            </w:pPr>
            <w:r w:rsidRPr="00252D7B">
              <w:rPr>
                <w:rFonts w:asciiTheme="minorHAnsi" w:eastAsia="Corbel" w:hAnsiTheme="minorHAnsi" w:cstheme="minorHAnsi"/>
                <w:color w:val="000000" w:themeColor="text1"/>
              </w:rPr>
              <w:t>01 Aperfeiçoar e promover a Gestão e a Governança Corporativa</w:t>
            </w:r>
          </w:p>
        </w:tc>
      </w:tr>
      <w:tr w:rsidR="00A41DBB" w:rsidRPr="00252D7B" w14:paraId="092E3E3E" w14:textId="77777777" w:rsidTr="00185B1F">
        <w:trPr>
          <w:trHeight w:val="285"/>
        </w:trPr>
        <w:tc>
          <w:tcPr>
            <w:tcW w:w="1635" w:type="dxa"/>
            <w:tcBorders>
              <w:left w:val="nil"/>
            </w:tcBorders>
            <w:vAlign w:val="center"/>
          </w:tcPr>
          <w:p w14:paraId="7E395811" w14:textId="77777777" w:rsidR="00A41DBB" w:rsidRPr="00252D7B" w:rsidRDefault="00A41DBB" w:rsidP="00E8125E">
            <w:pPr>
              <w:spacing w:before="120" w:after="120"/>
              <w:jc w:val="center"/>
              <w:rPr>
                <w:rFonts w:asciiTheme="minorHAnsi" w:hAnsiTheme="minorHAnsi" w:cstheme="minorHAnsi"/>
                <w:b/>
                <w:bCs/>
              </w:rPr>
            </w:pPr>
            <w:r w:rsidRPr="00252D7B">
              <w:rPr>
                <w:rFonts w:asciiTheme="minorHAnsi" w:eastAsia="Corbel" w:hAnsiTheme="minorHAnsi" w:cstheme="minorHAnsi"/>
                <w:b/>
                <w:bCs/>
                <w:color w:val="000000" w:themeColor="text1"/>
              </w:rPr>
              <w:t>SULIC</w:t>
            </w:r>
          </w:p>
        </w:tc>
        <w:tc>
          <w:tcPr>
            <w:tcW w:w="1621" w:type="dxa"/>
            <w:vAlign w:val="center"/>
          </w:tcPr>
          <w:p w14:paraId="78F47278" w14:textId="77777777" w:rsidR="00A41DBB" w:rsidRPr="00252D7B" w:rsidRDefault="00A41DBB" w:rsidP="00E8125E">
            <w:pPr>
              <w:spacing w:before="120" w:after="120"/>
              <w:jc w:val="center"/>
              <w:rPr>
                <w:rFonts w:asciiTheme="minorHAnsi" w:hAnsiTheme="minorHAnsi" w:cstheme="minorHAnsi"/>
              </w:rPr>
            </w:pPr>
            <w:r w:rsidRPr="00252D7B">
              <w:rPr>
                <w:rFonts w:asciiTheme="minorHAnsi" w:eastAsia="Corbel" w:hAnsiTheme="minorHAnsi" w:cstheme="minorHAnsi"/>
                <w:color w:val="000000" w:themeColor="text1"/>
              </w:rPr>
              <w:t>6</w:t>
            </w:r>
          </w:p>
        </w:tc>
        <w:tc>
          <w:tcPr>
            <w:tcW w:w="6479" w:type="dxa"/>
            <w:tcBorders>
              <w:right w:val="nil"/>
            </w:tcBorders>
            <w:vAlign w:val="center"/>
          </w:tcPr>
          <w:p w14:paraId="54D84DD1" w14:textId="77777777" w:rsidR="00A41DBB" w:rsidRPr="00252D7B" w:rsidRDefault="00A41DBB" w:rsidP="00E8125E">
            <w:pPr>
              <w:spacing w:before="120" w:after="120"/>
              <w:rPr>
                <w:rFonts w:asciiTheme="minorHAnsi" w:hAnsiTheme="minorHAnsi" w:cstheme="minorHAnsi"/>
              </w:rPr>
            </w:pPr>
            <w:r w:rsidRPr="00252D7B">
              <w:rPr>
                <w:rFonts w:asciiTheme="minorHAnsi" w:eastAsia="Corbel" w:hAnsiTheme="minorHAnsi" w:cstheme="minorHAnsi"/>
                <w:color w:val="000000" w:themeColor="text1"/>
              </w:rPr>
              <w:t>07 Realizar Contratação</w:t>
            </w:r>
          </w:p>
        </w:tc>
      </w:tr>
      <w:tr w:rsidR="00A41DBB" w:rsidRPr="00252D7B" w14:paraId="57E9382C" w14:textId="77777777" w:rsidTr="00185B1F">
        <w:trPr>
          <w:trHeight w:val="285"/>
        </w:trPr>
        <w:tc>
          <w:tcPr>
            <w:tcW w:w="1635" w:type="dxa"/>
            <w:tcBorders>
              <w:left w:val="nil"/>
            </w:tcBorders>
            <w:vAlign w:val="center"/>
          </w:tcPr>
          <w:p w14:paraId="4E1698E7" w14:textId="77777777" w:rsidR="00A41DBB" w:rsidRPr="00252D7B" w:rsidRDefault="00A41DBB" w:rsidP="00E8125E">
            <w:pPr>
              <w:spacing w:before="120" w:after="120"/>
              <w:jc w:val="center"/>
              <w:rPr>
                <w:rFonts w:asciiTheme="minorHAnsi" w:hAnsiTheme="minorHAnsi" w:cstheme="minorHAnsi"/>
                <w:b/>
                <w:bCs/>
              </w:rPr>
            </w:pPr>
            <w:r w:rsidRPr="00252D7B">
              <w:rPr>
                <w:rFonts w:asciiTheme="minorHAnsi" w:eastAsia="Corbel" w:hAnsiTheme="minorHAnsi" w:cstheme="minorHAnsi"/>
                <w:b/>
                <w:bCs/>
                <w:color w:val="000000" w:themeColor="text1"/>
              </w:rPr>
              <w:t>SUPOF</w:t>
            </w:r>
          </w:p>
        </w:tc>
        <w:tc>
          <w:tcPr>
            <w:tcW w:w="1621" w:type="dxa"/>
            <w:vAlign w:val="center"/>
          </w:tcPr>
          <w:p w14:paraId="53F4C197" w14:textId="77777777" w:rsidR="00A41DBB" w:rsidRPr="00252D7B" w:rsidRDefault="00A41DBB" w:rsidP="00E8125E">
            <w:pPr>
              <w:spacing w:before="120" w:after="120"/>
              <w:jc w:val="center"/>
              <w:rPr>
                <w:rFonts w:asciiTheme="minorHAnsi" w:hAnsiTheme="minorHAnsi" w:cstheme="minorHAnsi"/>
              </w:rPr>
            </w:pPr>
            <w:r w:rsidRPr="00252D7B">
              <w:rPr>
                <w:rFonts w:asciiTheme="minorHAnsi" w:eastAsia="Corbel" w:hAnsiTheme="minorHAnsi" w:cstheme="minorHAnsi"/>
                <w:color w:val="000000" w:themeColor="text1"/>
              </w:rPr>
              <w:t>2</w:t>
            </w:r>
          </w:p>
        </w:tc>
        <w:tc>
          <w:tcPr>
            <w:tcW w:w="6479" w:type="dxa"/>
            <w:tcBorders>
              <w:right w:val="nil"/>
            </w:tcBorders>
            <w:vAlign w:val="center"/>
          </w:tcPr>
          <w:p w14:paraId="6FB3985E" w14:textId="77777777" w:rsidR="00A41DBB" w:rsidRPr="00252D7B" w:rsidRDefault="00A41DBB" w:rsidP="00E8125E">
            <w:pPr>
              <w:spacing w:before="120" w:after="120"/>
              <w:rPr>
                <w:rFonts w:asciiTheme="minorHAnsi" w:hAnsiTheme="minorHAnsi" w:cstheme="minorHAnsi"/>
              </w:rPr>
            </w:pPr>
            <w:r w:rsidRPr="00252D7B">
              <w:rPr>
                <w:rFonts w:asciiTheme="minorHAnsi" w:eastAsia="Corbel" w:hAnsiTheme="minorHAnsi" w:cstheme="minorHAnsi"/>
                <w:color w:val="000000" w:themeColor="text1"/>
              </w:rPr>
              <w:t>10 Gerir recursos Orçamentários e Financeiros</w:t>
            </w:r>
          </w:p>
        </w:tc>
      </w:tr>
      <w:tr w:rsidR="00A41DBB" w:rsidRPr="00252D7B" w14:paraId="05E6C729" w14:textId="77777777" w:rsidTr="00185B1F">
        <w:trPr>
          <w:trHeight w:val="285"/>
        </w:trPr>
        <w:tc>
          <w:tcPr>
            <w:tcW w:w="1635" w:type="dxa"/>
            <w:tcBorders>
              <w:left w:val="nil"/>
            </w:tcBorders>
            <w:vAlign w:val="center"/>
          </w:tcPr>
          <w:p w14:paraId="291CCAB9" w14:textId="77777777" w:rsidR="00A41DBB" w:rsidRPr="00252D7B" w:rsidRDefault="00A41DBB" w:rsidP="00E8125E">
            <w:pPr>
              <w:spacing w:before="120" w:after="120"/>
              <w:jc w:val="center"/>
              <w:rPr>
                <w:rFonts w:asciiTheme="minorHAnsi" w:hAnsiTheme="minorHAnsi" w:cstheme="minorHAnsi"/>
                <w:b/>
                <w:bCs/>
              </w:rPr>
            </w:pPr>
            <w:r w:rsidRPr="00252D7B">
              <w:rPr>
                <w:rFonts w:asciiTheme="minorHAnsi" w:eastAsia="Corbel" w:hAnsiTheme="minorHAnsi" w:cstheme="minorHAnsi"/>
                <w:b/>
                <w:bCs/>
                <w:color w:val="000000" w:themeColor="text1"/>
              </w:rPr>
              <w:t>SUPTI</w:t>
            </w:r>
          </w:p>
        </w:tc>
        <w:tc>
          <w:tcPr>
            <w:tcW w:w="1621" w:type="dxa"/>
            <w:vAlign w:val="center"/>
          </w:tcPr>
          <w:p w14:paraId="5099F3C6" w14:textId="77777777" w:rsidR="00A41DBB" w:rsidRPr="00252D7B" w:rsidRDefault="00A41DBB" w:rsidP="00E8125E">
            <w:pPr>
              <w:spacing w:before="120" w:after="120"/>
              <w:jc w:val="center"/>
              <w:rPr>
                <w:rFonts w:asciiTheme="minorHAnsi" w:hAnsiTheme="minorHAnsi" w:cstheme="minorHAnsi"/>
              </w:rPr>
            </w:pPr>
            <w:r w:rsidRPr="00252D7B">
              <w:rPr>
                <w:rFonts w:asciiTheme="minorHAnsi" w:eastAsia="Corbel" w:hAnsiTheme="minorHAnsi" w:cstheme="minorHAnsi"/>
                <w:color w:val="000000" w:themeColor="text1"/>
              </w:rPr>
              <w:t>15</w:t>
            </w:r>
          </w:p>
        </w:tc>
        <w:tc>
          <w:tcPr>
            <w:tcW w:w="6479" w:type="dxa"/>
            <w:tcBorders>
              <w:right w:val="nil"/>
            </w:tcBorders>
            <w:vAlign w:val="center"/>
          </w:tcPr>
          <w:p w14:paraId="3D29C13B" w14:textId="77777777" w:rsidR="00A41DBB" w:rsidRPr="00252D7B" w:rsidRDefault="00A41DBB" w:rsidP="00E8125E">
            <w:pPr>
              <w:spacing w:before="120" w:after="120"/>
              <w:rPr>
                <w:rFonts w:asciiTheme="minorHAnsi" w:hAnsiTheme="minorHAnsi" w:cstheme="minorHAnsi"/>
              </w:rPr>
            </w:pPr>
            <w:r w:rsidRPr="00252D7B">
              <w:rPr>
                <w:rFonts w:asciiTheme="minorHAnsi" w:eastAsia="Corbel" w:hAnsiTheme="minorHAnsi" w:cstheme="minorHAnsi"/>
                <w:color w:val="000000" w:themeColor="text1"/>
              </w:rPr>
              <w:t>11 Gerir Tecnologia da Informação</w:t>
            </w:r>
          </w:p>
        </w:tc>
      </w:tr>
      <w:tr w:rsidR="00A41DBB" w:rsidRPr="00252D7B" w14:paraId="54D0FF41" w14:textId="77777777" w:rsidTr="00185B1F">
        <w:trPr>
          <w:trHeight w:val="285"/>
        </w:trPr>
        <w:tc>
          <w:tcPr>
            <w:tcW w:w="1635" w:type="dxa"/>
            <w:tcBorders>
              <w:left w:val="nil"/>
            </w:tcBorders>
            <w:vAlign w:val="center"/>
          </w:tcPr>
          <w:p w14:paraId="01731164" w14:textId="7ABD8413" w:rsidR="00A41DBB" w:rsidRPr="00252D7B" w:rsidRDefault="00610C91" w:rsidP="00E8125E">
            <w:pPr>
              <w:spacing w:before="120" w:after="120"/>
              <w:jc w:val="center"/>
              <w:rPr>
                <w:rFonts w:asciiTheme="minorHAnsi" w:hAnsiTheme="minorHAnsi" w:cstheme="minorHAnsi"/>
                <w:b/>
                <w:bCs/>
              </w:rPr>
            </w:pPr>
            <w:r w:rsidRPr="00252D7B">
              <w:rPr>
                <w:rFonts w:asciiTheme="minorHAnsi" w:eastAsia="Corbel" w:hAnsiTheme="minorHAnsi" w:cstheme="minorHAnsi"/>
                <w:b/>
                <w:bCs/>
                <w:color w:val="000000" w:themeColor="text1"/>
              </w:rPr>
              <w:t>Valec</w:t>
            </w:r>
          </w:p>
        </w:tc>
        <w:tc>
          <w:tcPr>
            <w:tcW w:w="1621" w:type="dxa"/>
            <w:vAlign w:val="center"/>
          </w:tcPr>
          <w:p w14:paraId="366EE439" w14:textId="77777777" w:rsidR="00A41DBB" w:rsidRPr="00252D7B" w:rsidRDefault="00A41DBB" w:rsidP="00E8125E">
            <w:pPr>
              <w:spacing w:before="120" w:after="120"/>
              <w:jc w:val="center"/>
              <w:rPr>
                <w:rFonts w:asciiTheme="minorHAnsi" w:hAnsiTheme="minorHAnsi" w:cstheme="minorHAnsi"/>
              </w:rPr>
            </w:pPr>
            <w:r w:rsidRPr="00252D7B">
              <w:rPr>
                <w:rFonts w:asciiTheme="minorHAnsi" w:eastAsia="Corbel" w:hAnsiTheme="minorHAnsi" w:cstheme="minorHAnsi"/>
                <w:color w:val="000000" w:themeColor="text1"/>
              </w:rPr>
              <w:t>182</w:t>
            </w:r>
          </w:p>
        </w:tc>
        <w:tc>
          <w:tcPr>
            <w:tcW w:w="6479" w:type="dxa"/>
            <w:tcBorders>
              <w:right w:val="nil"/>
            </w:tcBorders>
            <w:vAlign w:val="center"/>
          </w:tcPr>
          <w:p w14:paraId="57362FB4" w14:textId="77777777" w:rsidR="00A41DBB" w:rsidRPr="00252D7B" w:rsidRDefault="00A41DBB" w:rsidP="00E8125E">
            <w:pPr>
              <w:spacing w:before="120" w:after="120"/>
              <w:rPr>
                <w:rFonts w:asciiTheme="minorHAnsi" w:hAnsiTheme="minorHAnsi" w:cstheme="minorHAnsi"/>
              </w:rPr>
            </w:pPr>
            <w:r w:rsidRPr="00252D7B">
              <w:rPr>
                <w:rFonts w:asciiTheme="minorHAnsi" w:eastAsia="Corbel" w:hAnsiTheme="minorHAnsi" w:cstheme="minorHAnsi"/>
                <w:color w:val="000000" w:themeColor="text1"/>
              </w:rPr>
              <w:t>08 Executar contratos, 11 Gerir Tecnologia da Informação</w:t>
            </w:r>
          </w:p>
        </w:tc>
      </w:tr>
      <w:tr w:rsidR="00A41DBB" w:rsidRPr="00252D7B" w14:paraId="7E3DDF0D" w14:textId="77777777" w:rsidTr="00185B1F">
        <w:trPr>
          <w:trHeight w:val="285"/>
        </w:trPr>
        <w:tc>
          <w:tcPr>
            <w:tcW w:w="1635" w:type="dxa"/>
            <w:tcBorders>
              <w:left w:val="nil"/>
            </w:tcBorders>
            <w:vAlign w:val="center"/>
          </w:tcPr>
          <w:p w14:paraId="70DD4BE8" w14:textId="10014E48" w:rsidR="00A41DBB" w:rsidRPr="00252D7B" w:rsidRDefault="00610C91" w:rsidP="00E8125E">
            <w:pPr>
              <w:spacing w:before="120" w:after="120"/>
              <w:jc w:val="center"/>
              <w:rPr>
                <w:rFonts w:asciiTheme="minorHAnsi" w:hAnsiTheme="minorHAnsi" w:cstheme="minorHAnsi"/>
                <w:b/>
                <w:bCs/>
              </w:rPr>
            </w:pPr>
            <w:r w:rsidRPr="00252D7B">
              <w:rPr>
                <w:rFonts w:asciiTheme="minorHAnsi" w:eastAsia="Corbel" w:hAnsiTheme="minorHAnsi" w:cstheme="minorHAnsi"/>
                <w:b/>
                <w:bCs/>
                <w:color w:val="000000" w:themeColor="text1"/>
              </w:rPr>
              <w:t>Valec</w:t>
            </w:r>
            <w:r w:rsidR="00A41DBB" w:rsidRPr="00252D7B">
              <w:rPr>
                <w:rFonts w:asciiTheme="minorHAnsi" w:eastAsia="Corbel" w:hAnsiTheme="minorHAnsi" w:cstheme="minorHAnsi"/>
                <w:b/>
                <w:bCs/>
                <w:color w:val="000000" w:themeColor="text1"/>
              </w:rPr>
              <w:t xml:space="preserve"> - EPL</w:t>
            </w:r>
          </w:p>
        </w:tc>
        <w:tc>
          <w:tcPr>
            <w:tcW w:w="1621" w:type="dxa"/>
            <w:vAlign w:val="center"/>
          </w:tcPr>
          <w:p w14:paraId="74B607AD" w14:textId="77777777" w:rsidR="00A41DBB" w:rsidRPr="00252D7B" w:rsidRDefault="00A41DBB" w:rsidP="00E8125E">
            <w:pPr>
              <w:spacing w:before="120" w:after="120"/>
              <w:jc w:val="center"/>
              <w:rPr>
                <w:rFonts w:asciiTheme="minorHAnsi" w:hAnsiTheme="minorHAnsi" w:cstheme="minorHAnsi"/>
              </w:rPr>
            </w:pPr>
            <w:r w:rsidRPr="00252D7B">
              <w:rPr>
                <w:rFonts w:asciiTheme="minorHAnsi" w:eastAsia="Corbel" w:hAnsiTheme="minorHAnsi" w:cstheme="minorHAnsi"/>
                <w:color w:val="000000" w:themeColor="text1"/>
              </w:rPr>
              <w:t>3</w:t>
            </w:r>
          </w:p>
        </w:tc>
        <w:tc>
          <w:tcPr>
            <w:tcW w:w="6479" w:type="dxa"/>
            <w:tcBorders>
              <w:right w:val="nil"/>
            </w:tcBorders>
            <w:vAlign w:val="center"/>
          </w:tcPr>
          <w:p w14:paraId="0651768E" w14:textId="77777777" w:rsidR="00A41DBB" w:rsidRPr="00252D7B" w:rsidRDefault="00A41DBB" w:rsidP="00E8125E">
            <w:pPr>
              <w:spacing w:before="120" w:after="120"/>
              <w:rPr>
                <w:rFonts w:asciiTheme="minorHAnsi" w:hAnsiTheme="minorHAnsi" w:cstheme="minorHAnsi"/>
              </w:rPr>
            </w:pPr>
            <w:r w:rsidRPr="00252D7B">
              <w:rPr>
                <w:rFonts w:asciiTheme="minorHAnsi" w:eastAsia="Corbel" w:hAnsiTheme="minorHAnsi" w:cstheme="minorHAnsi"/>
                <w:color w:val="000000" w:themeColor="text1"/>
              </w:rPr>
              <w:t>11 Gerir Tecnologia da Informação</w:t>
            </w:r>
          </w:p>
        </w:tc>
      </w:tr>
      <w:tr w:rsidR="00A41DBB" w:rsidRPr="00252D7B" w14:paraId="2BF81610" w14:textId="77777777" w:rsidTr="00185B1F">
        <w:trPr>
          <w:trHeight w:val="285"/>
        </w:trPr>
        <w:tc>
          <w:tcPr>
            <w:tcW w:w="1635" w:type="dxa"/>
            <w:tcBorders>
              <w:left w:val="nil"/>
            </w:tcBorders>
            <w:vAlign w:val="center"/>
          </w:tcPr>
          <w:p w14:paraId="26A30224" w14:textId="2A89CBFF" w:rsidR="00A41DBB" w:rsidRPr="00252D7B" w:rsidRDefault="00610C91" w:rsidP="00E8125E">
            <w:pPr>
              <w:spacing w:before="120" w:after="120"/>
              <w:jc w:val="center"/>
              <w:rPr>
                <w:rFonts w:asciiTheme="minorHAnsi" w:hAnsiTheme="minorHAnsi" w:cstheme="minorHAnsi"/>
                <w:b/>
                <w:bCs/>
              </w:rPr>
            </w:pPr>
            <w:r w:rsidRPr="00252D7B">
              <w:rPr>
                <w:rFonts w:asciiTheme="minorHAnsi" w:eastAsia="Corbel" w:hAnsiTheme="minorHAnsi" w:cstheme="minorHAnsi"/>
                <w:b/>
                <w:bCs/>
                <w:color w:val="000000" w:themeColor="text1"/>
              </w:rPr>
              <w:t>Valec</w:t>
            </w:r>
            <w:r w:rsidR="00A41DBB" w:rsidRPr="00252D7B">
              <w:rPr>
                <w:rFonts w:asciiTheme="minorHAnsi" w:eastAsia="Corbel" w:hAnsiTheme="minorHAnsi" w:cstheme="minorHAnsi"/>
                <w:b/>
                <w:bCs/>
                <w:color w:val="000000" w:themeColor="text1"/>
              </w:rPr>
              <w:t xml:space="preserve"> - JEQUÍÉ</w:t>
            </w:r>
          </w:p>
        </w:tc>
        <w:tc>
          <w:tcPr>
            <w:tcW w:w="1621" w:type="dxa"/>
            <w:vAlign w:val="center"/>
          </w:tcPr>
          <w:p w14:paraId="5695E1D7" w14:textId="77777777" w:rsidR="00A41DBB" w:rsidRPr="00252D7B" w:rsidRDefault="00A41DBB" w:rsidP="00E8125E">
            <w:pPr>
              <w:spacing w:before="120" w:after="120"/>
              <w:jc w:val="center"/>
              <w:rPr>
                <w:rFonts w:asciiTheme="minorHAnsi" w:hAnsiTheme="minorHAnsi" w:cstheme="minorHAnsi"/>
              </w:rPr>
            </w:pPr>
            <w:r w:rsidRPr="00252D7B">
              <w:rPr>
                <w:rFonts w:asciiTheme="minorHAnsi" w:eastAsia="Corbel" w:hAnsiTheme="minorHAnsi" w:cstheme="minorHAnsi"/>
                <w:color w:val="000000" w:themeColor="text1"/>
              </w:rPr>
              <w:t>1</w:t>
            </w:r>
          </w:p>
        </w:tc>
        <w:tc>
          <w:tcPr>
            <w:tcW w:w="6479" w:type="dxa"/>
            <w:tcBorders>
              <w:right w:val="nil"/>
            </w:tcBorders>
            <w:vAlign w:val="center"/>
          </w:tcPr>
          <w:p w14:paraId="4F05C8E0" w14:textId="77777777" w:rsidR="00A41DBB" w:rsidRPr="00252D7B" w:rsidRDefault="00A41DBB" w:rsidP="00E8125E">
            <w:pPr>
              <w:spacing w:before="120" w:after="120"/>
              <w:rPr>
                <w:rFonts w:asciiTheme="minorHAnsi" w:hAnsiTheme="minorHAnsi" w:cstheme="minorHAnsi"/>
              </w:rPr>
            </w:pPr>
            <w:r w:rsidRPr="00252D7B">
              <w:rPr>
                <w:rFonts w:asciiTheme="minorHAnsi" w:eastAsia="Corbel" w:hAnsiTheme="minorHAnsi" w:cstheme="minorHAnsi"/>
                <w:color w:val="000000" w:themeColor="text1"/>
              </w:rPr>
              <w:t>11 Gerir Tecnologia da Informação</w:t>
            </w:r>
          </w:p>
        </w:tc>
      </w:tr>
      <w:tr w:rsidR="00A41DBB" w:rsidRPr="00252D7B" w14:paraId="7BD7179E" w14:textId="77777777" w:rsidTr="00185B1F">
        <w:trPr>
          <w:trHeight w:val="585"/>
        </w:trPr>
        <w:tc>
          <w:tcPr>
            <w:tcW w:w="1635" w:type="dxa"/>
            <w:tcBorders>
              <w:left w:val="nil"/>
            </w:tcBorders>
            <w:vAlign w:val="center"/>
          </w:tcPr>
          <w:p w14:paraId="677331BC" w14:textId="25C53C62" w:rsidR="00A41DBB" w:rsidRPr="00252D7B" w:rsidRDefault="00610C91" w:rsidP="00E8125E">
            <w:pPr>
              <w:spacing w:before="120" w:after="120"/>
              <w:jc w:val="center"/>
              <w:rPr>
                <w:rFonts w:asciiTheme="minorHAnsi" w:hAnsiTheme="minorHAnsi" w:cstheme="minorHAnsi"/>
                <w:b/>
                <w:bCs/>
              </w:rPr>
            </w:pPr>
            <w:r w:rsidRPr="00252D7B">
              <w:rPr>
                <w:rFonts w:asciiTheme="minorHAnsi" w:eastAsia="Corbel" w:hAnsiTheme="minorHAnsi" w:cstheme="minorHAnsi"/>
                <w:b/>
                <w:bCs/>
                <w:color w:val="000000" w:themeColor="text1"/>
              </w:rPr>
              <w:t>Valec</w:t>
            </w:r>
            <w:r w:rsidR="00A41DBB" w:rsidRPr="00252D7B">
              <w:rPr>
                <w:rFonts w:asciiTheme="minorHAnsi" w:eastAsia="Corbel" w:hAnsiTheme="minorHAnsi" w:cstheme="minorHAnsi"/>
                <w:b/>
                <w:bCs/>
                <w:color w:val="000000" w:themeColor="text1"/>
              </w:rPr>
              <w:t xml:space="preserve"> - JEQUIÉ - SÃO DESIDÉRIO</w:t>
            </w:r>
          </w:p>
        </w:tc>
        <w:tc>
          <w:tcPr>
            <w:tcW w:w="1621" w:type="dxa"/>
            <w:vAlign w:val="center"/>
          </w:tcPr>
          <w:p w14:paraId="4947F5E7" w14:textId="77777777" w:rsidR="00A41DBB" w:rsidRPr="00252D7B" w:rsidRDefault="00A41DBB" w:rsidP="00E8125E">
            <w:pPr>
              <w:spacing w:before="120" w:after="120"/>
              <w:jc w:val="center"/>
              <w:rPr>
                <w:rFonts w:asciiTheme="minorHAnsi" w:hAnsiTheme="minorHAnsi" w:cstheme="minorHAnsi"/>
              </w:rPr>
            </w:pPr>
            <w:r w:rsidRPr="00252D7B">
              <w:rPr>
                <w:rFonts w:asciiTheme="minorHAnsi" w:eastAsia="Corbel" w:hAnsiTheme="minorHAnsi" w:cstheme="minorHAnsi"/>
                <w:color w:val="000000" w:themeColor="text1"/>
              </w:rPr>
              <w:t>1</w:t>
            </w:r>
          </w:p>
        </w:tc>
        <w:tc>
          <w:tcPr>
            <w:tcW w:w="6479" w:type="dxa"/>
            <w:tcBorders>
              <w:right w:val="nil"/>
            </w:tcBorders>
            <w:vAlign w:val="center"/>
          </w:tcPr>
          <w:p w14:paraId="68B17B61" w14:textId="77777777" w:rsidR="00A41DBB" w:rsidRPr="00252D7B" w:rsidRDefault="00A41DBB" w:rsidP="00E8125E">
            <w:pPr>
              <w:spacing w:before="120" w:after="120"/>
              <w:rPr>
                <w:rFonts w:asciiTheme="minorHAnsi" w:hAnsiTheme="minorHAnsi" w:cstheme="minorHAnsi"/>
              </w:rPr>
            </w:pPr>
            <w:r w:rsidRPr="00252D7B">
              <w:rPr>
                <w:rFonts w:asciiTheme="minorHAnsi" w:eastAsia="Corbel" w:hAnsiTheme="minorHAnsi" w:cstheme="minorHAnsi"/>
                <w:color w:val="000000" w:themeColor="text1"/>
              </w:rPr>
              <w:t>11 Gerir Tecnologia da Informação</w:t>
            </w:r>
          </w:p>
        </w:tc>
      </w:tr>
      <w:tr w:rsidR="00A41DBB" w:rsidRPr="00252D7B" w14:paraId="5A2E5E55" w14:textId="77777777" w:rsidTr="00185B1F">
        <w:trPr>
          <w:trHeight w:val="285"/>
        </w:trPr>
        <w:tc>
          <w:tcPr>
            <w:tcW w:w="1635" w:type="dxa"/>
            <w:tcBorders>
              <w:left w:val="nil"/>
            </w:tcBorders>
            <w:vAlign w:val="center"/>
          </w:tcPr>
          <w:p w14:paraId="05B2115F" w14:textId="77777777" w:rsidR="00A41DBB" w:rsidRPr="00252D7B" w:rsidRDefault="00A41DBB" w:rsidP="00E8125E">
            <w:pPr>
              <w:spacing w:before="120" w:after="120"/>
              <w:jc w:val="center"/>
              <w:rPr>
                <w:rFonts w:asciiTheme="minorHAnsi" w:hAnsiTheme="minorHAnsi" w:cstheme="minorHAnsi"/>
                <w:b/>
                <w:bCs/>
              </w:rPr>
            </w:pPr>
            <w:r w:rsidRPr="00252D7B">
              <w:rPr>
                <w:rFonts w:asciiTheme="minorHAnsi" w:eastAsia="Corbel" w:hAnsiTheme="minorHAnsi" w:cstheme="minorHAnsi"/>
                <w:b/>
                <w:bCs/>
                <w:color w:val="000000" w:themeColor="text1"/>
              </w:rPr>
              <w:t>PRESI- MINFRA</w:t>
            </w:r>
          </w:p>
        </w:tc>
        <w:tc>
          <w:tcPr>
            <w:tcW w:w="1621" w:type="dxa"/>
            <w:vAlign w:val="center"/>
          </w:tcPr>
          <w:p w14:paraId="1B511E7D" w14:textId="77777777" w:rsidR="00A41DBB" w:rsidRPr="00252D7B" w:rsidRDefault="00A41DBB" w:rsidP="00E8125E">
            <w:pPr>
              <w:spacing w:before="120" w:after="120"/>
              <w:jc w:val="center"/>
              <w:rPr>
                <w:rFonts w:asciiTheme="minorHAnsi" w:hAnsiTheme="minorHAnsi" w:cstheme="minorHAnsi"/>
              </w:rPr>
            </w:pPr>
            <w:r w:rsidRPr="00252D7B">
              <w:rPr>
                <w:rFonts w:asciiTheme="minorHAnsi" w:eastAsia="Corbel" w:hAnsiTheme="minorHAnsi" w:cstheme="minorHAnsi"/>
                <w:color w:val="000000" w:themeColor="text1"/>
              </w:rPr>
              <w:t>29</w:t>
            </w:r>
          </w:p>
        </w:tc>
        <w:tc>
          <w:tcPr>
            <w:tcW w:w="6479" w:type="dxa"/>
            <w:tcBorders>
              <w:right w:val="nil"/>
            </w:tcBorders>
            <w:vAlign w:val="center"/>
          </w:tcPr>
          <w:p w14:paraId="120B6500" w14:textId="77777777" w:rsidR="00A41DBB" w:rsidRPr="00252D7B" w:rsidRDefault="00A41DBB" w:rsidP="00E8125E">
            <w:pPr>
              <w:spacing w:before="120" w:after="120"/>
              <w:rPr>
                <w:rFonts w:asciiTheme="minorHAnsi" w:hAnsiTheme="minorHAnsi" w:cstheme="minorHAnsi"/>
              </w:rPr>
            </w:pPr>
            <w:r w:rsidRPr="00252D7B">
              <w:rPr>
                <w:rFonts w:asciiTheme="minorHAnsi" w:eastAsia="Corbel" w:hAnsiTheme="minorHAnsi" w:cstheme="minorHAnsi"/>
                <w:color w:val="000000" w:themeColor="text1"/>
              </w:rPr>
              <w:t>11 Gerir Tecnologia da Informação, 03Criar Produtos e Serviços, 04 Comercializar Produtos e Serviços</w:t>
            </w:r>
          </w:p>
        </w:tc>
      </w:tr>
      <w:tr w:rsidR="00A41DBB" w:rsidRPr="00252D7B" w14:paraId="075C7032" w14:textId="77777777" w:rsidTr="00185B1F">
        <w:trPr>
          <w:trHeight w:val="300"/>
        </w:trPr>
        <w:tc>
          <w:tcPr>
            <w:tcW w:w="1635" w:type="dxa"/>
            <w:tcBorders>
              <w:left w:val="nil"/>
            </w:tcBorders>
            <w:vAlign w:val="center"/>
          </w:tcPr>
          <w:p w14:paraId="3FE5B899" w14:textId="77777777" w:rsidR="00A41DBB" w:rsidRPr="00252D7B" w:rsidRDefault="00A41DBB" w:rsidP="00E8125E">
            <w:pPr>
              <w:spacing w:before="120" w:after="120"/>
              <w:jc w:val="center"/>
              <w:rPr>
                <w:rFonts w:asciiTheme="minorHAnsi" w:hAnsiTheme="minorHAnsi" w:cstheme="minorHAnsi"/>
                <w:b/>
                <w:bCs/>
              </w:rPr>
            </w:pPr>
            <w:r w:rsidRPr="00252D7B">
              <w:rPr>
                <w:rFonts w:asciiTheme="minorHAnsi" w:eastAsia="Corbel" w:hAnsiTheme="minorHAnsi" w:cstheme="minorHAnsi"/>
                <w:b/>
                <w:bCs/>
                <w:color w:val="000000" w:themeColor="text1"/>
              </w:rPr>
              <w:t>TOTAL</w:t>
            </w:r>
          </w:p>
        </w:tc>
        <w:tc>
          <w:tcPr>
            <w:tcW w:w="1621" w:type="dxa"/>
            <w:vAlign w:val="center"/>
          </w:tcPr>
          <w:p w14:paraId="6AE797A0" w14:textId="77777777" w:rsidR="00A41DBB" w:rsidRPr="00252D7B" w:rsidRDefault="00A41DBB" w:rsidP="00E8125E">
            <w:pPr>
              <w:spacing w:before="120" w:after="120"/>
              <w:jc w:val="center"/>
              <w:rPr>
                <w:rFonts w:asciiTheme="minorHAnsi" w:hAnsiTheme="minorHAnsi" w:cstheme="minorHAnsi"/>
              </w:rPr>
            </w:pPr>
            <w:r w:rsidRPr="00252D7B">
              <w:rPr>
                <w:rFonts w:asciiTheme="minorHAnsi" w:eastAsia="Corbel" w:hAnsiTheme="minorHAnsi" w:cstheme="minorHAnsi"/>
                <w:color w:val="000000" w:themeColor="text1"/>
              </w:rPr>
              <w:t>355</w:t>
            </w:r>
          </w:p>
        </w:tc>
        <w:tc>
          <w:tcPr>
            <w:tcW w:w="6479" w:type="dxa"/>
            <w:tcBorders>
              <w:right w:val="nil"/>
            </w:tcBorders>
            <w:vAlign w:val="center"/>
          </w:tcPr>
          <w:p w14:paraId="51B0D15B" w14:textId="77777777" w:rsidR="00A41DBB" w:rsidRPr="00252D7B" w:rsidRDefault="00A41DBB" w:rsidP="00E8125E">
            <w:pPr>
              <w:spacing w:before="120" w:after="120"/>
              <w:rPr>
                <w:rFonts w:asciiTheme="minorHAnsi" w:eastAsia="Corbel" w:hAnsiTheme="minorHAnsi" w:cstheme="minorHAnsi"/>
                <w:color w:val="000000" w:themeColor="text1"/>
              </w:rPr>
            </w:pPr>
          </w:p>
        </w:tc>
      </w:tr>
    </w:tbl>
    <w:p w14:paraId="07473F47" w14:textId="77777777" w:rsidR="00A41DBB" w:rsidRPr="00252D7B" w:rsidRDefault="00A41DBB" w:rsidP="00A41DBB">
      <w:pPr>
        <w:spacing w:before="120" w:after="120"/>
        <w:rPr>
          <w:rFonts w:asciiTheme="minorHAnsi" w:hAnsiTheme="minorHAnsi" w:cstheme="minorHAnsi"/>
        </w:rPr>
      </w:pPr>
    </w:p>
    <w:p w14:paraId="53534E20" w14:textId="77777777" w:rsidR="00A41DBB" w:rsidRPr="00252D7B" w:rsidRDefault="00A41DBB" w:rsidP="001D433A">
      <w:pPr>
        <w:pStyle w:val="Ttulo3"/>
        <w:spacing w:before="120"/>
        <w:rPr>
          <w:rFonts w:asciiTheme="minorHAnsi" w:hAnsiTheme="minorHAnsi" w:cstheme="minorHAnsi"/>
        </w:rPr>
      </w:pPr>
      <w:bookmarkStart w:id="468" w:name="_Toc95906819"/>
      <w:bookmarkStart w:id="469" w:name="_Toc97215868"/>
      <w:bookmarkStart w:id="470" w:name="_Toc103680593"/>
      <w:bookmarkEnd w:id="455"/>
      <w:bookmarkEnd w:id="456"/>
      <w:bookmarkEnd w:id="457"/>
      <w:r w:rsidRPr="00252D7B">
        <w:rPr>
          <w:rFonts w:asciiTheme="minorHAnsi" w:hAnsiTheme="minorHAnsi" w:cstheme="minorHAnsi"/>
        </w:rPr>
        <w:lastRenderedPageBreak/>
        <w:t>Segurança da informação</w:t>
      </w:r>
      <w:bookmarkEnd w:id="468"/>
      <w:bookmarkEnd w:id="469"/>
      <w:bookmarkEnd w:id="470"/>
    </w:p>
    <w:p w14:paraId="3DE906D8" w14:textId="2C0E8690" w:rsidR="00A41DBB" w:rsidRPr="00252D7B" w:rsidRDefault="00A41DBB" w:rsidP="00A41DBB">
      <w:pPr>
        <w:spacing w:before="120" w:after="120"/>
        <w:jc w:val="both"/>
        <w:rPr>
          <w:rFonts w:asciiTheme="minorHAnsi" w:hAnsiTheme="minorHAnsi" w:cstheme="minorHAnsi"/>
          <w:sz w:val="24"/>
          <w:szCs w:val="24"/>
          <w:lang w:eastAsia="pt-BR"/>
        </w:rPr>
      </w:pPr>
      <w:bookmarkStart w:id="471" w:name="_Toc94012556"/>
      <w:bookmarkStart w:id="472" w:name="_Toc95830289"/>
      <w:r w:rsidRPr="00252D7B">
        <w:rPr>
          <w:rFonts w:asciiTheme="minorHAnsi" w:hAnsiTheme="minorHAnsi" w:cstheme="minorHAnsi"/>
          <w:sz w:val="24"/>
          <w:szCs w:val="24"/>
          <w:lang w:eastAsia="pt-BR"/>
        </w:rPr>
        <w:t xml:space="preserve">A Segurança da Informação é objeto de destaque no exercício de 2021, quando foram promovidas iniciativas com a finalidade de melhorar a segurança dos ativos de rede da empresa. Novos indicadores da área de segurança foram incorporados ao monitoramento, bem como a quantidade de ataques bloqueados que passaram a compor o relatório semanal. </w:t>
      </w:r>
    </w:p>
    <w:p w14:paraId="2FB8663C" w14:textId="77777777" w:rsidR="00A41DBB" w:rsidRPr="00252D7B" w:rsidRDefault="00A41DBB" w:rsidP="00A41DBB">
      <w:pPr>
        <w:spacing w:before="120" w:after="120"/>
        <w:jc w:val="both"/>
        <w:rPr>
          <w:rFonts w:asciiTheme="minorHAnsi" w:hAnsiTheme="minorHAnsi" w:cstheme="minorHAnsi"/>
          <w:color w:val="4D5156"/>
          <w:sz w:val="24"/>
          <w:szCs w:val="24"/>
        </w:rPr>
      </w:pPr>
      <w:r w:rsidRPr="00252D7B">
        <w:rPr>
          <w:rFonts w:asciiTheme="minorHAnsi" w:hAnsiTheme="minorHAnsi" w:cstheme="minorHAnsi"/>
          <w:sz w:val="24"/>
          <w:szCs w:val="24"/>
          <w:lang w:eastAsia="pt-BR"/>
        </w:rPr>
        <w:t xml:space="preserve">A solução de antivírus da Valec teve sua tecnologia atualizada com funcionalidade </w:t>
      </w:r>
      <w:r w:rsidRPr="00252D7B">
        <w:rPr>
          <w:rFonts w:asciiTheme="minorHAnsi" w:hAnsiTheme="minorHAnsi" w:cstheme="minorHAnsi"/>
          <w:i/>
          <w:iCs/>
          <w:sz w:val="24"/>
          <w:szCs w:val="24"/>
          <w:lang w:eastAsia="pt-BR"/>
        </w:rPr>
        <w:t>Advanced Threat Protection</w:t>
      </w:r>
      <w:r w:rsidRPr="00252D7B">
        <w:rPr>
          <w:rFonts w:asciiTheme="minorHAnsi" w:hAnsiTheme="minorHAnsi" w:cstheme="minorHAnsi"/>
          <w:sz w:val="24"/>
          <w:szCs w:val="24"/>
          <w:lang w:eastAsia="pt-BR"/>
        </w:rPr>
        <w:t xml:space="preserve"> (ATP), que fornece maior grau de proteção a vírus e outros códigos maliciosos.</w:t>
      </w:r>
    </w:p>
    <w:p w14:paraId="5036D680" w14:textId="77777777" w:rsidR="00A41DBB" w:rsidRPr="00252D7B" w:rsidRDefault="00A41DBB" w:rsidP="00A41DBB">
      <w:pPr>
        <w:spacing w:before="120" w:after="120"/>
        <w:jc w:val="both"/>
        <w:rPr>
          <w:rFonts w:asciiTheme="minorHAnsi" w:hAnsiTheme="minorHAnsi" w:cstheme="minorHAnsi"/>
          <w:color w:val="202124"/>
          <w:sz w:val="24"/>
          <w:szCs w:val="24"/>
        </w:rPr>
      </w:pPr>
      <w:r w:rsidRPr="00252D7B">
        <w:rPr>
          <w:rFonts w:asciiTheme="minorHAnsi" w:hAnsiTheme="minorHAnsi" w:cstheme="minorHAnsi"/>
          <w:sz w:val="24"/>
          <w:szCs w:val="24"/>
          <w:lang w:eastAsia="pt-BR"/>
        </w:rPr>
        <w:t>Nesse sentido, para estar em conformidade com as políticas internas da Valec foi contratado software Cloud Access Security Broker que monitora usuários e aplica as políticas de segurança definidas pela Valec, implementando a funcionalidade de prevenção de perda de dados (DLP).</w:t>
      </w:r>
    </w:p>
    <w:p w14:paraId="62CFCA02" w14:textId="77777777" w:rsidR="00A41DBB" w:rsidRPr="00252D7B" w:rsidRDefault="00A41DBB" w:rsidP="00A41DBB">
      <w:pPr>
        <w:spacing w:before="120" w:after="120"/>
        <w:jc w:val="both"/>
        <w:rPr>
          <w:rFonts w:asciiTheme="minorHAnsi" w:hAnsiTheme="minorHAnsi" w:cstheme="minorHAnsi"/>
          <w:sz w:val="24"/>
          <w:szCs w:val="24"/>
          <w:lang w:eastAsia="pt-BR"/>
        </w:rPr>
      </w:pPr>
      <w:r w:rsidRPr="00252D7B">
        <w:rPr>
          <w:rFonts w:asciiTheme="minorHAnsi" w:hAnsiTheme="minorHAnsi" w:cstheme="minorHAnsi"/>
          <w:sz w:val="24"/>
          <w:szCs w:val="24"/>
          <w:lang w:eastAsia="pt-BR"/>
        </w:rPr>
        <w:t>Ainda em relação à Segurança da Informação, foi instituído o Grupo de Trabalho de Adequação da Valec à LGPD bem como foi implantada a Política de Segurança da Informação (PSI) na Valec e elaboradas as minutas iniciais das Instruções Normativas vinculadas ao PSI.</w:t>
      </w:r>
    </w:p>
    <w:p w14:paraId="5885A2F0" w14:textId="2DE068BB" w:rsidR="00A41DBB" w:rsidRPr="00252D7B" w:rsidRDefault="00A41DBB" w:rsidP="001D433A">
      <w:pPr>
        <w:spacing w:before="120"/>
        <w:jc w:val="both"/>
        <w:rPr>
          <w:rFonts w:asciiTheme="minorHAnsi" w:hAnsiTheme="minorHAnsi" w:cstheme="minorHAnsi"/>
          <w:sz w:val="24"/>
          <w:szCs w:val="24"/>
          <w:lang w:eastAsia="pt-BR"/>
        </w:rPr>
      </w:pPr>
    </w:p>
    <w:p w14:paraId="151E8DA0" w14:textId="77777777" w:rsidR="00CF6DA7" w:rsidRPr="00252D7B" w:rsidRDefault="00CF6DA7" w:rsidP="001D433A">
      <w:pPr>
        <w:spacing w:before="120"/>
        <w:jc w:val="both"/>
        <w:rPr>
          <w:rFonts w:asciiTheme="minorHAnsi" w:hAnsiTheme="minorHAnsi" w:cstheme="minorHAnsi"/>
          <w:sz w:val="24"/>
          <w:szCs w:val="24"/>
          <w:lang w:eastAsia="pt-BR"/>
        </w:rPr>
      </w:pPr>
    </w:p>
    <w:p w14:paraId="19C8C6D4" w14:textId="77777777" w:rsidR="00A41DBB" w:rsidRPr="00252D7B" w:rsidRDefault="00A41DBB" w:rsidP="00A41DBB">
      <w:pPr>
        <w:pStyle w:val="Ttulo3"/>
        <w:spacing w:before="120" w:after="120"/>
        <w:rPr>
          <w:rFonts w:asciiTheme="minorHAnsi" w:hAnsiTheme="minorHAnsi" w:cstheme="minorHAnsi"/>
        </w:rPr>
      </w:pPr>
      <w:bookmarkStart w:id="473" w:name="_Toc95906820"/>
      <w:bookmarkStart w:id="474" w:name="_Toc97215869"/>
      <w:bookmarkStart w:id="475" w:name="_Toc103680594"/>
      <w:bookmarkEnd w:id="471"/>
      <w:bookmarkEnd w:id="472"/>
      <w:r w:rsidRPr="00252D7B">
        <w:rPr>
          <w:rFonts w:asciiTheme="minorHAnsi" w:hAnsiTheme="minorHAnsi" w:cstheme="minorHAnsi"/>
        </w:rPr>
        <w:t>Principais metas não alcançadas, principais desafios, ações e perspectivas para os próximos exercícios</w:t>
      </w:r>
      <w:bookmarkEnd w:id="473"/>
      <w:bookmarkEnd w:id="474"/>
      <w:bookmarkEnd w:id="475"/>
    </w:p>
    <w:p w14:paraId="46806D3C" w14:textId="77777777" w:rsidR="00A41DBB" w:rsidRPr="00252D7B" w:rsidRDefault="00A41DBB" w:rsidP="001D433A">
      <w:pPr>
        <w:spacing w:before="120"/>
        <w:jc w:val="both"/>
        <w:rPr>
          <w:rFonts w:asciiTheme="minorHAnsi" w:hAnsiTheme="minorHAnsi" w:cstheme="minorHAnsi"/>
          <w:sz w:val="24"/>
          <w:szCs w:val="24"/>
          <w:lang w:eastAsia="pt-BR"/>
        </w:rPr>
      </w:pPr>
    </w:p>
    <w:p w14:paraId="47EB75CE" w14:textId="77777777" w:rsidR="00A41DBB" w:rsidRPr="00252D7B" w:rsidRDefault="00A41DBB" w:rsidP="00A41DBB">
      <w:pPr>
        <w:pStyle w:val="Ttulo4"/>
        <w:spacing w:before="120"/>
        <w:rPr>
          <w:rFonts w:asciiTheme="minorHAnsi" w:hAnsiTheme="minorHAnsi" w:cstheme="minorHAnsi"/>
        </w:rPr>
      </w:pPr>
      <w:bookmarkStart w:id="476" w:name="_Toc97215870"/>
      <w:bookmarkStart w:id="477" w:name="_Toc103680595"/>
      <w:r w:rsidRPr="00252D7B">
        <w:rPr>
          <w:rFonts w:asciiTheme="minorHAnsi" w:hAnsiTheme="minorHAnsi" w:cstheme="minorHAnsi"/>
        </w:rPr>
        <w:t>Metas não alcançadas</w:t>
      </w:r>
      <w:bookmarkEnd w:id="476"/>
      <w:bookmarkEnd w:id="477"/>
    </w:p>
    <w:p w14:paraId="2F1345F7" w14:textId="582DD3AC" w:rsidR="00A41DBB" w:rsidRPr="00252D7B" w:rsidRDefault="00A41DBB" w:rsidP="00F13FD8">
      <w:pPr>
        <w:spacing w:before="120" w:after="120"/>
        <w:jc w:val="both"/>
        <w:rPr>
          <w:rFonts w:asciiTheme="minorHAnsi" w:hAnsiTheme="minorHAnsi" w:cstheme="minorHAnsi"/>
          <w:sz w:val="24"/>
          <w:szCs w:val="24"/>
          <w:lang w:eastAsia="pt-BR"/>
        </w:rPr>
      </w:pPr>
      <w:r w:rsidRPr="00252D7B">
        <w:rPr>
          <w:rFonts w:asciiTheme="minorHAnsi" w:hAnsiTheme="minorHAnsi" w:cstheme="minorHAnsi"/>
          <w:sz w:val="24"/>
          <w:szCs w:val="24"/>
          <w:lang w:eastAsia="pt-BR"/>
        </w:rPr>
        <w:t>O relatório de resultados do PDTI 2019 – 2021 mostra o cumprimento parcial de metas da SUPTI</w:t>
      </w:r>
      <w:r w:rsidR="008B0ADD" w:rsidRPr="00252D7B">
        <w:rPr>
          <w:rFonts w:asciiTheme="minorHAnsi" w:hAnsiTheme="minorHAnsi" w:cstheme="minorHAnsi"/>
          <w:sz w:val="24"/>
          <w:szCs w:val="24"/>
          <w:lang w:eastAsia="pt-BR"/>
        </w:rPr>
        <w:t xml:space="preserve"> (</w:t>
      </w:r>
      <w:r w:rsidR="003C0AD2" w:rsidRPr="00252D7B">
        <w:rPr>
          <w:rFonts w:asciiTheme="minorHAnsi" w:hAnsiTheme="minorHAnsi" w:cstheme="minorHAnsi"/>
          <w:sz w:val="24"/>
          <w:szCs w:val="24"/>
          <w:lang w:eastAsia="pt-BR"/>
        </w:rPr>
        <w:fldChar w:fldCharType="begin"/>
      </w:r>
      <w:r w:rsidR="003C0AD2" w:rsidRPr="00252D7B">
        <w:rPr>
          <w:rFonts w:asciiTheme="minorHAnsi" w:hAnsiTheme="minorHAnsi" w:cstheme="minorHAnsi"/>
          <w:sz w:val="24"/>
          <w:szCs w:val="24"/>
          <w:lang w:eastAsia="pt-BR"/>
        </w:rPr>
        <w:instrText xml:space="preserve"> REF _Ref97559618 \h  \* MERGEFORMAT </w:instrText>
      </w:r>
      <w:r w:rsidR="003C0AD2" w:rsidRPr="00252D7B">
        <w:rPr>
          <w:rFonts w:asciiTheme="minorHAnsi" w:hAnsiTheme="minorHAnsi" w:cstheme="minorHAnsi"/>
          <w:sz w:val="24"/>
          <w:szCs w:val="24"/>
          <w:lang w:eastAsia="pt-BR"/>
        </w:rPr>
      </w:r>
      <w:r w:rsidR="003C0AD2" w:rsidRPr="00252D7B">
        <w:rPr>
          <w:rFonts w:asciiTheme="minorHAnsi" w:hAnsiTheme="minorHAnsi" w:cstheme="minorHAnsi"/>
          <w:sz w:val="24"/>
          <w:szCs w:val="24"/>
          <w:lang w:eastAsia="pt-BR"/>
        </w:rPr>
        <w:fldChar w:fldCharType="separate"/>
      </w:r>
      <w:r w:rsidR="00C12888" w:rsidRPr="00C12888">
        <w:rPr>
          <w:rFonts w:asciiTheme="minorHAnsi" w:hAnsiTheme="minorHAnsi" w:cstheme="minorHAnsi"/>
          <w:sz w:val="24"/>
          <w:szCs w:val="24"/>
          <w:lang w:eastAsia="pt-BR"/>
        </w:rPr>
        <w:t>Tabela 23</w:t>
      </w:r>
      <w:r w:rsidR="003C0AD2" w:rsidRPr="00252D7B">
        <w:rPr>
          <w:rFonts w:asciiTheme="minorHAnsi" w:hAnsiTheme="minorHAnsi" w:cstheme="minorHAnsi"/>
          <w:sz w:val="24"/>
          <w:szCs w:val="24"/>
          <w:lang w:eastAsia="pt-BR"/>
        </w:rPr>
        <w:fldChar w:fldCharType="end"/>
      </w:r>
      <w:r w:rsidR="003C0AD2" w:rsidRPr="00252D7B">
        <w:rPr>
          <w:rFonts w:asciiTheme="minorHAnsi" w:hAnsiTheme="minorHAnsi" w:cstheme="minorHAnsi"/>
          <w:sz w:val="24"/>
          <w:szCs w:val="24"/>
          <w:lang w:eastAsia="pt-BR"/>
        </w:rPr>
        <w:t xml:space="preserve"> e </w:t>
      </w:r>
      <w:r w:rsidR="003C0AD2" w:rsidRPr="00252D7B">
        <w:rPr>
          <w:rFonts w:asciiTheme="minorHAnsi" w:hAnsiTheme="minorHAnsi" w:cstheme="minorHAnsi"/>
          <w:sz w:val="24"/>
          <w:szCs w:val="24"/>
          <w:lang w:eastAsia="pt-BR"/>
        </w:rPr>
        <w:fldChar w:fldCharType="begin"/>
      </w:r>
      <w:r w:rsidR="003C0AD2" w:rsidRPr="00252D7B">
        <w:rPr>
          <w:rFonts w:asciiTheme="minorHAnsi" w:hAnsiTheme="minorHAnsi" w:cstheme="minorHAnsi"/>
          <w:sz w:val="24"/>
          <w:szCs w:val="24"/>
          <w:lang w:eastAsia="pt-BR"/>
        </w:rPr>
        <w:instrText xml:space="preserve"> REF _Ref97559634 \h  \* MERGEFORMAT </w:instrText>
      </w:r>
      <w:r w:rsidR="003C0AD2" w:rsidRPr="00252D7B">
        <w:rPr>
          <w:rFonts w:asciiTheme="minorHAnsi" w:hAnsiTheme="minorHAnsi" w:cstheme="minorHAnsi"/>
          <w:sz w:val="24"/>
          <w:szCs w:val="24"/>
          <w:lang w:eastAsia="pt-BR"/>
        </w:rPr>
      </w:r>
      <w:r w:rsidR="003C0AD2" w:rsidRPr="00252D7B">
        <w:rPr>
          <w:rFonts w:asciiTheme="minorHAnsi" w:hAnsiTheme="minorHAnsi" w:cstheme="minorHAnsi"/>
          <w:sz w:val="24"/>
          <w:szCs w:val="24"/>
          <w:lang w:eastAsia="pt-BR"/>
        </w:rPr>
        <w:fldChar w:fldCharType="separate"/>
      </w:r>
      <w:r w:rsidR="00C12888" w:rsidRPr="00C12888">
        <w:rPr>
          <w:rFonts w:asciiTheme="minorHAnsi" w:hAnsiTheme="minorHAnsi" w:cstheme="minorHAnsi"/>
          <w:sz w:val="24"/>
          <w:szCs w:val="24"/>
          <w:lang w:eastAsia="pt-BR"/>
        </w:rPr>
        <w:t>Tabela 24</w:t>
      </w:r>
      <w:r w:rsidR="003C0AD2" w:rsidRPr="00252D7B">
        <w:rPr>
          <w:rFonts w:asciiTheme="minorHAnsi" w:hAnsiTheme="minorHAnsi" w:cstheme="minorHAnsi"/>
          <w:sz w:val="24"/>
          <w:szCs w:val="24"/>
          <w:lang w:eastAsia="pt-BR"/>
        </w:rPr>
        <w:fldChar w:fldCharType="end"/>
      </w:r>
      <w:r w:rsidR="008B0ADD" w:rsidRPr="00252D7B">
        <w:rPr>
          <w:rFonts w:asciiTheme="minorHAnsi" w:hAnsiTheme="minorHAnsi" w:cstheme="minorHAnsi"/>
          <w:sz w:val="24"/>
          <w:szCs w:val="24"/>
          <w:lang w:eastAsia="pt-BR"/>
        </w:rPr>
        <w:t>)</w:t>
      </w:r>
    </w:p>
    <w:p w14:paraId="1C95DE23" w14:textId="77777777" w:rsidR="008B0ADD" w:rsidRPr="00252D7B" w:rsidRDefault="008B0ADD" w:rsidP="00F13FD8">
      <w:pPr>
        <w:spacing w:before="120" w:after="120"/>
        <w:jc w:val="both"/>
        <w:rPr>
          <w:rFonts w:asciiTheme="minorHAnsi" w:hAnsiTheme="minorHAnsi" w:cstheme="minorHAnsi"/>
          <w:sz w:val="24"/>
          <w:szCs w:val="24"/>
          <w:lang w:eastAsia="pt-BR"/>
        </w:rPr>
      </w:pPr>
    </w:p>
    <w:p w14:paraId="6DED54DE" w14:textId="432CCBF7" w:rsidR="001D433A" w:rsidRPr="00252D7B" w:rsidRDefault="001D433A" w:rsidP="000B7ED1">
      <w:pPr>
        <w:pStyle w:val="Legenda"/>
        <w:keepNext/>
        <w:spacing w:before="120" w:after="120"/>
        <w:jc w:val="center"/>
        <w:rPr>
          <w:rFonts w:asciiTheme="minorHAnsi" w:hAnsiTheme="minorHAnsi" w:cstheme="minorHAnsi"/>
          <w:sz w:val="20"/>
          <w:szCs w:val="20"/>
        </w:rPr>
      </w:pPr>
      <w:bookmarkStart w:id="478" w:name="_Ref97559618"/>
      <w:bookmarkStart w:id="479" w:name="_Toc103680685"/>
      <w:r w:rsidRPr="00252D7B">
        <w:rPr>
          <w:rFonts w:asciiTheme="minorHAnsi" w:hAnsiTheme="minorHAnsi" w:cstheme="minorHAnsi"/>
          <w:sz w:val="20"/>
          <w:szCs w:val="20"/>
        </w:rPr>
        <w:t xml:space="preserve">Tabela </w:t>
      </w:r>
      <w:r w:rsidRPr="00252D7B">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Tabela \* ARABIC </w:instrText>
      </w:r>
      <w:r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23</w:t>
      </w:r>
      <w:r w:rsidRPr="00252D7B">
        <w:rPr>
          <w:rFonts w:asciiTheme="minorHAnsi" w:hAnsiTheme="minorHAnsi" w:cstheme="minorHAnsi"/>
          <w:sz w:val="20"/>
          <w:szCs w:val="20"/>
        </w:rPr>
        <w:fldChar w:fldCharType="end"/>
      </w:r>
      <w:bookmarkEnd w:id="478"/>
      <w:r w:rsidRPr="00252D7B">
        <w:rPr>
          <w:rFonts w:asciiTheme="minorHAnsi" w:hAnsiTheme="minorHAnsi" w:cstheme="minorHAnsi"/>
          <w:sz w:val="20"/>
          <w:szCs w:val="20"/>
        </w:rPr>
        <w:t xml:space="preserve"> </w:t>
      </w:r>
      <w:r w:rsidR="00E73F64" w:rsidRPr="00252D7B">
        <w:rPr>
          <w:rFonts w:asciiTheme="minorHAnsi" w:hAnsiTheme="minorHAnsi" w:cstheme="minorHAnsi"/>
          <w:sz w:val="20"/>
          <w:szCs w:val="20"/>
        </w:rPr>
        <w:t>–</w:t>
      </w:r>
      <w:r w:rsidRPr="00252D7B">
        <w:rPr>
          <w:rFonts w:asciiTheme="minorHAnsi" w:hAnsiTheme="minorHAnsi" w:cstheme="minorHAnsi"/>
          <w:sz w:val="20"/>
          <w:szCs w:val="20"/>
        </w:rPr>
        <w:t xml:space="preserve"> Metas SUPTI atrasadas</w:t>
      </w:r>
      <w:bookmarkEnd w:id="479"/>
    </w:p>
    <w:p w14:paraId="0BB064C7" w14:textId="77777777" w:rsidR="00A41DBB" w:rsidRPr="00252D7B" w:rsidRDefault="00A41DBB" w:rsidP="002D7081">
      <w:pPr>
        <w:spacing w:before="120"/>
        <w:jc w:val="center"/>
        <w:rPr>
          <w:rFonts w:asciiTheme="minorHAnsi" w:hAnsiTheme="minorHAnsi" w:cstheme="minorHAnsi"/>
        </w:rPr>
      </w:pPr>
      <w:r w:rsidRPr="00252D7B">
        <w:rPr>
          <w:rFonts w:asciiTheme="minorHAnsi" w:hAnsiTheme="minorHAnsi" w:cstheme="minorHAnsi"/>
          <w:noProof/>
        </w:rPr>
        <w:drawing>
          <wp:inline distT="0" distB="0" distL="0" distR="0" wp14:anchorId="248EC259" wp14:editId="69069ED5">
            <wp:extent cx="6381750" cy="1022017"/>
            <wp:effectExtent l="0" t="0" r="0" b="6985"/>
            <wp:docPr id="1130522001" name="Picture 7"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descr="Interface gráfica do usuário, Texto, Aplicativo&#10;&#10;Descrição gerada automaticamente"/>
                    <pic:cNvPicPr/>
                  </pic:nvPicPr>
                  <pic:blipFill rotWithShape="1">
                    <a:blip r:embed="rId87">
                      <a:extLst>
                        <a:ext uri="{28A0092B-C50C-407E-A947-70E740481C1C}">
                          <a14:useLocalDpi xmlns:a14="http://schemas.microsoft.com/office/drawing/2010/main" val="0"/>
                        </a:ext>
                      </a:extLst>
                    </a:blip>
                    <a:srcRect l="3759" t="10867"/>
                    <a:stretch/>
                  </pic:blipFill>
                  <pic:spPr bwMode="auto">
                    <a:xfrm>
                      <a:off x="0" y="0"/>
                      <a:ext cx="6438152" cy="1031050"/>
                    </a:xfrm>
                    <a:prstGeom prst="rect">
                      <a:avLst/>
                    </a:prstGeom>
                    <a:ln>
                      <a:noFill/>
                    </a:ln>
                    <a:extLst>
                      <a:ext uri="{53640926-AAD7-44D8-BBD7-CCE9431645EC}">
                        <a14:shadowObscured xmlns:a14="http://schemas.microsoft.com/office/drawing/2010/main"/>
                      </a:ext>
                    </a:extLst>
                  </pic:spPr>
                </pic:pic>
              </a:graphicData>
            </a:graphic>
          </wp:inline>
        </w:drawing>
      </w:r>
    </w:p>
    <w:p w14:paraId="4E64F873" w14:textId="77777777" w:rsidR="00A41DBB" w:rsidRPr="00252D7B" w:rsidRDefault="00A41DBB" w:rsidP="001D433A">
      <w:pPr>
        <w:spacing w:before="120"/>
        <w:jc w:val="both"/>
        <w:rPr>
          <w:rFonts w:asciiTheme="minorHAnsi" w:hAnsiTheme="minorHAnsi" w:cstheme="minorHAnsi"/>
          <w:sz w:val="18"/>
          <w:szCs w:val="18"/>
          <w:lang w:eastAsia="pt-BR"/>
        </w:rPr>
      </w:pPr>
      <w:r w:rsidRPr="00252D7B">
        <w:rPr>
          <w:rFonts w:asciiTheme="minorHAnsi" w:hAnsiTheme="minorHAnsi" w:cstheme="minorHAnsi"/>
          <w:sz w:val="24"/>
          <w:szCs w:val="24"/>
          <w:lang w:eastAsia="pt-BR"/>
        </w:rPr>
        <w:t xml:space="preserve"> </w:t>
      </w:r>
    </w:p>
    <w:p w14:paraId="33EBC330" w14:textId="155B0FB5" w:rsidR="000B7ED1" w:rsidRPr="00252D7B" w:rsidRDefault="000B7ED1" w:rsidP="000B7ED1">
      <w:pPr>
        <w:pStyle w:val="Legenda"/>
        <w:keepNext/>
        <w:spacing w:before="120" w:after="120"/>
        <w:jc w:val="center"/>
        <w:rPr>
          <w:rFonts w:asciiTheme="minorHAnsi" w:hAnsiTheme="minorHAnsi" w:cstheme="minorHAnsi"/>
          <w:sz w:val="20"/>
          <w:szCs w:val="20"/>
        </w:rPr>
      </w:pPr>
      <w:bookmarkStart w:id="480" w:name="_Ref97559634"/>
      <w:bookmarkStart w:id="481" w:name="_Toc103680686"/>
      <w:r w:rsidRPr="00252D7B">
        <w:rPr>
          <w:rFonts w:asciiTheme="minorHAnsi" w:hAnsiTheme="minorHAnsi" w:cstheme="minorHAnsi"/>
          <w:sz w:val="20"/>
          <w:szCs w:val="20"/>
        </w:rPr>
        <w:t xml:space="preserve">Tabela </w:t>
      </w:r>
      <w:r w:rsidRPr="00252D7B">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Tabela \* ARABIC </w:instrText>
      </w:r>
      <w:r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24</w:t>
      </w:r>
      <w:r w:rsidRPr="00252D7B">
        <w:rPr>
          <w:rFonts w:asciiTheme="minorHAnsi" w:hAnsiTheme="minorHAnsi" w:cstheme="minorHAnsi"/>
          <w:sz w:val="20"/>
          <w:szCs w:val="20"/>
        </w:rPr>
        <w:fldChar w:fldCharType="end"/>
      </w:r>
      <w:bookmarkEnd w:id="480"/>
      <w:r w:rsidRPr="00252D7B">
        <w:rPr>
          <w:rFonts w:asciiTheme="minorHAnsi" w:hAnsiTheme="minorHAnsi" w:cstheme="minorHAnsi"/>
          <w:sz w:val="20"/>
          <w:szCs w:val="20"/>
        </w:rPr>
        <w:t xml:space="preserve"> </w:t>
      </w:r>
      <w:r w:rsidR="00E73F64" w:rsidRPr="00252D7B">
        <w:rPr>
          <w:rFonts w:asciiTheme="minorHAnsi" w:hAnsiTheme="minorHAnsi" w:cstheme="minorHAnsi"/>
          <w:sz w:val="20"/>
          <w:szCs w:val="20"/>
        </w:rPr>
        <w:t>–</w:t>
      </w:r>
      <w:r w:rsidRPr="00252D7B">
        <w:rPr>
          <w:rFonts w:asciiTheme="minorHAnsi" w:hAnsiTheme="minorHAnsi" w:cstheme="minorHAnsi"/>
          <w:sz w:val="20"/>
          <w:szCs w:val="20"/>
        </w:rPr>
        <w:t xml:space="preserve"> Metas SUPTI em progresso</w:t>
      </w:r>
      <w:bookmarkEnd w:id="481"/>
    </w:p>
    <w:p w14:paraId="0FBC5379" w14:textId="77777777" w:rsidR="00A41DBB" w:rsidRPr="00252D7B" w:rsidRDefault="00A41DBB" w:rsidP="000B7ED1">
      <w:pPr>
        <w:spacing w:before="120"/>
        <w:jc w:val="center"/>
        <w:rPr>
          <w:rFonts w:asciiTheme="minorHAnsi" w:hAnsiTheme="minorHAnsi" w:cstheme="minorHAnsi"/>
        </w:rPr>
      </w:pPr>
      <w:r w:rsidRPr="00252D7B">
        <w:rPr>
          <w:rFonts w:asciiTheme="minorHAnsi" w:hAnsiTheme="minorHAnsi" w:cstheme="minorHAnsi"/>
          <w:noProof/>
        </w:rPr>
        <w:drawing>
          <wp:inline distT="0" distB="0" distL="0" distR="0" wp14:anchorId="29C5BCAC" wp14:editId="1D624FEC">
            <wp:extent cx="6451573" cy="1181100"/>
            <wp:effectExtent l="0" t="0" r="6985" b="0"/>
            <wp:docPr id="2001982187" name="Picture 2001982187"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982187" name="Picture 2001982187" descr="Interface gráfica do usuário, Aplicativo&#10;&#10;Descrição gerada automaticamente"/>
                    <pic:cNvPicPr/>
                  </pic:nvPicPr>
                  <pic:blipFill rotWithShape="1">
                    <a:blip r:embed="rId88">
                      <a:extLst>
                        <a:ext uri="{28A0092B-C50C-407E-A947-70E740481C1C}">
                          <a14:useLocalDpi xmlns:a14="http://schemas.microsoft.com/office/drawing/2010/main" val="0"/>
                        </a:ext>
                      </a:extLst>
                    </a:blip>
                    <a:srcRect l="3837" t="9137"/>
                    <a:stretch/>
                  </pic:blipFill>
                  <pic:spPr bwMode="auto">
                    <a:xfrm>
                      <a:off x="0" y="0"/>
                      <a:ext cx="6459509" cy="1182553"/>
                    </a:xfrm>
                    <a:prstGeom prst="rect">
                      <a:avLst/>
                    </a:prstGeom>
                    <a:ln>
                      <a:noFill/>
                    </a:ln>
                    <a:extLst>
                      <a:ext uri="{53640926-AAD7-44D8-BBD7-CCE9431645EC}">
                        <a14:shadowObscured xmlns:a14="http://schemas.microsoft.com/office/drawing/2010/main"/>
                      </a:ext>
                    </a:extLst>
                  </pic:spPr>
                </pic:pic>
              </a:graphicData>
            </a:graphic>
          </wp:inline>
        </w:drawing>
      </w:r>
    </w:p>
    <w:p w14:paraId="1FC38B41" w14:textId="075563C4" w:rsidR="00610C91" w:rsidRPr="00252D7B" w:rsidRDefault="00610C91">
      <w:pPr>
        <w:widowControl/>
        <w:autoSpaceDE/>
        <w:autoSpaceDN/>
        <w:spacing w:after="160" w:line="259" w:lineRule="auto"/>
        <w:rPr>
          <w:rFonts w:asciiTheme="minorHAnsi" w:hAnsiTheme="minorHAnsi" w:cstheme="minorHAnsi"/>
        </w:rPr>
      </w:pPr>
      <w:r w:rsidRPr="00252D7B">
        <w:rPr>
          <w:rFonts w:asciiTheme="minorHAnsi" w:hAnsiTheme="minorHAnsi" w:cstheme="minorHAnsi"/>
        </w:rPr>
        <w:br w:type="page"/>
      </w:r>
    </w:p>
    <w:p w14:paraId="5D743911" w14:textId="77777777" w:rsidR="00A41DBB" w:rsidRPr="00252D7B" w:rsidRDefault="00A41DBB" w:rsidP="00A41DBB">
      <w:pPr>
        <w:pStyle w:val="Ttulo4"/>
        <w:spacing w:before="120"/>
        <w:rPr>
          <w:rFonts w:asciiTheme="minorHAnsi" w:hAnsiTheme="minorHAnsi" w:cstheme="minorHAnsi"/>
        </w:rPr>
      </w:pPr>
      <w:bookmarkStart w:id="482" w:name="_Toc97215871"/>
      <w:bookmarkStart w:id="483" w:name="_Toc103680596"/>
      <w:r w:rsidRPr="00252D7B">
        <w:rPr>
          <w:rFonts w:asciiTheme="minorHAnsi" w:hAnsiTheme="minorHAnsi" w:cstheme="minorHAnsi"/>
        </w:rPr>
        <w:lastRenderedPageBreak/>
        <w:t>Principais desafios, ações e perspectivas para os próximos exercícios</w:t>
      </w:r>
      <w:bookmarkEnd w:id="482"/>
      <w:bookmarkEnd w:id="483"/>
    </w:p>
    <w:p w14:paraId="4EBE341D" w14:textId="69083B60" w:rsidR="00A41DBB" w:rsidRPr="00252D7B" w:rsidRDefault="00A41DBB" w:rsidP="00A41DBB">
      <w:pPr>
        <w:spacing w:before="120" w:after="120"/>
        <w:jc w:val="both"/>
        <w:rPr>
          <w:rFonts w:asciiTheme="minorHAnsi" w:hAnsiTheme="minorHAnsi" w:cstheme="minorHAnsi"/>
          <w:sz w:val="24"/>
          <w:szCs w:val="24"/>
          <w:lang w:eastAsia="pt-BR"/>
        </w:rPr>
      </w:pPr>
      <w:r w:rsidRPr="00252D7B">
        <w:rPr>
          <w:rFonts w:asciiTheme="minorHAnsi" w:hAnsiTheme="minorHAnsi" w:cstheme="minorHAnsi"/>
          <w:sz w:val="24"/>
          <w:szCs w:val="24"/>
          <w:lang w:eastAsia="pt-BR"/>
        </w:rPr>
        <w:t xml:space="preserve">As ações inconclusas estão em análise para avaliação da continuidade e eventual reintrodução no plano de ações do Plano Diretor de Tecnologia da Informação e Comunicação, o PDTIC 2022 – 2024. </w:t>
      </w:r>
    </w:p>
    <w:p w14:paraId="71E22ECC" w14:textId="77777777" w:rsidR="00A41DBB" w:rsidRPr="00252D7B" w:rsidRDefault="00A41DBB" w:rsidP="00A41DBB">
      <w:pPr>
        <w:spacing w:before="120" w:after="120"/>
        <w:jc w:val="both"/>
        <w:rPr>
          <w:rFonts w:asciiTheme="minorHAnsi" w:hAnsiTheme="minorHAnsi" w:cstheme="minorHAnsi"/>
          <w:sz w:val="24"/>
          <w:szCs w:val="24"/>
          <w:lang w:eastAsia="pt-BR"/>
        </w:rPr>
      </w:pPr>
      <w:r w:rsidRPr="00252D7B">
        <w:rPr>
          <w:rFonts w:asciiTheme="minorHAnsi" w:hAnsiTheme="minorHAnsi" w:cstheme="minorHAnsi"/>
          <w:sz w:val="24"/>
          <w:szCs w:val="24"/>
          <w:lang w:eastAsia="pt-BR"/>
        </w:rPr>
        <w:t xml:space="preserve">O Plano Estratégico de Tecnologia da Informação e Comunicação da SUPTI, o PETIC 2022 – 2024 estabelece iniciativas vinculadas aos objetivos estratégicos de TI (e respectivos indicadores). É o primeiro Plano Estratégico de Tecnologia de Informação e Comunicação formulado pela Valec, constitui-se, portanto, do principal repositório de desafios que a SUPTI enfrentará nos próximos três anos. </w:t>
      </w:r>
    </w:p>
    <w:p w14:paraId="0D2A4864" w14:textId="6552663E" w:rsidR="00A41DBB" w:rsidRPr="00252D7B" w:rsidRDefault="00A41DBB" w:rsidP="001D433A">
      <w:pPr>
        <w:spacing w:before="120"/>
        <w:jc w:val="both"/>
        <w:rPr>
          <w:rFonts w:asciiTheme="minorHAnsi" w:hAnsiTheme="minorHAnsi" w:cstheme="minorHAnsi"/>
          <w:sz w:val="24"/>
          <w:szCs w:val="24"/>
          <w:lang w:eastAsia="pt-BR"/>
        </w:rPr>
      </w:pPr>
      <w:r w:rsidRPr="00252D7B">
        <w:rPr>
          <w:rFonts w:asciiTheme="minorHAnsi" w:hAnsiTheme="minorHAnsi" w:cstheme="minorHAnsi"/>
          <w:sz w:val="24"/>
          <w:szCs w:val="24"/>
          <w:lang w:eastAsia="pt-BR"/>
        </w:rPr>
        <w:t>Neste conjunto de desafios incluem-se os desafios de gestão e monitoramento das ações de PDTIC, providência já praticada em anos anteriores, porém com a inovação de ter, neste novo modelo, os indicadores de objetivos definidos e cadastrados para o acompanhamento da execução das ações de forma pública e transparente, conforme mostra</w:t>
      </w:r>
      <w:r w:rsidR="00B04FFA" w:rsidRPr="00252D7B">
        <w:rPr>
          <w:rFonts w:asciiTheme="minorHAnsi" w:hAnsiTheme="minorHAnsi" w:cstheme="minorHAnsi"/>
          <w:sz w:val="24"/>
          <w:szCs w:val="24"/>
          <w:lang w:eastAsia="pt-BR"/>
        </w:rPr>
        <w:t xml:space="preserve"> o </w:t>
      </w:r>
      <w:r w:rsidR="00B04FFA" w:rsidRPr="00252D7B">
        <w:rPr>
          <w:rFonts w:asciiTheme="minorHAnsi" w:hAnsiTheme="minorHAnsi" w:cstheme="minorHAnsi"/>
          <w:sz w:val="24"/>
          <w:szCs w:val="24"/>
          <w:lang w:eastAsia="pt-BR"/>
        </w:rPr>
        <w:fldChar w:fldCharType="begin"/>
      </w:r>
      <w:r w:rsidR="00B04FFA" w:rsidRPr="00252D7B">
        <w:rPr>
          <w:rFonts w:asciiTheme="minorHAnsi" w:hAnsiTheme="minorHAnsi" w:cstheme="minorHAnsi"/>
          <w:sz w:val="24"/>
          <w:szCs w:val="24"/>
          <w:lang w:eastAsia="pt-BR"/>
        </w:rPr>
        <w:instrText xml:space="preserve"> REF _Ref97562210 \h  \* MERGEFORMAT </w:instrText>
      </w:r>
      <w:r w:rsidR="00B04FFA" w:rsidRPr="00252D7B">
        <w:rPr>
          <w:rFonts w:asciiTheme="minorHAnsi" w:hAnsiTheme="minorHAnsi" w:cstheme="minorHAnsi"/>
          <w:sz w:val="24"/>
          <w:szCs w:val="24"/>
          <w:lang w:eastAsia="pt-BR"/>
        </w:rPr>
      </w:r>
      <w:r w:rsidR="00B04FFA" w:rsidRPr="00252D7B">
        <w:rPr>
          <w:rFonts w:asciiTheme="minorHAnsi" w:hAnsiTheme="minorHAnsi" w:cstheme="minorHAnsi"/>
          <w:sz w:val="24"/>
          <w:szCs w:val="24"/>
          <w:lang w:eastAsia="pt-BR"/>
        </w:rPr>
        <w:fldChar w:fldCharType="separate"/>
      </w:r>
      <w:r w:rsidR="00C12888" w:rsidRPr="00C12888">
        <w:rPr>
          <w:rFonts w:asciiTheme="minorHAnsi" w:hAnsiTheme="minorHAnsi" w:cstheme="minorHAnsi"/>
          <w:sz w:val="24"/>
          <w:szCs w:val="24"/>
          <w:lang w:eastAsia="pt-BR"/>
        </w:rPr>
        <w:t>Quadro 7</w:t>
      </w:r>
      <w:r w:rsidR="00B04FFA" w:rsidRPr="00252D7B">
        <w:rPr>
          <w:rFonts w:asciiTheme="minorHAnsi" w:hAnsiTheme="minorHAnsi" w:cstheme="minorHAnsi"/>
          <w:sz w:val="24"/>
          <w:szCs w:val="24"/>
          <w:lang w:eastAsia="pt-BR"/>
        </w:rPr>
        <w:fldChar w:fldCharType="end"/>
      </w:r>
      <w:r w:rsidR="00B04FFA" w:rsidRPr="00252D7B">
        <w:rPr>
          <w:rFonts w:asciiTheme="minorHAnsi" w:hAnsiTheme="minorHAnsi" w:cstheme="minorHAnsi"/>
          <w:sz w:val="24"/>
          <w:szCs w:val="24"/>
          <w:lang w:eastAsia="pt-BR"/>
        </w:rPr>
        <w:t>.</w:t>
      </w:r>
    </w:p>
    <w:p w14:paraId="2A27D69B" w14:textId="77777777" w:rsidR="00A41DBB" w:rsidRPr="00252D7B" w:rsidRDefault="00A41DBB" w:rsidP="001D433A">
      <w:pPr>
        <w:jc w:val="both"/>
        <w:rPr>
          <w:rFonts w:asciiTheme="minorHAnsi" w:hAnsiTheme="minorHAnsi" w:cstheme="minorHAnsi"/>
          <w:lang w:eastAsia="pt-BR"/>
        </w:rPr>
      </w:pPr>
    </w:p>
    <w:p w14:paraId="1F8D7F0D" w14:textId="4689B657" w:rsidR="000B7ED1" w:rsidRPr="00252D7B" w:rsidRDefault="00B04FFA" w:rsidP="00B04FFA">
      <w:pPr>
        <w:pStyle w:val="Legenda"/>
        <w:jc w:val="center"/>
        <w:rPr>
          <w:rFonts w:asciiTheme="minorHAnsi" w:hAnsiTheme="minorHAnsi" w:cstheme="minorHAnsi"/>
          <w:sz w:val="20"/>
          <w:szCs w:val="20"/>
        </w:rPr>
      </w:pPr>
      <w:bookmarkStart w:id="484" w:name="_Ref97562210"/>
      <w:bookmarkStart w:id="485" w:name="_Toc103680726"/>
      <w:r w:rsidRPr="00252D7B">
        <w:rPr>
          <w:rFonts w:asciiTheme="minorHAnsi" w:hAnsiTheme="minorHAnsi" w:cstheme="minorHAnsi"/>
          <w:sz w:val="20"/>
          <w:szCs w:val="20"/>
        </w:rPr>
        <w:t xml:space="preserve">Quadro </w:t>
      </w:r>
      <w:r w:rsidRPr="00252D7B">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Quadro \* ARABIC </w:instrText>
      </w:r>
      <w:r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7</w:t>
      </w:r>
      <w:r w:rsidRPr="00252D7B">
        <w:rPr>
          <w:rFonts w:asciiTheme="minorHAnsi" w:hAnsiTheme="minorHAnsi" w:cstheme="minorHAnsi"/>
          <w:sz w:val="20"/>
          <w:szCs w:val="20"/>
        </w:rPr>
        <w:fldChar w:fldCharType="end"/>
      </w:r>
      <w:bookmarkEnd w:id="484"/>
      <w:r w:rsidRPr="00252D7B">
        <w:rPr>
          <w:rFonts w:asciiTheme="minorHAnsi" w:hAnsiTheme="minorHAnsi" w:cstheme="minorHAnsi"/>
          <w:sz w:val="20"/>
          <w:szCs w:val="20"/>
        </w:rPr>
        <w:t xml:space="preserve"> </w:t>
      </w:r>
      <w:r w:rsidR="00E73F64" w:rsidRPr="00252D7B">
        <w:rPr>
          <w:rFonts w:asciiTheme="minorHAnsi" w:hAnsiTheme="minorHAnsi" w:cstheme="minorHAnsi"/>
          <w:sz w:val="20"/>
          <w:szCs w:val="20"/>
        </w:rPr>
        <w:t>–</w:t>
      </w:r>
      <w:r w:rsidR="000B7ED1" w:rsidRPr="00252D7B">
        <w:rPr>
          <w:rFonts w:asciiTheme="minorHAnsi" w:hAnsiTheme="minorHAnsi" w:cstheme="minorHAnsi"/>
          <w:sz w:val="20"/>
          <w:szCs w:val="20"/>
        </w:rPr>
        <w:t xml:space="preserve"> Objetivos estratégicos de TIC e respectivas inciativas para o período 2022 </w:t>
      </w:r>
      <w:r w:rsidR="002D7081" w:rsidRPr="00252D7B">
        <w:rPr>
          <w:rFonts w:asciiTheme="minorHAnsi" w:hAnsiTheme="minorHAnsi" w:cstheme="minorHAnsi"/>
          <w:sz w:val="20"/>
          <w:szCs w:val="20"/>
        </w:rPr>
        <w:t>–</w:t>
      </w:r>
      <w:r w:rsidR="000B7ED1" w:rsidRPr="00252D7B">
        <w:rPr>
          <w:rFonts w:asciiTheme="minorHAnsi" w:hAnsiTheme="minorHAnsi" w:cstheme="minorHAnsi"/>
          <w:sz w:val="20"/>
          <w:szCs w:val="20"/>
        </w:rPr>
        <w:t xml:space="preserve"> 2024</w:t>
      </w:r>
      <w:bookmarkEnd w:id="485"/>
    </w:p>
    <w:tbl>
      <w:tblPr>
        <w:tblStyle w:val="Tabelacomgrade10"/>
        <w:tblW w:w="9497" w:type="dxa"/>
        <w:tblInd w:w="137" w:type="dxa"/>
        <w:tblLayout w:type="fixed"/>
        <w:tblLook w:val="06A0" w:firstRow="1" w:lastRow="0" w:firstColumn="1" w:lastColumn="0" w:noHBand="1" w:noVBand="1"/>
      </w:tblPr>
      <w:tblGrid>
        <w:gridCol w:w="2140"/>
        <w:gridCol w:w="6082"/>
        <w:gridCol w:w="1275"/>
      </w:tblGrid>
      <w:tr w:rsidR="00A41DBB" w:rsidRPr="00252D7B" w14:paraId="1C59D837" w14:textId="77777777" w:rsidTr="004102C9">
        <w:trPr>
          <w:trHeight w:val="285"/>
          <w:tblHeader/>
        </w:trPr>
        <w:tc>
          <w:tcPr>
            <w:tcW w:w="2140" w:type="dxa"/>
            <w:shd w:val="clear" w:color="auto" w:fill="D9D9D9"/>
            <w:vAlign w:val="center"/>
          </w:tcPr>
          <w:p w14:paraId="7DBB755D" w14:textId="77777777" w:rsidR="00A41DBB" w:rsidRPr="00252D7B" w:rsidRDefault="00A41DBB" w:rsidP="00E03684">
            <w:pPr>
              <w:spacing w:before="120" w:after="120"/>
              <w:jc w:val="center"/>
              <w:rPr>
                <w:rFonts w:asciiTheme="minorHAnsi" w:hAnsiTheme="minorHAnsi" w:cstheme="minorHAnsi"/>
              </w:rPr>
            </w:pPr>
            <w:r w:rsidRPr="00252D7B">
              <w:rPr>
                <w:rFonts w:asciiTheme="minorHAnsi" w:hAnsiTheme="minorHAnsi" w:cstheme="minorHAnsi"/>
                <w:b/>
              </w:rPr>
              <w:t>Objetivo Estratégico de TIC</w:t>
            </w:r>
          </w:p>
        </w:tc>
        <w:tc>
          <w:tcPr>
            <w:tcW w:w="6082" w:type="dxa"/>
            <w:shd w:val="clear" w:color="auto" w:fill="D9D9D9"/>
            <w:vAlign w:val="center"/>
          </w:tcPr>
          <w:p w14:paraId="1B925F62" w14:textId="77777777" w:rsidR="00A41DBB" w:rsidRPr="00252D7B" w:rsidRDefault="00A41DBB" w:rsidP="00E03684">
            <w:pPr>
              <w:spacing w:before="120" w:after="120"/>
              <w:jc w:val="center"/>
              <w:rPr>
                <w:rFonts w:asciiTheme="minorHAnsi" w:hAnsiTheme="minorHAnsi" w:cstheme="minorHAnsi"/>
              </w:rPr>
            </w:pPr>
            <w:r w:rsidRPr="00252D7B">
              <w:rPr>
                <w:rFonts w:asciiTheme="minorHAnsi" w:hAnsiTheme="minorHAnsi" w:cstheme="minorHAnsi"/>
                <w:b/>
              </w:rPr>
              <w:t>Iniciativas Estratégicas 2022-2024</w:t>
            </w:r>
          </w:p>
        </w:tc>
        <w:tc>
          <w:tcPr>
            <w:tcW w:w="1275" w:type="dxa"/>
            <w:shd w:val="clear" w:color="auto" w:fill="D9D9D9"/>
            <w:vAlign w:val="center"/>
          </w:tcPr>
          <w:p w14:paraId="5961E9F9" w14:textId="77777777" w:rsidR="00A41DBB" w:rsidRPr="00252D7B" w:rsidRDefault="00A41DBB" w:rsidP="00E03684">
            <w:pPr>
              <w:spacing w:before="120" w:after="120"/>
              <w:jc w:val="center"/>
              <w:rPr>
                <w:rFonts w:asciiTheme="minorHAnsi" w:hAnsiTheme="minorHAnsi" w:cstheme="minorHAnsi"/>
              </w:rPr>
            </w:pPr>
            <w:r w:rsidRPr="00252D7B">
              <w:rPr>
                <w:rFonts w:asciiTheme="minorHAnsi" w:hAnsiTheme="minorHAnsi" w:cstheme="minorHAnsi"/>
                <w:b/>
              </w:rPr>
              <w:t>Responsável</w:t>
            </w:r>
          </w:p>
        </w:tc>
      </w:tr>
      <w:tr w:rsidR="00A41DBB" w:rsidRPr="00252D7B" w14:paraId="2C523CA8" w14:textId="77777777" w:rsidTr="00E03684">
        <w:tc>
          <w:tcPr>
            <w:tcW w:w="2140" w:type="dxa"/>
            <w:vMerge w:val="restart"/>
            <w:vAlign w:val="center"/>
          </w:tcPr>
          <w:p w14:paraId="3DC878E4"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 xml:space="preserve">OETIC 01: Aprimorar continuamente a experiência do serviço prestado aos usuários. </w:t>
            </w:r>
          </w:p>
        </w:tc>
        <w:tc>
          <w:tcPr>
            <w:tcW w:w="6082" w:type="dxa"/>
            <w:vAlign w:val="center"/>
          </w:tcPr>
          <w:p w14:paraId="4ED2A489"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Manutenção da infraestrutura tecnológica da Valec com os requisitos necessários para sustentar todas as camadas que compõem a experiência do usuário</w:t>
            </w:r>
          </w:p>
        </w:tc>
        <w:tc>
          <w:tcPr>
            <w:tcW w:w="1275" w:type="dxa"/>
            <w:vAlign w:val="center"/>
          </w:tcPr>
          <w:p w14:paraId="01FEF038"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GEINF</w:t>
            </w:r>
          </w:p>
        </w:tc>
      </w:tr>
      <w:tr w:rsidR="00A41DBB" w:rsidRPr="00252D7B" w14:paraId="4601E79C" w14:textId="77777777" w:rsidTr="00E03684">
        <w:tc>
          <w:tcPr>
            <w:tcW w:w="2140" w:type="dxa"/>
            <w:vMerge/>
            <w:vAlign w:val="center"/>
          </w:tcPr>
          <w:p w14:paraId="69EDC83B" w14:textId="77777777" w:rsidR="00A41DBB" w:rsidRPr="00252D7B" w:rsidRDefault="00A41DBB" w:rsidP="00E03684">
            <w:pPr>
              <w:spacing w:before="120" w:after="120"/>
              <w:rPr>
                <w:rFonts w:asciiTheme="minorHAnsi" w:hAnsiTheme="minorHAnsi" w:cstheme="minorHAnsi"/>
              </w:rPr>
            </w:pPr>
          </w:p>
        </w:tc>
        <w:tc>
          <w:tcPr>
            <w:tcW w:w="6082" w:type="dxa"/>
            <w:vAlign w:val="center"/>
          </w:tcPr>
          <w:p w14:paraId="6227700D"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Novo site da Valec</w:t>
            </w:r>
          </w:p>
        </w:tc>
        <w:tc>
          <w:tcPr>
            <w:tcW w:w="1275" w:type="dxa"/>
            <w:vAlign w:val="center"/>
          </w:tcPr>
          <w:p w14:paraId="1E027CCA"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GESIS</w:t>
            </w:r>
          </w:p>
          <w:p w14:paraId="607A1198"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GEINF</w:t>
            </w:r>
          </w:p>
        </w:tc>
      </w:tr>
      <w:tr w:rsidR="00A41DBB" w:rsidRPr="00252D7B" w14:paraId="075472C6" w14:textId="77777777" w:rsidTr="00E03684">
        <w:tc>
          <w:tcPr>
            <w:tcW w:w="2140" w:type="dxa"/>
            <w:vMerge/>
            <w:vAlign w:val="center"/>
          </w:tcPr>
          <w:p w14:paraId="521F1B05" w14:textId="77777777" w:rsidR="00A41DBB" w:rsidRPr="00252D7B" w:rsidRDefault="00A41DBB" w:rsidP="00E03684">
            <w:pPr>
              <w:spacing w:before="120" w:after="120"/>
              <w:rPr>
                <w:rFonts w:asciiTheme="minorHAnsi" w:hAnsiTheme="minorHAnsi" w:cstheme="minorHAnsi"/>
              </w:rPr>
            </w:pPr>
          </w:p>
        </w:tc>
        <w:tc>
          <w:tcPr>
            <w:tcW w:w="6082" w:type="dxa"/>
            <w:vAlign w:val="center"/>
          </w:tcPr>
          <w:p w14:paraId="0E5C765F"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Gestão da usabilidade dos sistemas</w:t>
            </w:r>
          </w:p>
        </w:tc>
        <w:tc>
          <w:tcPr>
            <w:tcW w:w="1275" w:type="dxa"/>
            <w:vAlign w:val="center"/>
          </w:tcPr>
          <w:p w14:paraId="0C35CF0A"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GESIS</w:t>
            </w:r>
          </w:p>
        </w:tc>
      </w:tr>
      <w:tr w:rsidR="00A41DBB" w:rsidRPr="00252D7B" w14:paraId="62FF1CFE" w14:textId="77777777" w:rsidTr="00E03684">
        <w:tc>
          <w:tcPr>
            <w:tcW w:w="2140" w:type="dxa"/>
            <w:vMerge/>
            <w:vAlign w:val="center"/>
          </w:tcPr>
          <w:p w14:paraId="4DC3DBFD" w14:textId="77777777" w:rsidR="00A41DBB" w:rsidRPr="00252D7B" w:rsidRDefault="00A41DBB" w:rsidP="00E03684">
            <w:pPr>
              <w:spacing w:before="120" w:after="120"/>
              <w:rPr>
                <w:rFonts w:asciiTheme="minorHAnsi" w:hAnsiTheme="minorHAnsi" w:cstheme="minorHAnsi"/>
              </w:rPr>
            </w:pPr>
          </w:p>
        </w:tc>
        <w:tc>
          <w:tcPr>
            <w:tcW w:w="6082" w:type="dxa"/>
            <w:vAlign w:val="center"/>
          </w:tcPr>
          <w:p w14:paraId="6DDB4C61"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Elaboração de manuais de uso dos sistemas</w:t>
            </w:r>
          </w:p>
        </w:tc>
        <w:tc>
          <w:tcPr>
            <w:tcW w:w="1275" w:type="dxa"/>
            <w:vAlign w:val="center"/>
          </w:tcPr>
          <w:p w14:paraId="110E0C6B"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GESIS</w:t>
            </w:r>
          </w:p>
        </w:tc>
      </w:tr>
      <w:tr w:rsidR="00A41DBB" w:rsidRPr="00252D7B" w14:paraId="75EF84FD" w14:textId="77777777" w:rsidTr="00E03684">
        <w:tc>
          <w:tcPr>
            <w:tcW w:w="2140" w:type="dxa"/>
            <w:vMerge w:val="restart"/>
            <w:vAlign w:val="center"/>
          </w:tcPr>
          <w:p w14:paraId="700817FC"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 xml:space="preserve">OETIC 02: Expandir a prestação de serviços digitais. </w:t>
            </w:r>
          </w:p>
        </w:tc>
        <w:tc>
          <w:tcPr>
            <w:tcW w:w="6082" w:type="dxa"/>
            <w:vAlign w:val="center"/>
          </w:tcPr>
          <w:p w14:paraId="018D04FA"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Disponibilização de serviços mobile</w:t>
            </w:r>
          </w:p>
        </w:tc>
        <w:tc>
          <w:tcPr>
            <w:tcW w:w="1275" w:type="dxa"/>
            <w:vAlign w:val="center"/>
          </w:tcPr>
          <w:p w14:paraId="1A04A9FD"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GESIS</w:t>
            </w:r>
          </w:p>
          <w:p w14:paraId="3FFA071C"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GEINF</w:t>
            </w:r>
          </w:p>
        </w:tc>
      </w:tr>
      <w:tr w:rsidR="00A41DBB" w:rsidRPr="00252D7B" w14:paraId="001CAC8C" w14:textId="77777777" w:rsidTr="00E03684">
        <w:tc>
          <w:tcPr>
            <w:tcW w:w="2140" w:type="dxa"/>
            <w:vMerge/>
            <w:vAlign w:val="center"/>
          </w:tcPr>
          <w:p w14:paraId="00CDCEE8" w14:textId="77777777" w:rsidR="00A41DBB" w:rsidRPr="00252D7B" w:rsidRDefault="00A41DBB" w:rsidP="00E03684">
            <w:pPr>
              <w:spacing w:before="120" w:after="120"/>
              <w:rPr>
                <w:rFonts w:asciiTheme="minorHAnsi" w:hAnsiTheme="minorHAnsi" w:cstheme="minorHAnsi"/>
              </w:rPr>
            </w:pPr>
          </w:p>
        </w:tc>
        <w:tc>
          <w:tcPr>
            <w:tcW w:w="6082" w:type="dxa"/>
            <w:vAlign w:val="center"/>
          </w:tcPr>
          <w:p w14:paraId="72874A75"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Intensificar o diálogo com as áreas finalísticas para criação de mecanismos que aumentem a efetividade da geração de benefícios para a sociedade brasileira por meio da expansão do acesso às informações governamentais</w:t>
            </w:r>
          </w:p>
        </w:tc>
        <w:tc>
          <w:tcPr>
            <w:tcW w:w="1275" w:type="dxa"/>
            <w:vAlign w:val="center"/>
          </w:tcPr>
          <w:p w14:paraId="4B4062D7"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SUPTI</w:t>
            </w:r>
          </w:p>
        </w:tc>
      </w:tr>
      <w:tr w:rsidR="00A41DBB" w:rsidRPr="00252D7B" w14:paraId="1F59AF64" w14:textId="77777777" w:rsidTr="00E03684">
        <w:tc>
          <w:tcPr>
            <w:tcW w:w="2140" w:type="dxa"/>
            <w:vMerge/>
            <w:vAlign w:val="center"/>
          </w:tcPr>
          <w:p w14:paraId="6714338D" w14:textId="77777777" w:rsidR="00A41DBB" w:rsidRPr="00252D7B" w:rsidRDefault="00A41DBB" w:rsidP="00E03684">
            <w:pPr>
              <w:spacing w:before="120" w:after="120"/>
              <w:rPr>
                <w:rFonts w:asciiTheme="minorHAnsi" w:hAnsiTheme="minorHAnsi" w:cstheme="minorHAnsi"/>
              </w:rPr>
            </w:pPr>
          </w:p>
        </w:tc>
        <w:tc>
          <w:tcPr>
            <w:tcW w:w="6082" w:type="dxa"/>
            <w:vAlign w:val="center"/>
          </w:tcPr>
          <w:p w14:paraId="0D0A8703"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Priorização de ações de expansão de serviços digitais do PDTIC 2022-2024</w:t>
            </w:r>
          </w:p>
        </w:tc>
        <w:tc>
          <w:tcPr>
            <w:tcW w:w="1275" w:type="dxa"/>
            <w:vAlign w:val="center"/>
          </w:tcPr>
          <w:p w14:paraId="67EA3755"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SUPTI</w:t>
            </w:r>
          </w:p>
        </w:tc>
      </w:tr>
      <w:tr w:rsidR="00A41DBB" w:rsidRPr="00252D7B" w14:paraId="6B8A7B4C" w14:textId="77777777" w:rsidTr="004102C9">
        <w:trPr>
          <w:trHeight w:val="858"/>
        </w:trPr>
        <w:tc>
          <w:tcPr>
            <w:tcW w:w="2140" w:type="dxa"/>
            <w:vMerge/>
            <w:vAlign w:val="center"/>
          </w:tcPr>
          <w:p w14:paraId="4EAA5E4D" w14:textId="77777777" w:rsidR="00A41DBB" w:rsidRPr="00252D7B" w:rsidRDefault="00A41DBB" w:rsidP="00E03684">
            <w:pPr>
              <w:spacing w:before="120" w:after="120"/>
              <w:rPr>
                <w:rFonts w:asciiTheme="minorHAnsi" w:hAnsiTheme="minorHAnsi" w:cstheme="minorHAnsi"/>
              </w:rPr>
            </w:pPr>
          </w:p>
        </w:tc>
        <w:tc>
          <w:tcPr>
            <w:tcW w:w="6082" w:type="dxa"/>
            <w:vAlign w:val="center"/>
          </w:tcPr>
          <w:p w14:paraId="78F09B0B"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 xml:space="preserve">Projeto de migração para o ambiente computacional em Nuvem </w:t>
            </w:r>
          </w:p>
          <w:p w14:paraId="4178E47D"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 Contratação de ambiente computacional em nuvem até setembro de 2022</w:t>
            </w:r>
          </w:p>
        </w:tc>
        <w:tc>
          <w:tcPr>
            <w:tcW w:w="1275" w:type="dxa"/>
            <w:vAlign w:val="center"/>
          </w:tcPr>
          <w:p w14:paraId="55E2740A"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GEINF</w:t>
            </w:r>
          </w:p>
        </w:tc>
      </w:tr>
      <w:tr w:rsidR="00A41DBB" w:rsidRPr="00252D7B" w14:paraId="71ABC167" w14:textId="77777777" w:rsidTr="00E03684">
        <w:tc>
          <w:tcPr>
            <w:tcW w:w="2140" w:type="dxa"/>
            <w:vMerge w:val="restart"/>
            <w:vAlign w:val="center"/>
          </w:tcPr>
          <w:p w14:paraId="3AA90061"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 xml:space="preserve">OETIC 03: Fomentar a disponibilização e uso de dados abertos. </w:t>
            </w:r>
          </w:p>
        </w:tc>
        <w:tc>
          <w:tcPr>
            <w:tcW w:w="6082" w:type="dxa"/>
            <w:vAlign w:val="center"/>
          </w:tcPr>
          <w:p w14:paraId="00806721"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Levantamento de informações sobre publicações dados abertos junto ao SEST</w:t>
            </w:r>
          </w:p>
        </w:tc>
        <w:tc>
          <w:tcPr>
            <w:tcW w:w="1275" w:type="dxa"/>
            <w:vAlign w:val="center"/>
          </w:tcPr>
          <w:p w14:paraId="590100F4"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SUPTI</w:t>
            </w:r>
          </w:p>
          <w:p w14:paraId="168E71AD"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GSINF</w:t>
            </w:r>
          </w:p>
        </w:tc>
      </w:tr>
      <w:tr w:rsidR="00A41DBB" w:rsidRPr="00252D7B" w14:paraId="5FA50A2D" w14:textId="77777777" w:rsidTr="00E03684">
        <w:tc>
          <w:tcPr>
            <w:tcW w:w="2140" w:type="dxa"/>
            <w:vMerge/>
            <w:vAlign w:val="center"/>
          </w:tcPr>
          <w:p w14:paraId="6527782A" w14:textId="77777777" w:rsidR="00A41DBB" w:rsidRPr="00252D7B" w:rsidRDefault="00A41DBB" w:rsidP="00E03684">
            <w:pPr>
              <w:spacing w:before="120" w:after="120"/>
              <w:rPr>
                <w:rFonts w:asciiTheme="minorHAnsi" w:hAnsiTheme="minorHAnsi" w:cstheme="minorHAnsi"/>
              </w:rPr>
            </w:pPr>
          </w:p>
        </w:tc>
        <w:tc>
          <w:tcPr>
            <w:tcW w:w="6082" w:type="dxa"/>
            <w:vAlign w:val="center"/>
          </w:tcPr>
          <w:p w14:paraId="3639C4E4"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Elaboração e implementação do Plano de Dados Abertos (PDA) até agosto de 2022</w:t>
            </w:r>
          </w:p>
        </w:tc>
        <w:tc>
          <w:tcPr>
            <w:tcW w:w="1275" w:type="dxa"/>
            <w:vAlign w:val="center"/>
          </w:tcPr>
          <w:p w14:paraId="61432C4D"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SUPTI</w:t>
            </w:r>
          </w:p>
          <w:p w14:paraId="69077F21"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GSINF</w:t>
            </w:r>
          </w:p>
        </w:tc>
      </w:tr>
      <w:tr w:rsidR="00A41DBB" w:rsidRPr="00252D7B" w14:paraId="6A56241E" w14:textId="77777777" w:rsidTr="00E03684">
        <w:tc>
          <w:tcPr>
            <w:tcW w:w="2140" w:type="dxa"/>
            <w:vMerge/>
            <w:vAlign w:val="center"/>
          </w:tcPr>
          <w:p w14:paraId="59843D7B" w14:textId="77777777" w:rsidR="00A41DBB" w:rsidRPr="00252D7B" w:rsidRDefault="00A41DBB" w:rsidP="00E03684">
            <w:pPr>
              <w:spacing w:before="120" w:after="120"/>
              <w:rPr>
                <w:rFonts w:asciiTheme="minorHAnsi" w:hAnsiTheme="minorHAnsi" w:cstheme="minorHAnsi"/>
              </w:rPr>
            </w:pPr>
          </w:p>
        </w:tc>
        <w:tc>
          <w:tcPr>
            <w:tcW w:w="6082" w:type="dxa"/>
            <w:vAlign w:val="center"/>
          </w:tcPr>
          <w:p w14:paraId="41378F6B"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Novo site da Valec, incluindo ambiente para implantação do Portal de Governança e Transparência</w:t>
            </w:r>
          </w:p>
        </w:tc>
        <w:tc>
          <w:tcPr>
            <w:tcW w:w="1275" w:type="dxa"/>
            <w:vAlign w:val="center"/>
          </w:tcPr>
          <w:p w14:paraId="0B85DFC1"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GESIS</w:t>
            </w:r>
          </w:p>
          <w:p w14:paraId="29E5A776"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GEINF</w:t>
            </w:r>
          </w:p>
        </w:tc>
      </w:tr>
      <w:tr w:rsidR="00A41DBB" w:rsidRPr="00252D7B" w14:paraId="05F35BB8" w14:textId="77777777" w:rsidTr="00E03684">
        <w:tc>
          <w:tcPr>
            <w:tcW w:w="2140" w:type="dxa"/>
            <w:vMerge w:val="restart"/>
            <w:vAlign w:val="center"/>
          </w:tcPr>
          <w:p w14:paraId="05B49354"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 xml:space="preserve">OETIC 04: Aprimorar os níveis de maturidade em Gestão e Governança de TIC com a adequação às melhores práticas do mercado. </w:t>
            </w:r>
          </w:p>
        </w:tc>
        <w:tc>
          <w:tcPr>
            <w:tcW w:w="6082" w:type="dxa"/>
            <w:vAlign w:val="center"/>
          </w:tcPr>
          <w:p w14:paraId="7B84BDBA"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Atendimento às práticas de governança de TIC da Resolução nº 11/2016 da CGPAR e recomendações do TCU (originadas na aplicação do questionário iGov/iGG do TCU)</w:t>
            </w:r>
          </w:p>
        </w:tc>
        <w:tc>
          <w:tcPr>
            <w:tcW w:w="1275" w:type="dxa"/>
            <w:vAlign w:val="center"/>
          </w:tcPr>
          <w:p w14:paraId="2E6F7BF6"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SUPTI</w:t>
            </w:r>
          </w:p>
        </w:tc>
      </w:tr>
      <w:tr w:rsidR="00A41DBB" w:rsidRPr="00252D7B" w14:paraId="23544B4F" w14:textId="77777777" w:rsidTr="00E03684">
        <w:tc>
          <w:tcPr>
            <w:tcW w:w="2140" w:type="dxa"/>
            <w:vMerge/>
            <w:vAlign w:val="center"/>
          </w:tcPr>
          <w:p w14:paraId="64126308" w14:textId="77777777" w:rsidR="00A41DBB" w:rsidRPr="00252D7B" w:rsidRDefault="00A41DBB" w:rsidP="00E03684">
            <w:pPr>
              <w:spacing w:before="120" w:after="120"/>
              <w:rPr>
                <w:rFonts w:asciiTheme="minorHAnsi" w:hAnsiTheme="minorHAnsi" w:cstheme="minorHAnsi"/>
              </w:rPr>
            </w:pPr>
          </w:p>
        </w:tc>
        <w:tc>
          <w:tcPr>
            <w:tcW w:w="6082" w:type="dxa"/>
            <w:vAlign w:val="center"/>
          </w:tcPr>
          <w:p w14:paraId="306E04CC"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 xml:space="preserve">Reestruturação e reativação do Comitê Estratégico de TIC </w:t>
            </w:r>
          </w:p>
        </w:tc>
        <w:tc>
          <w:tcPr>
            <w:tcW w:w="1275" w:type="dxa"/>
            <w:vAlign w:val="center"/>
          </w:tcPr>
          <w:p w14:paraId="07BAC640"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DIRAF</w:t>
            </w:r>
            <w:r w:rsidRPr="00252D7B">
              <w:rPr>
                <w:rFonts w:asciiTheme="minorHAnsi" w:hAnsiTheme="minorHAnsi" w:cstheme="minorHAnsi"/>
              </w:rPr>
              <w:br/>
              <w:t>SUPTI</w:t>
            </w:r>
          </w:p>
        </w:tc>
      </w:tr>
      <w:tr w:rsidR="00A41DBB" w:rsidRPr="00252D7B" w14:paraId="45C04BE3" w14:textId="77777777" w:rsidTr="00E03684">
        <w:tc>
          <w:tcPr>
            <w:tcW w:w="2140" w:type="dxa"/>
            <w:vMerge/>
            <w:vAlign w:val="center"/>
          </w:tcPr>
          <w:p w14:paraId="73D9E92B" w14:textId="77777777" w:rsidR="00A41DBB" w:rsidRPr="00252D7B" w:rsidRDefault="00A41DBB" w:rsidP="00E03684">
            <w:pPr>
              <w:spacing w:before="120" w:after="120"/>
              <w:rPr>
                <w:rFonts w:asciiTheme="minorHAnsi" w:hAnsiTheme="minorHAnsi" w:cstheme="minorHAnsi"/>
              </w:rPr>
            </w:pPr>
          </w:p>
        </w:tc>
        <w:tc>
          <w:tcPr>
            <w:tcW w:w="6082" w:type="dxa"/>
            <w:vAlign w:val="center"/>
          </w:tcPr>
          <w:p w14:paraId="09D2FDCD"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Gerenciamento dos processos de riscos de TIC</w:t>
            </w:r>
          </w:p>
        </w:tc>
        <w:tc>
          <w:tcPr>
            <w:tcW w:w="1275" w:type="dxa"/>
            <w:vAlign w:val="center"/>
          </w:tcPr>
          <w:p w14:paraId="7E5F5997"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SUPTI</w:t>
            </w:r>
          </w:p>
          <w:p w14:paraId="2AFCF7EF"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GSINF</w:t>
            </w:r>
          </w:p>
        </w:tc>
      </w:tr>
      <w:tr w:rsidR="00A41DBB" w:rsidRPr="00252D7B" w14:paraId="0D702D6D" w14:textId="77777777" w:rsidTr="00E03684">
        <w:tc>
          <w:tcPr>
            <w:tcW w:w="2140" w:type="dxa"/>
            <w:vMerge/>
            <w:vAlign w:val="center"/>
          </w:tcPr>
          <w:p w14:paraId="7D2C28EA" w14:textId="77777777" w:rsidR="00A41DBB" w:rsidRPr="00252D7B" w:rsidRDefault="00A41DBB" w:rsidP="00E03684">
            <w:pPr>
              <w:spacing w:before="120" w:after="120"/>
              <w:rPr>
                <w:rFonts w:asciiTheme="minorHAnsi" w:hAnsiTheme="minorHAnsi" w:cstheme="minorHAnsi"/>
              </w:rPr>
            </w:pPr>
          </w:p>
        </w:tc>
        <w:tc>
          <w:tcPr>
            <w:tcW w:w="6082" w:type="dxa"/>
            <w:vAlign w:val="center"/>
          </w:tcPr>
          <w:p w14:paraId="222A96F7"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Implantação do gerenciamento de processos</w:t>
            </w:r>
          </w:p>
        </w:tc>
        <w:tc>
          <w:tcPr>
            <w:tcW w:w="1275" w:type="dxa"/>
            <w:vAlign w:val="center"/>
          </w:tcPr>
          <w:p w14:paraId="56EE423E"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SUPTI</w:t>
            </w:r>
          </w:p>
        </w:tc>
      </w:tr>
      <w:tr w:rsidR="00A41DBB" w:rsidRPr="00252D7B" w14:paraId="1B7D9CCB" w14:textId="77777777" w:rsidTr="00E03684">
        <w:tc>
          <w:tcPr>
            <w:tcW w:w="2140" w:type="dxa"/>
            <w:vMerge w:val="restart"/>
            <w:vAlign w:val="center"/>
          </w:tcPr>
          <w:p w14:paraId="238B6D77"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 xml:space="preserve">OETIC 05: Integrar dados, processos, sistemas, serviços e infraestrutura. </w:t>
            </w:r>
          </w:p>
        </w:tc>
        <w:tc>
          <w:tcPr>
            <w:tcW w:w="6082" w:type="dxa"/>
            <w:vAlign w:val="center"/>
          </w:tcPr>
          <w:p w14:paraId="36F330EB"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Identificação de padrões interoperáveis</w:t>
            </w:r>
          </w:p>
        </w:tc>
        <w:tc>
          <w:tcPr>
            <w:tcW w:w="1275" w:type="dxa"/>
            <w:vAlign w:val="center"/>
          </w:tcPr>
          <w:p w14:paraId="2AA8742D"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SUPTI</w:t>
            </w:r>
            <w:r w:rsidRPr="00252D7B">
              <w:rPr>
                <w:rFonts w:asciiTheme="minorHAnsi" w:hAnsiTheme="minorHAnsi" w:cstheme="minorHAnsi"/>
              </w:rPr>
              <w:br/>
              <w:t>GESIS</w:t>
            </w:r>
            <w:r w:rsidRPr="00252D7B">
              <w:rPr>
                <w:rFonts w:asciiTheme="minorHAnsi" w:hAnsiTheme="minorHAnsi" w:cstheme="minorHAnsi"/>
              </w:rPr>
              <w:br/>
              <w:t>GEINF</w:t>
            </w:r>
            <w:r w:rsidRPr="00252D7B">
              <w:rPr>
                <w:rFonts w:asciiTheme="minorHAnsi" w:hAnsiTheme="minorHAnsi" w:cstheme="minorHAnsi"/>
              </w:rPr>
              <w:br/>
              <w:t>GSINF</w:t>
            </w:r>
          </w:p>
        </w:tc>
      </w:tr>
      <w:tr w:rsidR="00A41DBB" w:rsidRPr="00252D7B" w14:paraId="55AE466F" w14:textId="77777777" w:rsidTr="00E03684">
        <w:tc>
          <w:tcPr>
            <w:tcW w:w="2140" w:type="dxa"/>
            <w:vMerge/>
            <w:vAlign w:val="center"/>
          </w:tcPr>
          <w:p w14:paraId="3CF4E54C" w14:textId="77777777" w:rsidR="00A41DBB" w:rsidRPr="00252D7B" w:rsidRDefault="00A41DBB" w:rsidP="00E03684">
            <w:pPr>
              <w:spacing w:before="120" w:after="120"/>
              <w:rPr>
                <w:rFonts w:asciiTheme="minorHAnsi" w:hAnsiTheme="minorHAnsi" w:cstheme="minorHAnsi"/>
              </w:rPr>
            </w:pPr>
          </w:p>
        </w:tc>
        <w:tc>
          <w:tcPr>
            <w:tcW w:w="6082" w:type="dxa"/>
            <w:vAlign w:val="center"/>
          </w:tcPr>
          <w:p w14:paraId="1A0D6E60"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 xml:space="preserve">Implantação da interoperabilidade dos sistemas, dados, processos e infraestrutura da Valec </w:t>
            </w:r>
          </w:p>
          <w:p w14:paraId="10502395"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 Integrar o SRB, Invalec e SISTEL ao SIGA até dezembro de 2022;</w:t>
            </w:r>
          </w:p>
          <w:p w14:paraId="6D71C246"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 Integrar o SICOD e o SICPD ao SIGEM até dezembro de 2022;</w:t>
            </w:r>
          </w:p>
          <w:p w14:paraId="4036EBA5"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 Integrar demais sistemas elegíveis (SISAD, OS-GEADM, OS-GP, OS-ASCOM, OS-GEPAT, OS-PRO, Portal de Serviços GGI, SISJUR, Agenda SIC) até dezembro de 2024.</w:t>
            </w:r>
          </w:p>
        </w:tc>
        <w:tc>
          <w:tcPr>
            <w:tcW w:w="1275" w:type="dxa"/>
            <w:vAlign w:val="center"/>
          </w:tcPr>
          <w:p w14:paraId="15FAE84B"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SUPTI</w:t>
            </w:r>
            <w:r w:rsidRPr="00252D7B">
              <w:rPr>
                <w:rFonts w:asciiTheme="minorHAnsi" w:hAnsiTheme="minorHAnsi" w:cstheme="minorHAnsi"/>
              </w:rPr>
              <w:br/>
              <w:t>GESIS</w:t>
            </w:r>
            <w:r w:rsidRPr="00252D7B">
              <w:rPr>
                <w:rFonts w:asciiTheme="minorHAnsi" w:hAnsiTheme="minorHAnsi" w:cstheme="minorHAnsi"/>
              </w:rPr>
              <w:br/>
              <w:t>GEINF</w:t>
            </w:r>
            <w:r w:rsidRPr="00252D7B">
              <w:rPr>
                <w:rFonts w:asciiTheme="minorHAnsi" w:hAnsiTheme="minorHAnsi" w:cstheme="minorHAnsi"/>
              </w:rPr>
              <w:br/>
              <w:t>GSINF</w:t>
            </w:r>
          </w:p>
        </w:tc>
      </w:tr>
      <w:tr w:rsidR="00A41DBB" w:rsidRPr="00252D7B" w14:paraId="34FD0156" w14:textId="77777777" w:rsidTr="00E03684">
        <w:tc>
          <w:tcPr>
            <w:tcW w:w="2140" w:type="dxa"/>
            <w:vMerge/>
            <w:vAlign w:val="center"/>
          </w:tcPr>
          <w:p w14:paraId="19D0EB37" w14:textId="77777777" w:rsidR="00A41DBB" w:rsidRPr="00252D7B" w:rsidRDefault="00A41DBB" w:rsidP="00E03684">
            <w:pPr>
              <w:spacing w:before="120" w:after="120"/>
              <w:rPr>
                <w:rFonts w:asciiTheme="minorHAnsi" w:hAnsiTheme="minorHAnsi" w:cstheme="minorHAnsi"/>
              </w:rPr>
            </w:pPr>
          </w:p>
        </w:tc>
        <w:tc>
          <w:tcPr>
            <w:tcW w:w="6082" w:type="dxa"/>
            <w:vAlign w:val="center"/>
          </w:tcPr>
          <w:p w14:paraId="7EDC5D1E"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Implantação de metodologia DevOps</w:t>
            </w:r>
          </w:p>
        </w:tc>
        <w:tc>
          <w:tcPr>
            <w:tcW w:w="1275" w:type="dxa"/>
            <w:vAlign w:val="center"/>
          </w:tcPr>
          <w:p w14:paraId="66ED3451"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GESIS</w:t>
            </w:r>
            <w:r w:rsidRPr="00252D7B">
              <w:rPr>
                <w:rFonts w:asciiTheme="minorHAnsi" w:hAnsiTheme="minorHAnsi" w:cstheme="minorHAnsi"/>
              </w:rPr>
              <w:br/>
              <w:t>GEINF</w:t>
            </w:r>
          </w:p>
        </w:tc>
      </w:tr>
      <w:tr w:rsidR="00A41DBB" w:rsidRPr="00252D7B" w14:paraId="0C164CEB" w14:textId="77777777" w:rsidTr="00E03684">
        <w:tc>
          <w:tcPr>
            <w:tcW w:w="2140" w:type="dxa"/>
            <w:vMerge/>
            <w:vAlign w:val="center"/>
          </w:tcPr>
          <w:p w14:paraId="69290805" w14:textId="77777777" w:rsidR="00A41DBB" w:rsidRPr="00252D7B" w:rsidRDefault="00A41DBB" w:rsidP="00E03684">
            <w:pPr>
              <w:spacing w:before="120" w:after="120"/>
              <w:rPr>
                <w:rFonts w:asciiTheme="minorHAnsi" w:hAnsiTheme="minorHAnsi" w:cstheme="minorHAnsi"/>
              </w:rPr>
            </w:pPr>
          </w:p>
        </w:tc>
        <w:tc>
          <w:tcPr>
            <w:tcW w:w="6082" w:type="dxa"/>
            <w:vAlign w:val="center"/>
          </w:tcPr>
          <w:p w14:paraId="6625A877"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 xml:space="preserve">Projeto de migração para o ambiente computacional em Nuvem </w:t>
            </w:r>
          </w:p>
          <w:p w14:paraId="4DBCD8B6"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 Realizar contratação de prestação de ambiente em nuvem até setembro de 2022</w:t>
            </w:r>
          </w:p>
        </w:tc>
        <w:tc>
          <w:tcPr>
            <w:tcW w:w="1275" w:type="dxa"/>
            <w:vAlign w:val="center"/>
          </w:tcPr>
          <w:p w14:paraId="60D2A524"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GEINF</w:t>
            </w:r>
          </w:p>
        </w:tc>
      </w:tr>
      <w:tr w:rsidR="00A41DBB" w:rsidRPr="00252D7B" w14:paraId="6BBE8E5A" w14:textId="77777777" w:rsidTr="00E03684">
        <w:tc>
          <w:tcPr>
            <w:tcW w:w="2140" w:type="dxa"/>
            <w:vMerge w:val="restart"/>
            <w:vAlign w:val="center"/>
          </w:tcPr>
          <w:p w14:paraId="4E9189FE"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 xml:space="preserve">OETIC 06: Fomentar a cooperação e o entendimento mútuo entre a TIC e as áreas de negócios objetivando a agregação de valor. </w:t>
            </w:r>
          </w:p>
        </w:tc>
        <w:tc>
          <w:tcPr>
            <w:tcW w:w="6082" w:type="dxa"/>
            <w:vAlign w:val="center"/>
          </w:tcPr>
          <w:p w14:paraId="4067BF13"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Implantação metodologia simplificada considerando guias SISP e boas práticas ágeis de mercado para levantamento de demandas</w:t>
            </w:r>
            <w:r w:rsidRPr="00252D7B">
              <w:rPr>
                <w:rFonts w:asciiTheme="minorHAnsi" w:hAnsiTheme="minorHAnsi" w:cstheme="minorHAnsi"/>
              </w:rPr>
              <w:br/>
              <w:t>- Mapear e validar os processos de gerenciamento de projetos de TIC até agosto</w:t>
            </w:r>
            <w:r w:rsidRPr="00252D7B">
              <w:rPr>
                <w:rFonts w:asciiTheme="minorHAnsi" w:hAnsiTheme="minorHAnsi" w:cstheme="minorHAnsi"/>
              </w:rPr>
              <w:br/>
              <w:t>- Criar critérios de priorização de demandas de projeto.</w:t>
            </w:r>
          </w:p>
        </w:tc>
        <w:tc>
          <w:tcPr>
            <w:tcW w:w="1275" w:type="dxa"/>
            <w:vAlign w:val="center"/>
          </w:tcPr>
          <w:p w14:paraId="671A01A9"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SUPTI</w:t>
            </w:r>
          </w:p>
        </w:tc>
      </w:tr>
      <w:tr w:rsidR="00A41DBB" w:rsidRPr="00252D7B" w14:paraId="20D5FCDF" w14:textId="77777777" w:rsidTr="00E03684">
        <w:tc>
          <w:tcPr>
            <w:tcW w:w="2140" w:type="dxa"/>
            <w:vMerge/>
            <w:vAlign w:val="center"/>
          </w:tcPr>
          <w:p w14:paraId="08680A5C" w14:textId="77777777" w:rsidR="00A41DBB" w:rsidRPr="00252D7B" w:rsidRDefault="00A41DBB" w:rsidP="00E03684">
            <w:pPr>
              <w:spacing w:before="120" w:after="120"/>
              <w:rPr>
                <w:rFonts w:asciiTheme="minorHAnsi" w:hAnsiTheme="minorHAnsi" w:cstheme="minorHAnsi"/>
              </w:rPr>
            </w:pPr>
          </w:p>
        </w:tc>
        <w:tc>
          <w:tcPr>
            <w:tcW w:w="6082" w:type="dxa"/>
            <w:vAlign w:val="center"/>
          </w:tcPr>
          <w:p w14:paraId="1A62220C"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Gestão da Continuidade do Negócio - Aprovar o Plano de Continuidade de Negócio (PCN) até abril de 2022</w:t>
            </w:r>
          </w:p>
        </w:tc>
        <w:tc>
          <w:tcPr>
            <w:tcW w:w="1275" w:type="dxa"/>
            <w:vAlign w:val="center"/>
          </w:tcPr>
          <w:p w14:paraId="41C0E9CC"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SUPTI</w:t>
            </w:r>
          </w:p>
        </w:tc>
      </w:tr>
      <w:tr w:rsidR="00A41DBB" w:rsidRPr="00252D7B" w14:paraId="7F687331" w14:textId="77777777" w:rsidTr="00E03684">
        <w:tc>
          <w:tcPr>
            <w:tcW w:w="2140" w:type="dxa"/>
            <w:vMerge/>
            <w:vAlign w:val="center"/>
          </w:tcPr>
          <w:p w14:paraId="4C52AE9C" w14:textId="77777777" w:rsidR="00A41DBB" w:rsidRPr="00252D7B" w:rsidRDefault="00A41DBB" w:rsidP="00E03684">
            <w:pPr>
              <w:spacing w:before="120" w:after="120"/>
              <w:rPr>
                <w:rFonts w:asciiTheme="minorHAnsi" w:hAnsiTheme="minorHAnsi" w:cstheme="minorHAnsi"/>
              </w:rPr>
            </w:pPr>
          </w:p>
        </w:tc>
        <w:tc>
          <w:tcPr>
            <w:tcW w:w="6082" w:type="dxa"/>
            <w:vAlign w:val="center"/>
          </w:tcPr>
          <w:p w14:paraId="1B0167F9"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Gestão de desempenho de TIC</w:t>
            </w:r>
            <w:r w:rsidRPr="00252D7B">
              <w:rPr>
                <w:rFonts w:asciiTheme="minorHAnsi" w:hAnsiTheme="minorHAnsi" w:cstheme="minorHAnsi"/>
              </w:rPr>
              <w:br/>
              <w:t>- Elaborar, validar e disponibilizar cadastro de indicadores de TIC utilizados na SUPTI até dezembro</w:t>
            </w:r>
          </w:p>
        </w:tc>
        <w:tc>
          <w:tcPr>
            <w:tcW w:w="1275" w:type="dxa"/>
            <w:vAlign w:val="center"/>
          </w:tcPr>
          <w:p w14:paraId="1FFE7202"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SUPTI</w:t>
            </w:r>
          </w:p>
        </w:tc>
      </w:tr>
      <w:tr w:rsidR="00A41DBB" w:rsidRPr="00252D7B" w14:paraId="5FBFB736" w14:textId="77777777" w:rsidTr="00E03684">
        <w:tc>
          <w:tcPr>
            <w:tcW w:w="2140" w:type="dxa"/>
            <w:vMerge/>
            <w:vAlign w:val="center"/>
          </w:tcPr>
          <w:p w14:paraId="65180F0B" w14:textId="77777777" w:rsidR="00A41DBB" w:rsidRPr="00252D7B" w:rsidRDefault="00A41DBB" w:rsidP="00E03684">
            <w:pPr>
              <w:spacing w:before="120" w:after="120"/>
              <w:rPr>
                <w:rFonts w:asciiTheme="minorHAnsi" w:hAnsiTheme="minorHAnsi" w:cstheme="minorHAnsi"/>
              </w:rPr>
            </w:pPr>
          </w:p>
        </w:tc>
        <w:tc>
          <w:tcPr>
            <w:tcW w:w="6082" w:type="dxa"/>
            <w:vAlign w:val="center"/>
          </w:tcPr>
          <w:p w14:paraId="6705F6BB"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 xml:space="preserve">Intensificar o diálogo com as áreas finalísticas para criação de mecanismos que aumentem a efetividade da geração de benefícios </w:t>
            </w:r>
            <w:r w:rsidRPr="00252D7B">
              <w:rPr>
                <w:rFonts w:asciiTheme="minorHAnsi" w:hAnsiTheme="minorHAnsi" w:cstheme="minorHAnsi"/>
              </w:rPr>
              <w:lastRenderedPageBreak/>
              <w:t>para a sociedade brasileira por meio da expansão do acesso às informações governamentais</w:t>
            </w:r>
          </w:p>
        </w:tc>
        <w:tc>
          <w:tcPr>
            <w:tcW w:w="1275" w:type="dxa"/>
            <w:vAlign w:val="center"/>
          </w:tcPr>
          <w:p w14:paraId="6AD746B0"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lastRenderedPageBreak/>
              <w:t>SUPTI</w:t>
            </w:r>
          </w:p>
        </w:tc>
      </w:tr>
      <w:tr w:rsidR="00A41DBB" w:rsidRPr="00252D7B" w14:paraId="4F57FD67" w14:textId="77777777" w:rsidTr="00E03684">
        <w:tc>
          <w:tcPr>
            <w:tcW w:w="2140" w:type="dxa"/>
            <w:vMerge w:val="restart"/>
            <w:vAlign w:val="center"/>
          </w:tcPr>
          <w:p w14:paraId="58E47466"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 xml:space="preserve">OETIC 07: Prover Segurança da Informação, garantindo a disponibilidade, confiabilidade e integridade das informações prestadas ao usuário. </w:t>
            </w:r>
          </w:p>
        </w:tc>
        <w:tc>
          <w:tcPr>
            <w:tcW w:w="6082" w:type="dxa"/>
            <w:vAlign w:val="center"/>
          </w:tcPr>
          <w:p w14:paraId="4F524877"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Implantação da política de segurança da informação e normas de segurança da informação</w:t>
            </w:r>
          </w:p>
          <w:p w14:paraId="22B2EE26"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 Aprovação das instruções normativas relacionadas à política de segurança da informação até março de 2022</w:t>
            </w:r>
          </w:p>
          <w:p w14:paraId="4566F761"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 Aprovação de instrução normativa para uso seguro de mídias sociais e computação em nuvem até maio de 2022</w:t>
            </w:r>
          </w:p>
        </w:tc>
        <w:tc>
          <w:tcPr>
            <w:tcW w:w="1275" w:type="dxa"/>
            <w:vAlign w:val="center"/>
          </w:tcPr>
          <w:p w14:paraId="1A2D1A55"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SUPTI</w:t>
            </w:r>
            <w:r w:rsidRPr="00252D7B">
              <w:rPr>
                <w:rFonts w:asciiTheme="minorHAnsi" w:hAnsiTheme="minorHAnsi" w:cstheme="minorHAnsi"/>
              </w:rPr>
              <w:br/>
              <w:t>GSINF</w:t>
            </w:r>
          </w:p>
        </w:tc>
      </w:tr>
      <w:tr w:rsidR="00A41DBB" w:rsidRPr="00252D7B" w14:paraId="458E8442" w14:textId="77777777" w:rsidTr="00E03684">
        <w:tc>
          <w:tcPr>
            <w:tcW w:w="2140" w:type="dxa"/>
            <w:vMerge/>
            <w:vAlign w:val="center"/>
          </w:tcPr>
          <w:p w14:paraId="7DA1400A" w14:textId="77777777" w:rsidR="00A41DBB" w:rsidRPr="00252D7B" w:rsidRDefault="00A41DBB" w:rsidP="00E03684">
            <w:pPr>
              <w:spacing w:before="120" w:after="120"/>
              <w:rPr>
                <w:rFonts w:asciiTheme="minorHAnsi" w:hAnsiTheme="minorHAnsi" w:cstheme="minorHAnsi"/>
              </w:rPr>
            </w:pPr>
          </w:p>
        </w:tc>
        <w:tc>
          <w:tcPr>
            <w:tcW w:w="6082" w:type="dxa"/>
            <w:vAlign w:val="center"/>
          </w:tcPr>
          <w:p w14:paraId="2E22C7DB"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Ampliação dos mecanismos de Segurança de TIC no ambiente computacional da Valec</w:t>
            </w:r>
          </w:p>
        </w:tc>
        <w:tc>
          <w:tcPr>
            <w:tcW w:w="1275" w:type="dxa"/>
            <w:vAlign w:val="center"/>
          </w:tcPr>
          <w:p w14:paraId="0759D8BB"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GSINF</w:t>
            </w:r>
          </w:p>
          <w:p w14:paraId="1CDC2BF1"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GEINF</w:t>
            </w:r>
          </w:p>
        </w:tc>
      </w:tr>
      <w:tr w:rsidR="00A41DBB" w:rsidRPr="00252D7B" w14:paraId="62B3BB0A" w14:textId="77777777" w:rsidTr="00E03684">
        <w:tc>
          <w:tcPr>
            <w:tcW w:w="2140" w:type="dxa"/>
            <w:vMerge w:val="restart"/>
            <w:vAlign w:val="center"/>
          </w:tcPr>
          <w:p w14:paraId="0774AB4D"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 xml:space="preserve">OETIC 08: Aprimorar a gestão da execução orçamentária de TIC. </w:t>
            </w:r>
          </w:p>
        </w:tc>
        <w:tc>
          <w:tcPr>
            <w:tcW w:w="6082" w:type="dxa"/>
            <w:vAlign w:val="center"/>
          </w:tcPr>
          <w:p w14:paraId="21DC5BDA"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Desenvolvimento de solução da gestão orçamentária da SUPTI</w:t>
            </w:r>
          </w:p>
        </w:tc>
        <w:tc>
          <w:tcPr>
            <w:tcW w:w="1275" w:type="dxa"/>
            <w:vAlign w:val="center"/>
          </w:tcPr>
          <w:p w14:paraId="1DBC7A7C"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SUPTI</w:t>
            </w:r>
            <w:r w:rsidRPr="00252D7B">
              <w:rPr>
                <w:rFonts w:asciiTheme="minorHAnsi" w:hAnsiTheme="minorHAnsi" w:cstheme="minorHAnsi"/>
              </w:rPr>
              <w:br/>
              <w:t>GESIS</w:t>
            </w:r>
          </w:p>
        </w:tc>
      </w:tr>
      <w:tr w:rsidR="00A41DBB" w:rsidRPr="00252D7B" w14:paraId="588E7E3D" w14:textId="77777777" w:rsidTr="00E03684">
        <w:tc>
          <w:tcPr>
            <w:tcW w:w="2140" w:type="dxa"/>
            <w:vMerge/>
            <w:vAlign w:val="center"/>
          </w:tcPr>
          <w:p w14:paraId="241B603A" w14:textId="77777777" w:rsidR="00A41DBB" w:rsidRPr="00252D7B" w:rsidRDefault="00A41DBB" w:rsidP="00E03684">
            <w:pPr>
              <w:spacing w:before="120" w:after="120"/>
              <w:rPr>
                <w:rFonts w:asciiTheme="minorHAnsi" w:hAnsiTheme="minorHAnsi" w:cstheme="minorHAnsi"/>
              </w:rPr>
            </w:pPr>
          </w:p>
        </w:tc>
        <w:tc>
          <w:tcPr>
            <w:tcW w:w="6082" w:type="dxa"/>
            <w:vAlign w:val="center"/>
          </w:tcPr>
          <w:p w14:paraId="494752A2"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Elaboração de plano de ações de acompanhamento e execução orçamentária</w:t>
            </w:r>
          </w:p>
        </w:tc>
        <w:tc>
          <w:tcPr>
            <w:tcW w:w="1275" w:type="dxa"/>
            <w:vAlign w:val="center"/>
          </w:tcPr>
          <w:p w14:paraId="5039E838"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SUPTI</w:t>
            </w:r>
          </w:p>
        </w:tc>
      </w:tr>
      <w:tr w:rsidR="00A41DBB" w:rsidRPr="00252D7B" w14:paraId="4B7676E7" w14:textId="77777777" w:rsidTr="00E03684">
        <w:tc>
          <w:tcPr>
            <w:tcW w:w="2140" w:type="dxa"/>
            <w:vMerge w:val="restart"/>
            <w:vAlign w:val="center"/>
          </w:tcPr>
          <w:p w14:paraId="6D8DD874"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 xml:space="preserve">OETIC 09: Incentivar o desenvolvimento das pessoas para execução das atividades de TIC objetivando a excelência dos serviços da Valec. </w:t>
            </w:r>
          </w:p>
        </w:tc>
        <w:tc>
          <w:tcPr>
            <w:tcW w:w="6082" w:type="dxa"/>
            <w:vAlign w:val="center"/>
          </w:tcPr>
          <w:p w14:paraId="75B5C25D"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Execução do Plano de Educação Anual (PEA)</w:t>
            </w:r>
          </w:p>
        </w:tc>
        <w:tc>
          <w:tcPr>
            <w:tcW w:w="1275" w:type="dxa"/>
            <w:vAlign w:val="center"/>
          </w:tcPr>
          <w:p w14:paraId="58EE5D19"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SUPTI</w:t>
            </w:r>
          </w:p>
        </w:tc>
      </w:tr>
      <w:tr w:rsidR="00A41DBB" w:rsidRPr="00252D7B" w14:paraId="70CBC3B0" w14:textId="77777777" w:rsidTr="00E03684">
        <w:tc>
          <w:tcPr>
            <w:tcW w:w="2140" w:type="dxa"/>
            <w:vMerge/>
            <w:vAlign w:val="center"/>
          </w:tcPr>
          <w:p w14:paraId="1ABC4833" w14:textId="77777777" w:rsidR="00A41DBB" w:rsidRPr="00252D7B" w:rsidRDefault="00A41DBB" w:rsidP="00E03684">
            <w:pPr>
              <w:spacing w:before="120" w:after="120"/>
              <w:rPr>
                <w:rFonts w:asciiTheme="minorHAnsi" w:hAnsiTheme="minorHAnsi" w:cstheme="minorHAnsi"/>
              </w:rPr>
            </w:pPr>
          </w:p>
        </w:tc>
        <w:tc>
          <w:tcPr>
            <w:tcW w:w="6082" w:type="dxa"/>
            <w:vAlign w:val="center"/>
          </w:tcPr>
          <w:p w14:paraId="442A7C8E"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Modelagem de processo de avaliação periódica da força de trabalho da TIC</w:t>
            </w:r>
          </w:p>
        </w:tc>
        <w:tc>
          <w:tcPr>
            <w:tcW w:w="1275" w:type="dxa"/>
            <w:vAlign w:val="center"/>
          </w:tcPr>
          <w:p w14:paraId="2CF93DFC"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SUPTI</w:t>
            </w:r>
          </w:p>
        </w:tc>
      </w:tr>
      <w:tr w:rsidR="00A41DBB" w:rsidRPr="00252D7B" w14:paraId="6751A504" w14:textId="77777777" w:rsidTr="00E03684">
        <w:tc>
          <w:tcPr>
            <w:tcW w:w="2140" w:type="dxa"/>
            <w:vMerge/>
            <w:vAlign w:val="center"/>
          </w:tcPr>
          <w:p w14:paraId="541F1A4B" w14:textId="77777777" w:rsidR="00A41DBB" w:rsidRPr="00252D7B" w:rsidRDefault="00A41DBB" w:rsidP="00E03684">
            <w:pPr>
              <w:spacing w:before="120" w:after="120"/>
              <w:rPr>
                <w:rFonts w:asciiTheme="minorHAnsi" w:hAnsiTheme="minorHAnsi" w:cstheme="minorHAnsi"/>
              </w:rPr>
            </w:pPr>
          </w:p>
        </w:tc>
        <w:tc>
          <w:tcPr>
            <w:tcW w:w="6082" w:type="dxa"/>
            <w:vAlign w:val="center"/>
          </w:tcPr>
          <w:p w14:paraId="484083B1" w14:textId="77777777" w:rsidR="00A41DBB" w:rsidRPr="00252D7B" w:rsidRDefault="00A41DBB" w:rsidP="00E03684">
            <w:pPr>
              <w:spacing w:before="120" w:after="120"/>
              <w:jc w:val="both"/>
              <w:rPr>
                <w:rFonts w:asciiTheme="minorHAnsi" w:hAnsiTheme="minorHAnsi" w:cstheme="minorHAnsi"/>
              </w:rPr>
            </w:pPr>
            <w:r w:rsidRPr="00252D7B">
              <w:rPr>
                <w:rFonts w:asciiTheme="minorHAnsi" w:hAnsiTheme="minorHAnsi" w:cstheme="minorHAnsi"/>
              </w:rPr>
              <w:t>Incentivo à produção de conhecimento</w:t>
            </w:r>
          </w:p>
        </w:tc>
        <w:tc>
          <w:tcPr>
            <w:tcW w:w="1275" w:type="dxa"/>
            <w:vAlign w:val="center"/>
          </w:tcPr>
          <w:p w14:paraId="6E08EBF9" w14:textId="77777777" w:rsidR="00A41DBB" w:rsidRPr="00252D7B" w:rsidRDefault="00A41DBB" w:rsidP="00E03684">
            <w:pPr>
              <w:spacing w:before="120" w:after="120"/>
              <w:rPr>
                <w:rFonts w:asciiTheme="minorHAnsi" w:hAnsiTheme="minorHAnsi" w:cstheme="minorHAnsi"/>
              </w:rPr>
            </w:pPr>
            <w:r w:rsidRPr="00252D7B">
              <w:rPr>
                <w:rFonts w:asciiTheme="minorHAnsi" w:hAnsiTheme="minorHAnsi" w:cstheme="minorHAnsi"/>
              </w:rPr>
              <w:t>SUPTI</w:t>
            </w:r>
          </w:p>
        </w:tc>
      </w:tr>
    </w:tbl>
    <w:p w14:paraId="42348A81" w14:textId="77777777" w:rsidR="00A41DBB" w:rsidRPr="00252D7B" w:rsidRDefault="00A41DBB" w:rsidP="00644CFB">
      <w:pPr>
        <w:spacing w:before="120"/>
        <w:ind w:firstLine="720"/>
        <w:jc w:val="both"/>
        <w:rPr>
          <w:rFonts w:asciiTheme="minorHAnsi" w:hAnsiTheme="minorHAnsi" w:cstheme="minorHAnsi"/>
          <w:lang w:eastAsia="pt-BR"/>
        </w:rPr>
      </w:pPr>
    </w:p>
    <w:p w14:paraId="74B260F5" w14:textId="12664AD7" w:rsidR="00A41DBB" w:rsidRPr="00252D7B" w:rsidRDefault="00A41DBB" w:rsidP="00644CFB">
      <w:pPr>
        <w:jc w:val="both"/>
        <w:rPr>
          <w:rFonts w:asciiTheme="minorHAnsi" w:hAnsiTheme="minorHAnsi" w:cstheme="minorHAnsi"/>
          <w:sz w:val="24"/>
          <w:szCs w:val="24"/>
          <w:lang w:eastAsia="pt-BR"/>
        </w:rPr>
      </w:pPr>
      <w:r w:rsidRPr="00252D7B">
        <w:rPr>
          <w:rFonts w:asciiTheme="minorHAnsi" w:hAnsiTheme="minorHAnsi" w:cstheme="minorHAnsi"/>
          <w:sz w:val="24"/>
          <w:szCs w:val="24"/>
          <w:lang w:eastAsia="pt-BR"/>
        </w:rPr>
        <w:t xml:space="preserve">As metas para 2022, relacionadas as iniciativas referidas no </w:t>
      </w:r>
      <w:r w:rsidR="00B04FFA" w:rsidRPr="00252D7B">
        <w:rPr>
          <w:rFonts w:asciiTheme="minorHAnsi" w:hAnsiTheme="minorHAnsi" w:cstheme="minorHAnsi"/>
          <w:sz w:val="24"/>
          <w:szCs w:val="24"/>
          <w:lang w:eastAsia="pt-BR"/>
        </w:rPr>
        <w:fldChar w:fldCharType="begin"/>
      </w:r>
      <w:r w:rsidR="00B04FFA" w:rsidRPr="00252D7B">
        <w:rPr>
          <w:rFonts w:asciiTheme="minorHAnsi" w:hAnsiTheme="minorHAnsi" w:cstheme="minorHAnsi"/>
          <w:sz w:val="24"/>
          <w:szCs w:val="24"/>
          <w:lang w:eastAsia="pt-BR"/>
        </w:rPr>
        <w:instrText xml:space="preserve"> REF _Ref97562210 \h  \* MERGEFORMAT </w:instrText>
      </w:r>
      <w:r w:rsidR="00B04FFA" w:rsidRPr="00252D7B">
        <w:rPr>
          <w:rFonts w:asciiTheme="minorHAnsi" w:hAnsiTheme="minorHAnsi" w:cstheme="minorHAnsi"/>
          <w:sz w:val="24"/>
          <w:szCs w:val="24"/>
          <w:lang w:eastAsia="pt-BR"/>
        </w:rPr>
      </w:r>
      <w:r w:rsidR="00B04FFA" w:rsidRPr="00252D7B">
        <w:rPr>
          <w:rFonts w:asciiTheme="minorHAnsi" w:hAnsiTheme="minorHAnsi" w:cstheme="minorHAnsi"/>
          <w:sz w:val="24"/>
          <w:szCs w:val="24"/>
          <w:lang w:eastAsia="pt-BR"/>
        </w:rPr>
        <w:fldChar w:fldCharType="separate"/>
      </w:r>
      <w:r w:rsidR="00C12888" w:rsidRPr="00C12888">
        <w:rPr>
          <w:rFonts w:asciiTheme="minorHAnsi" w:hAnsiTheme="minorHAnsi" w:cstheme="minorHAnsi"/>
          <w:sz w:val="24"/>
          <w:szCs w:val="24"/>
          <w:lang w:eastAsia="pt-BR"/>
        </w:rPr>
        <w:t>Quadro 7</w:t>
      </w:r>
      <w:r w:rsidR="00B04FFA" w:rsidRPr="00252D7B">
        <w:rPr>
          <w:rFonts w:asciiTheme="minorHAnsi" w:hAnsiTheme="minorHAnsi" w:cstheme="minorHAnsi"/>
          <w:sz w:val="24"/>
          <w:szCs w:val="24"/>
          <w:lang w:eastAsia="pt-BR"/>
        </w:rPr>
        <w:fldChar w:fldCharType="end"/>
      </w:r>
      <w:r w:rsidR="00B04FFA" w:rsidRPr="00252D7B">
        <w:rPr>
          <w:rFonts w:asciiTheme="minorHAnsi" w:hAnsiTheme="minorHAnsi" w:cstheme="minorHAnsi"/>
          <w:sz w:val="24"/>
          <w:szCs w:val="24"/>
          <w:lang w:eastAsia="pt-BR"/>
        </w:rPr>
        <w:t xml:space="preserve"> </w:t>
      </w:r>
      <w:r w:rsidRPr="00252D7B">
        <w:rPr>
          <w:rFonts w:asciiTheme="minorHAnsi" w:hAnsiTheme="minorHAnsi" w:cstheme="minorHAnsi"/>
          <w:sz w:val="24"/>
          <w:szCs w:val="24"/>
          <w:lang w:eastAsia="pt-BR"/>
        </w:rPr>
        <w:t xml:space="preserve">foram também definidas no PETIC conforme </w:t>
      </w:r>
      <w:r w:rsidR="007C3150" w:rsidRPr="00252D7B">
        <w:rPr>
          <w:rFonts w:asciiTheme="minorHAnsi" w:hAnsiTheme="minorHAnsi" w:cstheme="minorHAnsi"/>
          <w:sz w:val="24"/>
          <w:szCs w:val="24"/>
          <w:lang w:eastAsia="pt-BR"/>
        </w:rPr>
        <w:fldChar w:fldCharType="begin"/>
      </w:r>
      <w:r w:rsidR="007C3150" w:rsidRPr="00252D7B">
        <w:rPr>
          <w:rFonts w:asciiTheme="minorHAnsi" w:hAnsiTheme="minorHAnsi" w:cstheme="minorHAnsi"/>
          <w:sz w:val="24"/>
          <w:szCs w:val="24"/>
          <w:lang w:eastAsia="pt-BR"/>
        </w:rPr>
        <w:instrText xml:space="preserve"> REF _Ref97563684 \h  \* MERGEFORMAT </w:instrText>
      </w:r>
      <w:r w:rsidR="007C3150" w:rsidRPr="00252D7B">
        <w:rPr>
          <w:rFonts w:asciiTheme="minorHAnsi" w:hAnsiTheme="minorHAnsi" w:cstheme="minorHAnsi"/>
          <w:sz w:val="24"/>
          <w:szCs w:val="24"/>
          <w:lang w:eastAsia="pt-BR"/>
        </w:rPr>
      </w:r>
      <w:r w:rsidR="007C3150" w:rsidRPr="00252D7B">
        <w:rPr>
          <w:rFonts w:asciiTheme="minorHAnsi" w:hAnsiTheme="minorHAnsi" w:cstheme="minorHAnsi"/>
          <w:sz w:val="24"/>
          <w:szCs w:val="24"/>
          <w:lang w:eastAsia="pt-BR"/>
        </w:rPr>
        <w:fldChar w:fldCharType="separate"/>
      </w:r>
      <w:r w:rsidR="00C12888" w:rsidRPr="00C12888">
        <w:rPr>
          <w:rFonts w:asciiTheme="minorHAnsi" w:hAnsiTheme="minorHAnsi" w:cstheme="minorHAnsi"/>
          <w:sz w:val="24"/>
          <w:szCs w:val="24"/>
          <w:lang w:eastAsia="pt-BR"/>
        </w:rPr>
        <w:t>Quadro 8</w:t>
      </w:r>
      <w:r w:rsidR="007C3150" w:rsidRPr="00252D7B">
        <w:rPr>
          <w:rFonts w:asciiTheme="minorHAnsi" w:hAnsiTheme="minorHAnsi" w:cstheme="minorHAnsi"/>
          <w:sz w:val="24"/>
          <w:szCs w:val="24"/>
          <w:lang w:eastAsia="pt-BR"/>
        </w:rPr>
        <w:fldChar w:fldCharType="end"/>
      </w:r>
      <w:r w:rsidR="007C0D9B" w:rsidRPr="00252D7B">
        <w:rPr>
          <w:rFonts w:asciiTheme="minorHAnsi" w:hAnsiTheme="minorHAnsi" w:cstheme="minorHAnsi"/>
          <w:sz w:val="24"/>
          <w:szCs w:val="24"/>
          <w:lang w:eastAsia="pt-BR"/>
        </w:rPr>
        <w:t xml:space="preserve"> </w:t>
      </w:r>
      <w:r w:rsidR="007C3150" w:rsidRPr="00252D7B">
        <w:rPr>
          <w:rFonts w:asciiTheme="minorHAnsi" w:hAnsiTheme="minorHAnsi" w:cstheme="minorHAnsi"/>
          <w:sz w:val="24"/>
          <w:szCs w:val="24"/>
          <w:lang w:eastAsia="pt-BR"/>
        </w:rPr>
        <w:t xml:space="preserve">a </w:t>
      </w:r>
      <w:r w:rsidR="007C3150" w:rsidRPr="00252D7B">
        <w:rPr>
          <w:rFonts w:asciiTheme="minorHAnsi" w:hAnsiTheme="minorHAnsi" w:cstheme="minorHAnsi"/>
          <w:sz w:val="24"/>
          <w:szCs w:val="24"/>
          <w:lang w:eastAsia="pt-BR"/>
        </w:rPr>
        <w:fldChar w:fldCharType="begin"/>
      </w:r>
      <w:r w:rsidR="007C3150" w:rsidRPr="00252D7B">
        <w:rPr>
          <w:rFonts w:asciiTheme="minorHAnsi" w:hAnsiTheme="minorHAnsi" w:cstheme="minorHAnsi"/>
          <w:sz w:val="24"/>
          <w:szCs w:val="24"/>
          <w:lang w:eastAsia="pt-BR"/>
        </w:rPr>
        <w:instrText xml:space="preserve"> REF _Ref97563712 \h  \* MERGEFORMAT </w:instrText>
      </w:r>
      <w:r w:rsidR="007C3150" w:rsidRPr="00252D7B">
        <w:rPr>
          <w:rFonts w:asciiTheme="minorHAnsi" w:hAnsiTheme="minorHAnsi" w:cstheme="minorHAnsi"/>
          <w:sz w:val="24"/>
          <w:szCs w:val="24"/>
          <w:lang w:eastAsia="pt-BR"/>
        </w:rPr>
      </w:r>
      <w:r w:rsidR="007C3150" w:rsidRPr="00252D7B">
        <w:rPr>
          <w:rFonts w:asciiTheme="minorHAnsi" w:hAnsiTheme="minorHAnsi" w:cstheme="minorHAnsi"/>
          <w:sz w:val="24"/>
          <w:szCs w:val="24"/>
          <w:lang w:eastAsia="pt-BR"/>
        </w:rPr>
        <w:fldChar w:fldCharType="separate"/>
      </w:r>
      <w:r w:rsidR="00C12888" w:rsidRPr="00C12888">
        <w:rPr>
          <w:rFonts w:asciiTheme="minorHAnsi" w:hAnsiTheme="minorHAnsi" w:cstheme="minorHAnsi"/>
          <w:sz w:val="24"/>
          <w:szCs w:val="24"/>
          <w:lang w:eastAsia="pt-BR"/>
        </w:rPr>
        <w:t>Quadro 16</w:t>
      </w:r>
      <w:r w:rsidR="007C3150" w:rsidRPr="00252D7B">
        <w:rPr>
          <w:rFonts w:asciiTheme="minorHAnsi" w:hAnsiTheme="minorHAnsi" w:cstheme="minorHAnsi"/>
          <w:sz w:val="24"/>
          <w:szCs w:val="24"/>
          <w:lang w:eastAsia="pt-BR"/>
        </w:rPr>
        <w:fldChar w:fldCharType="end"/>
      </w:r>
      <w:r w:rsidRPr="00252D7B">
        <w:rPr>
          <w:rFonts w:asciiTheme="minorHAnsi" w:hAnsiTheme="minorHAnsi" w:cstheme="minorHAnsi"/>
          <w:sz w:val="24"/>
          <w:szCs w:val="24"/>
          <w:lang w:eastAsia="pt-BR"/>
        </w:rPr>
        <w:t>. Cada quadro tem informações sobre a meta para o período integral, assim como a meta anual e o indicador do Objetivo estratégic</w:t>
      </w:r>
      <w:r w:rsidR="00B04FFA" w:rsidRPr="00252D7B">
        <w:rPr>
          <w:rFonts w:asciiTheme="minorHAnsi" w:hAnsiTheme="minorHAnsi" w:cstheme="minorHAnsi"/>
          <w:sz w:val="24"/>
          <w:szCs w:val="24"/>
          <w:lang w:eastAsia="pt-BR"/>
        </w:rPr>
        <w:t>o</w:t>
      </w:r>
      <w:r w:rsidRPr="00252D7B">
        <w:rPr>
          <w:rFonts w:asciiTheme="minorHAnsi" w:hAnsiTheme="minorHAnsi" w:cstheme="minorHAnsi"/>
          <w:sz w:val="24"/>
          <w:szCs w:val="24"/>
          <w:lang w:eastAsia="pt-BR"/>
        </w:rPr>
        <w:t xml:space="preserve"> cuja métrica fornecerá a medida da execução da inciativa para o ano de 2022.</w:t>
      </w:r>
    </w:p>
    <w:p w14:paraId="4F66908D" w14:textId="77777777" w:rsidR="00A41DBB" w:rsidRPr="00252D7B" w:rsidRDefault="00A41DBB" w:rsidP="00644CFB">
      <w:pPr>
        <w:pStyle w:val="Legenda"/>
        <w:spacing w:after="0"/>
        <w:jc w:val="center"/>
        <w:rPr>
          <w:rFonts w:asciiTheme="minorHAnsi" w:hAnsiTheme="minorHAnsi" w:cstheme="minorHAnsi"/>
          <w:sz w:val="20"/>
          <w:szCs w:val="20"/>
          <w:lang w:eastAsia="pt-BR"/>
        </w:rPr>
      </w:pPr>
    </w:p>
    <w:p w14:paraId="103CA3EB" w14:textId="160BE599" w:rsidR="004B2F13" w:rsidRPr="00252D7B" w:rsidRDefault="00564BFB" w:rsidP="008071A6">
      <w:pPr>
        <w:pStyle w:val="Legenda"/>
        <w:spacing w:before="120" w:after="120"/>
        <w:jc w:val="center"/>
        <w:rPr>
          <w:rFonts w:asciiTheme="minorHAnsi" w:hAnsiTheme="minorHAnsi" w:cstheme="minorHAnsi"/>
          <w:sz w:val="20"/>
          <w:szCs w:val="20"/>
          <w:lang w:eastAsia="pt-BR"/>
        </w:rPr>
      </w:pPr>
      <w:bookmarkStart w:id="486" w:name="_Ref97563684"/>
      <w:bookmarkStart w:id="487" w:name="_Toc103680727"/>
      <w:r w:rsidRPr="00252D7B">
        <w:rPr>
          <w:rFonts w:asciiTheme="minorHAnsi" w:hAnsiTheme="minorHAnsi" w:cstheme="minorHAnsi"/>
          <w:sz w:val="20"/>
          <w:szCs w:val="20"/>
        </w:rPr>
        <w:t xml:space="preserve">Quadro </w:t>
      </w:r>
      <w:r w:rsidRPr="00252D7B">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Quadro \* ARABIC </w:instrText>
      </w:r>
      <w:r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8</w:t>
      </w:r>
      <w:r w:rsidRPr="00252D7B">
        <w:rPr>
          <w:rFonts w:asciiTheme="minorHAnsi" w:hAnsiTheme="minorHAnsi" w:cstheme="minorHAnsi"/>
          <w:sz w:val="20"/>
          <w:szCs w:val="20"/>
        </w:rPr>
        <w:fldChar w:fldCharType="end"/>
      </w:r>
      <w:bookmarkEnd w:id="486"/>
      <w:r w:rsidR="004B2F13" w:rsidRPr="00252D7B">
        <w:rPr>
          <w:rFonts w:asciiTheme="minorHAnsi" w:hAnsiTheme="minorHAnsi" w:cstheme="minorHAnsi"/>
          <w:sz w:val="20"/>
          <w:szCs w:val="20"/>
          <w:lang w:eastAsia="pt-BR"/>
        </w:rPr>
        <w:t xml:space="preserve"> </w:t>
      </w:r>
      <w:r w:rsidR="00E73F64" w:rsidRPr="00252D7B">
        <w:rPr>
          <w:rFonts w:asciiTheme="minorHAnsi" w:hAnsiTheme="minorHAnsi" w:cstheme="minorHAnsi"/>
          <w:sz w:val="20"/>
          <w:szCs w:val="20"/>
          <w:lang w:eastAsia="pt-BR"/>
        </w:rPr>
        <w:t>–</w:t>
      </w:r>
      <w:r w:rsidR="004B2F13" w:rsidRPr="00252D7B">
        <w:rPr>
          <w:rFonts w:asciiTheme="minorHAnsi" w:hAnsiTheme="minorHAnsi" w:cstheme="minorHAnsi"/>
          <w:sz w:val="20"/>
          <w:szCs w:val="20"/>
          <w:lang w:eastAsia="pt-BR"/>
        </w:rPr>
        <w:t xml:space="preserve"> Metas e Indicador OETIC01</w:t>
      </w:r>
      <w:bookmarkEnd w:id="487"/>
    </w:p>
    <w:tbl>
      <w:tblPr>
        <w:tblStyle w:val="Tabelacomgrade10"/>
        <w:tblW w:w="4500" w:type="pct"/>
        <w:jc w:val="center"/>
        <w:tblInd w:w="0" w:type="dxa"/>
        <w:tblLook w:val="04A0" w:firstRow="1" w:lastRow="0" w:firstColumn="1" w:lastColumn="0" w:noHBand="0" w:noVBand="1"/>
      </w:tblPr>
      <w:tblGrid>
        <w:gridCol w:w="571"/>
        <w:gridCol w:w="2264"/>
        <w:gridCol w:w="2593"/>
        <w:gridCol w:w="2079"/>
        <w:gridCol w:w="1255"/>
      </w:tblGrid>
      <w:tr w:rsidR="00A41DBB" w:rsidRPr="00252D7B" w14:paraId="384E4C70" w14:textId="77777777" w:rsidTr="00C83676">
        <w:trPr>
          <w:tblHeader/>
          <w:jc w:val="center"/>
        </w:trPr>
        <w:tc>
          <w:tcPr>
            <w:tcW w:w="8762" w:type="dxa"/>
            <w:gridSpan w:val="5"/>
            <w:shd w:val="clear" w:color="auto" w:fill="D9D9D9"/>
            <w:vAlign w:val="center"/>
            <w:hideMark/>
          </w:tcPr>
          <w:p w14:paraId="0180767D"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OETIC 01: Aprimorar continuamente a experiência do serviço prestado aos usuários</w:t>
            </w:r>
          </w:p>
        </w:tc>
      </w:tr>
      <w:tr w:rsidR="00A41DBB" w:rsidRPr="00252D7B" w14:paraId="338430F2" w14:textId="77777777" w:rsidTr="00C83676">
        <w:trPr>
          <w:tblHeader/>
          <w:jc w:val="center"/>
        </w:trPr>
        <w:tc>
          <w:tcPr>
            <w:tcW w:w="571" w:type="dxa"/>
            <w:shd w:val="clear" w:color="auto" w:fill="D9D9D9"/>
            <w:vAlign w:val="center"/>
            <w:hideMark/>
          </w:tcPr>
          <w:p w14:paraId="2ED732EA"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ID</w:t>
            </w:r>
          </w:p>
        </w:tc>
        <w:tc>
          <w:tcPr>
            <w:tcW w:w="2264" w:type="dxa"/>
            <w:shd w:val="clear" w:color="auto" w:fill="D9D9D9"/>
            <w:vAlign w:val="center"/>
            <w:hideMark/>
          </w:tcPr>
          <w:p w14:paraId="10C9123A"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Metas 2022-2024</w:t>
            </w:r>
          </w:p>
        </w:tc>
        <w:tc>
          <w:tcPr>
            <w:tcW w:w="2593" w:type="dxa"/>
            <w:shd w:val="clear" w:color="auto" w:fill="D9D9D9"/>
            <w:vAlign w:val="center"/>
            <w:hideMark/>
          </w:tcPr>
          <w:p w14:paraId="0CCCFF09"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Metas 2022</w:t>
            </w:r>
          </w:p>
        </w:tc>
        <w:tc>
          <w:tcPr>
            <w:tcW w:w="2079" w:type="dxa"/>
            <w:shd w:val="clear" w:color="auto" w:fill="D9D9D9"/>
            <w:vAlign w:val="center"/>
            <w:hideMark/>
          </w:tcPr>
          <w:p w14:paraId="2F60A615"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Indicadores (IETIC)</w:t>
            </w:r>
          </w:p>
        </w:tc>
        <w:tc>
          <w:tcPr>
            <w:tcW w:w="1255" w:type="dxa"/>
            <w:shd w:val="clear" w:color="auto" w:fill="D9D9D9"/>
            <w:vAlign w:val="center"/>
            <w:hideMark/>
          </w:tcPr>
          <w:p w14:paraId="29D034BE"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Responsável</w:t>
            </w:r>
          </w:p>
        </w:tc>
      </w:tr>
      <w:tr w:rsidR="00A41DBB" w:rsidRPr="00252D7B" w14:paraId="48524808" w14:textId="77777777" w:rsidTr="00E03684">
        <w:trPr>
          <w:jc w:val="center"/>
        </w:trPr>
        <w:tc>
          <w:tcPr>
            <w:tcW w:w="0" w:type="auto"/>
            <w:vAlign w:val="center"/>
            <w:hideMark/>
          </w:tcPr>
          <w:p w14:paraId="7156782C"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01.1</w:t>
            </w:r>
          </w:p>
        </w:tc>
        <w:tc>
          <w:tcPr>
            <w:tcW w:w="2264" w:type="dxa"/>
            <w:vAlign w:val="center"/>
            <w:hideMark/>
          </w:tcPr>
          <w:p w14:paraId="1D4D1C09"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 xml:space="preserve">Assegurar a alta disponibilidade da infraestrutura de TI a partir do tempo em que os recursos de rede e sistemas ficam disponíveis para a utilização dos empregados da Valec, superior à 95%. * Exceto </w:t>
            </w:r>
            <w:r w:rsidRPr="00252D7B">
              <w:rPr>
                <w:rFonts w:asciiTheme="minorHAnsi" w:eastAsia="Times New Roman" w:hAnsiTheme="minorHAnsi" w:cstheme="minorHAnsi"/>
                <w:lang w:bidi="ar-SA"/>
              </w:rPr>
              <w:lastRenderedPageBreak/>
              <w:t>manutenções programadas.</w:t>
            </w:r>
          </w:p>
        </w:tc>
        <w:tc>
          <w:tcPr>
            <w:tcW w:w="2593" w:type="dxa"/>
            <w:vAlign w:val="center"/>
            <w:hideMark/>
          </w:tcPr>
          <w:p w14:paraId="3239360D"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lastRenderedPageBreak/>
              <w:t>Assegurar a alta disponibilidade da Infraestrutura dos serviços de TIC e disponibilidade de sistemas, superior à 95%. * Exceto manutenções programadas.</w:t>
            </w:r>
          </w:p>
        </w:tc>
        <w:tc>
          <w:tcPr>
            <w:tcW w:w="2079" w:type="dxa"/>
            <w:vAlign w:val="center"/>
            <w:hideMark/>
          </w:tcPr>
          <w:p w14:paraId="57DB4DB7"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IETIC 01.1 - Percentual da disponibilidade de rede e sistemas</w:t>
            </w:r>
          </w:p>
        </w:tc>
        <w:tc>
          <w:tcPr>
            <w:tcW w:w="1255" w:type="dxa"/>
            <w:vAlign w:val="center"/>
            <w:hideMark/>
          </w:tcPr>
          <w:p w14:paraId="134139C7"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GEINF</w:t>
            </w:r>
          </w:p>
        </w:tc>
      </w:tr>
      <w:tr w:rsidR="00A41DBB" w:rsidRPr="00252D7B" w14:paraId="294CB0D3" w14:textId="77777777" w:rsidTr="00E03684">
        <w:trPr>
          <w:jc w:val="center"/>
        </w:trPr>
        <w:tc>
          <w:tcPr>
            <w:tcW w:w="0" w:type="auto"/>
            <w:vAlign w:val="center"/>
            <w:hideMark/>
          </w:tcPr>
          <w:p w14:paraId="17A2325A"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01.2</w:t>
            </w:r>
          </w:p>
        </w:tc>
        <w:tc>
          <w:tcPr>
            <w:tcW w:w="2264" w:type="dxa"/>
            <w:vAlign w:val="center"/>
            <w:hideMark/>
          </w:tcPr>
          <w:p w14:paraId="44725932"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Manter a média anual de no mínimo 90% de satisfação dos usuários internos dos serviços prestados pela área de TIC, apurados por meio de pesquisa.</w:t>
            </w:r>
          </w:p>
        </w:tc>
        <w:tc>
          <w:tcPr>
            <w:tcW w:w="2593" w:type="dxa"/>
            <w:vAlign w:val="center"/>
            <w:hideMark/>
          </w:tcPr>
          <w:p w14:paraId="71D4BD56"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Manter a média de no mínimo 90% de satisfação dos usuários internos dos serviços prestados pela área de TIC, apurados por meio de pesquisa em 2022.</w:t>
            </w:r>
          </w:p>
        </w:tc>
        <w:tc>
          <w:tcPr>
            <w:tcW w:w="2079" w:type="dxa"/>
            <w:vAlign w:val="center"/>
            <w:hideMark/>
          </w:tcPr>
          <w:p w14:paraId="097074D9"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IETIC 01.2 - Índice de satisfação dos usuários internos com os serviços de TIC</w:t>
            </w:r>
          </w:p>
        </w:tc>
        <w:tc>
          <w:tcPr>
            <w:tcW w:w="1255" w:type="dxa"/>
            <w:vAlign w:val="center"/>
            <w:hideMark/>
          </w:tcPr>
          <w:p w14:paraId="3A3F4BD3"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SUPTI</w:t>
            </w:r>
          </w:p>
        </w:tc>
      </w:tr>
      <w:tr w:rsidR="00A41DBB" w:rsidRPr="00252D7B" w14:paraId="69ECEFB1" w14:textId="77777777" w:rsidTr="00E03684">
        <w:trPr>
          <w:jc w:val="center"/>
        </w:trPr>
        <w:tc>
          <w:tcPr>
            <w:tcW w:w="0" w:type="auto"/>
            <w:vAlign w:val="center"/>
            <w:hideMark/>
          </w:tcPr>
          <w:p w14:paraId="7E2859F4"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01.3</w:t>
            </w:r>
          </w:p>
        </w:tc>
        <w:tc>
          <w:tcPr>
            <w:tcW w:w="2264" w:type="dxa"/>
            <w:vAlign w:val="center"/>
            <w:hideMark/>
          </w:tcPr>
          <w:p w14:paraId="6D0FD488"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Elaborar manuais de utilização de 100% dos módulos de sistemas desenvolvidos na Valec até dezembro de 2024.</w:t>
            </w:r>
          </w:p>
        </w:tc>
        <w:tc>
          <w:tcPr>
            <w:tcW w:w="2593" w:type="dxa"/>
            <w:vAlign w:val="center"/>
            <w:hideMark/>
          </w:tcPr>
          <w:p w14:paraId="13595F05"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Elaborar manuais de utilização de no mínimo 30% dos módulos de sistemas desenvolvidos na Valec até dezembro de 2022.</w:t>
            </w:r>
          </w:p>
        </w:tc>
        <w:tc>
          <w:tcPr>
            <w:tcW w:w="2079" w:type="dxa"/>
            <w:vAlign w:val="center"/>
            <w:hideMark/>
          </w:tcPr>
          <w:p w14:paraId="669EEECC"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IETIC 01.3 - Percentual de manuais procedimentais elaborados</w:t>
            </w:r>
          </w:p>
        </w:tc>
        <w:tc>
          <w:tcPr>
            <w:tcW w:w="1255" w:type="dxa"/>
            <w:vAlign w:val="center"/>
            <w:hideMark/>
          </w:tcPr>
          <w:p w14:paraId="7A3BF9D9"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SUPTI</w:t>
            </w:r>
          </w:p>
        </w:tc>
      </w:tr>
    </w:tbl>
    <w:p w14:paraId="41B44EDD" w14:textId="77777777" w:rsidR="00A41DBB" w:rsidRPr="00252D7B" w:rsidRDefault="00A41DBB" w:rsidP="00463C1C">
      <w:pPr>
        <w:pStyle w:val="Legenda"/>
        <w:spacing w:after="0"/>
        <w:rPr>
          <w:rFonts w:asciiTheme="minorHAnsi" w:hAnsiTheme="minorHAnsi" w:cstheme="minorHAnsi"/>
          <w:sz w:val="20"/>
          <w:szCs w:val="20"/>
          <w:lang w:eastAsia="pt-BR"/>
        </w:rPr>
      </w:pPr>
    </w:p>
    <w:p w14:paraId="2BD341E8" w14:textId="28B8208B" w:rsidR="004B2F13" w:rsidRPr="00252D7B" w:rsidRDefault="00343DE1" w:rsidP="008071A6">
      <w:pPr>
        <w:pStyle w:val="Legenda"/>
        <w:spacing w:before="120" w:after="120"/>
        <w:jc w:val="center"/>
        <w:rPr>
          <w:rFonts w:asciiTheme="minorHAnsi" w:hAnsiTheme="minorHAnsi" w:cstheme="minorHAnsi"/>
          <w:sz w:val="20"/>
          <w:szCs w:val="20"/>
          <w:lang w:eastAsia="pt-BR"/>
        </w:rPr>
      </w:pPr>
      <w:bookmarkStart w:id="488" w:name="_Toc103680728"/>
      <w:r w:rsidRPr="00252D7B">
        <w:rPr>
          <w:rFonts w:asciiTheme="minorHAnsi" w:hAnsiTheme="minorHAnsi" w:cstheme="minorHAnsi"/>
          <w:sz w:val="20"/>
          <w:szCs w:val="20"/>
        </w:rPr>
        <w:t xml:space="preserve">Quadro </w:t>
      </w:r>
      <w:r w:rsidRPr="00252D7B">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Quadro \* ARABIC </w:instrText>
      </w:r>
      <w:r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9</w:t>
      </w:r>
      <w:r w:rsidRPr="00252D7B">
        <w:rPr>
          <w:rFonts w:asciiTheme="minorHAnsi" w:hAnsiTheme="minorHAnsi" w:cstheme="minorHAnsi"/>
          <w:sz w:val="20"/>
          <w:szCs w:val="20"/>
        </w:rPr>
        <w:fldChar w:fldCharType="end"/>
      </w:r>
      <w:r w:rsidR="004B2F13" w:rsidRPr="00252D7B">
        <w:rPr>
          <w:rFonts w:asciiTheme="minorHAnsi" w:hAnsiTheme="minorHAnsi" w:cstheme="minorHAnsi"/>
          <w:sz w:val="20"/>
          <w:szCs w:val="20"/>
          <w:lang w:eastAsia="pt-BR"/>
        </w:rPr>
        <w:t xml:space="preserve"> </w:t>
      </w:r>
      <w:r w:rsidR="00E73F64" w:rsidRPr="00252D7B">
        <w:rPr>
          <w:rFonts w:asciiTheme="minorHAnsi" w:hAnsiTheme="minorHAnsi" w:cstheme="minorHAnsi"/>
          <w:sz w:val="20"/>
          <w:szCs w:val="20"/>
          <w:lang w:eastAsia="pt-BR"/>
        </w:rPr>
        <w:t>–</w:t>
      </w:r>
      <w:r w:rsidR="004B2F13" w:rsidRPr="00252D7B">
        <w:rPr>
          <w:rFonts w:asciiTheme="minorHAnsi" w:hAnsiTheme="minorHAnsi" w:cstheme="minorHAnsi"/>
          <w:sz w:val="20"/>
          <w:szCs w:val="20"/>
          <w:lang w:eastAsia="pt-BR"/>
        </w:rPr>
        <w:t xml:space="preserve"> Metas e Indicador OETIC02</w:t>
      </w:r>
      <w:bookmarkEnd w:id="488"/>
    </w:p>
    <w:tbl>
      <w:tblPr>
        <w:tblStyle w:val="Tabelacomgrade10"/>
        <w:tblW w:w="4500" w:type="pct"/>
        <w:tblInd w:w="487" w:type="dxa"/>
        <w:tblLook w:val="04A0" w:firstRow="1" w:lastRow="0" w:firstColumn="1" w:lastColumn="0" w:noHBand="0" w:noVBand="1"/>
      </w:tblPr>
      <w:tblGrid>
        <w:gridCol w:w="571"/>
        <w:gridCol w:w="2266"/>
        <w:gridCol w:w="2587"/>
        <w:gridCol w:w="2083"/>
        <w:gridCol w:w="1255"/>
      </w:tblGrid>
      <w:tr w:rsidR="00A41DBB" w:rsidRPr="00252D7B" w14:paraId="019E4655" w14:textId="77777777" w:rsidTr="004B2F13">
        <w:tc>
          <w:tcPr>
            <w:tcW w:w="8762" w:type="dxa"/>
            <w:gridSpan w:val="5"/>
            <w:shd w:val="clear" w:color="auto" w:fill="D9D9D9"/>
            <w:vAlign w:val="center"/>
            <w:hideMark/>
          </w:tcPr>
          <w:p w14:paraId="33B353B0"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OETIC 02: Expandir a prestação de serviços digitais</w:t>
            </w:r>
          </w:p>
        </w:tc>
      </w:tr>
      <w:tr w:rsidR="00A41DBB" w:rsidRPr="00252D7B" w14:paraId="60F44C47" w14:textId="77777777" w:rsidTr="004B2F13">
        <w:tc>
          <w:tcPr>
            <w:tcW w:w="571" w:type="dxa"/>
            <w:shd w:val="clear" w:color="auto" w:fill="D9D9D9"/>
            <w:vAlign w:val="center"/>
            <w:hideMark/>
          </w:tcPr>
          <w:p w14:paraId="2FFCD19E"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ID</w:t>
            </w:r>
          </w:p>
        </w:tc>
        <w:tc>
          <w:tcPr>
            <w:tcW w:w="2266" w:type="dxa"/>
            <w:shd w:val="clear" w:color="auto" w:fill="D9D9D9"/>
            <w:vAlign w:val="center"/>
            <w:hideMark/>
          </w:tcPr>
          <w:p w14:paraId="110270B8"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Metas 2022-2024</w:t>
            </w:r>
          </w:p>
        </w:tc>
        <w:tc>
          <w:tcPr>
            <w:tcW w:w="2587" w:type="dxa"/>
            <w:shd w:val="clear" w:color="auto" w:fill="D9D9D9"/>
            <w:vAlign w:val="center"/>
            <w:hideMark/>
          </w:tcPr>
          <w:p w14:paraId="25AB0B6A"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Metas 2022</w:t>
            </w:r>
          </w:p>
        </w:tc>
        <w:tc>
          <w:tcPr>
            <w:tcW w:w="2083" w:type="dxa"/>
            <w:shd w:val="clear" w:color="auto" w:fill="D9D9D9"/>
            <w:vAlign w:val="center"/>
            <w:hideMark/>
          </w:tcPr>
          <w:p w14:paraId="2DE1A50F"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Indicadores</w:t>
            </w:r>
          </w:p>
        </w:tc>
        <w:tc>
          <w:tcPr>
            <w:tcW w:w="1255" w:type="dxa"/>
            <w:shd w:val="clear" w:color="auto" w:fill="D9D9D9"/>
            <w:vAlign w:val="center"/>
            <w:hideMark/>
          </w:tcPr>
          <w:p w14:paraId="4485ED7A"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Responsável</w:t>
            </w:r>
          </w:p>
        </w:tc>
      </w:tr>
      <w:tr w:rsidR="00A41DBB" w:rsidRPr="00252D7B" w14:paraId="33DD8117" w14:textId="77777777" w:rsidTr="004B2F13">
        <w:tc>
          <w:tcPr>
            <w:tcW w:w="571" w:type="dxa"/>
            <w:vAlign w:val="center"/>
            <w:hideMark/>
          </w:tcPr>
          <w:p w14:paraId="171F37FB"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lang w:bidi="ar-SA"/>
              </w:rPr>
            </w:pPr>
            <w:r w:rsidRPr="00252D7B">
              <w:rPr>
                <w:rFonts w:asciiTheme="minorHAnsi" w:eastAsia="Times New Roman" w:hAnsiTheme="minorHAnsi" w:cstheme="minorHAnsi"/>
                <w:lang w:bidi="ar-SA"/>
              </w:rPr>
              <w:t>02.1</w:t>
            </w:r>
          </w:p>
        </w:tc>
        <w:tc>
          <w:tcPr>
            <w:tcW w:w="2266" w:type="dxa"/>
            <w:vAlign w:val="center"/>
            <w:hideMark/>
          </w:tcPr>
          <w:p w14:paraId="23B35926"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lang w:bidi="ar-SA"/>
              </w:rPr>
            </w:pPr>
            <w:r w:rsidRPr="00252D7B">
              <w:rPr>
                <w:rFonts w:asciiTheme="minorHAnsi" w:eastAsia="Times New Roman" w:hAnsiTheme="minorHAnsi" w:cstheme="minorHAnsi"/>
                <w:lang w:bidi="ar-SA"/>
              </w:rPr>
              <w:t>Atingir o percentual de 100% na execução das ações do PDTIC 2022-2024 até 2024.</w:t>
            </w:r>
          </w:p>
        </w:tc>
        <w:tc>
          <w:tcPr>
            <w:tcW w:w="2587" w:type="dxa"/>
            <w:vAlign w:val="center"/>
            <w:hideMark/>
          </w:tcPr>
          <w:p w14:paraId="326FCCCA"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lang w:bidi="ar-SA"/>
              </w:rPr>
            </w:pPr>
            <w:r w:rsidRPr="00252D7B">
              <w:rPr>
                <w:rFonts w:asciiTheme="minorHAnsi" w:eastAsia="Times New Roman" w:hAnsiTheme="minorHAnsi" w:cstheme="minorHAnsi"/>
                <w:lang w:bidi="ar-SA"/>
              </w:rPr>
              <w:t>Executar 30% das ações previstas no PDTIC 2022-2024 até dezembro de 2022.</w:t>
            </w:r>
          </w:p>
        </w:tc>
        <w:tc>
          <w:tcPr>
            <w:tcW w:w="2083" w:type="dxa"/>
            <w:vAlign w:val="center"/>
            <w:hideMark/>
          </w:tcPr>
          <w:p w14:paraId="06102DE3"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lang w:bidi="ar-SA"/>
              </w:rPr>
            </w:pPr>
            <w:r w:rsidRPr="00252D7B">
              <w:rPr>
                <w:rFonts w:asciiTheme="minorHAnsi" w:eastAsia="Times New Roman" w:hAnsiTheme="minorHAnsi" w:cstheme="minorHAnsi"/>
                <w:lang w:bidi="ar-SA"/>
              </w:rPr>
              <w:t>IETIC 02.1 - Percentual de execução das ações planejadas no PDTIC 2022-2024</w:t>
            </w:r>
          </w:p>
        </w:tc>
        <w:tc>
          <w:tcPr>
            <w:tcW w:w="1255" w:type="dxa"/>
            <w:vAlign w:val="center"/>
            <w:hideMark/>
          </w:tcPr>
          <w:p w14:paraId="35BD2266"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lang w:bidi="ar-SA"/>
              </w:rPr>
            </w:pPr>
            <w:r w:rsidRPr="00252D7B">
              <w:rPr>
                <w:rFonts w:asciiTheme="minorHAnsi" w:eastAsia="Times New Roman" w:hAnsiTheme="minorHAnsi" w:cstheme="minorHAnsi"/>
                <w:lang w:bidi="ar-SA"/>
              </w:rPr>
              <w:t>SUPTI</w:t>
            </w:r>
          </w:p>
        </w:tc>
      </w:tr>
    </w:tbl>
    <w:p w14:paraId="5B32D78D" w14:textId="64E335DA" w:rsidR="00A41DBB" w:rsidRPr="00252D7B" w:rsidRDefault="00A41DBB" w:rsidP="00463C1C">
      <w:pPr>
        <w:pStyle w:val="Legenda"/>
        <w:spacing w:after="0"/>
        <w:rPr>
          <w:rFonts w:asciiTheme="minorHAnsi" w:hAnsiTheme="minorHAnsi" w:cstheme="minorHAnsi"/>
          <w:sz w:val="20"/>
          <w:szCs w:val="20"/>
          <w:lang w:eastAsia="pt-BR"/>
        </w:rPr>
      </w:pPr>
    </w:p>
    <w:p w14:paraId="2C8B0189" w14:textId="016B67EE" w:rsidR="004B2F13" w:rsidRPr="00252D7B" w:rsidRDefault="00343DE1" w:rsidP="008071A6">
      <w:pPr>
        <w:pStyle w:val="Legenda"/>
        <w:spacing w:before="120" w:after="120"/>
        <w:jc w:val="center"/>
        <w:rPr>
          <w:rFonts w:asciiTheme="minorHAnsi" w:hAnsiTheme="minorHAnsi" w:cstheme="minorHAnsi"/>
          <w:sz w:val="20"/>
          <w:szCs w:val="20"/>
          <w:lang w:eastAsia="pt-BR"/>
        </w:rPr>
      </w:pPr>
      <w:bookmarkStart w:id="489" w:name="_Toc103680729"/>
      <w:r w:rsidRPr="00252D7B">
        <w:rPr>
          <w:rFonts w:asciiTheme="minorHAnsi" w:hAnsiTheme="minorHAnsi" w:cstheme="minorHAnsi"/>
          <w:sz w:val="20"/>
          <w:szCs w:val="20"/>
        </w:rPr>
        <w:t xml:space="preserve">Quadro </w:t>
      </w:r>
      <w:r w:rsidRPr="00252D7B">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Quadro \* ARABIC </w:instrText>
      </w:r>
      <w:r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10</w:t>
      </w:r>
      <w:r w:rsidRPr="00252D7B">
        <w:rPr>
          <w:rFonts w:asciiTheme="minorHAnsi" w:hAnsiTheme="minorHAnsi" w:cstheme="minorHAnsi"/>
          <w:sz w:val="20"/>
          <w:szCs w:val="20"/>
        </w:rPr>
        <w:fldChar w:fldCharType="end"/>
      </w:r>
      <w:r w:rsidR="004B2F13" w:rsidRPr="00252D7B">
        <w:rPr>
          <w:rFonts w:asciiTheme="minorHAnsi" w:hAnsiTheme="minorHAnsi" w:cstheme="minorHAnsi"/>
          <w:sz w:val="20"/>
          <w:szCs w:val="20"/>
          <w:lang w:eastAsia="pt-BR"/>
        </w:rPr>
        <w:t xml:space="preserve"> </w:t>
      </w:r>
      <w:r w:rsidR="00E73F64" w:rsidRPr="00252D7B">
        <w:rPr>
          <w:rFonts w:asciiTheme="minorHAnsi" w:hAnsiTheme="minorHAnsi" w:cstheme="minorHAnsi"/>
          <w:sz w:val="20"/>
          <w:szCs w:val="20"/>
          <w:lang w:eastAsia="pt-BR"/>
        </w:rPr>
        <w:t>–</w:t>
      </w:r>
      <w:r w:rsidR="004B2F13" w:rsidRPr="00252D7B">
        <w:rPr>
          <w:rFonts w:asciiTheme="minorHAnsi" w:hAnsiTheme="minorHAnsi" w:cstheme="minorHAnsi"/>
          <w:sz w:val="20"/>
          <w:szCs w:val="20"/>
          <w:lang w:eastAsia="pt-BR"/>
        </w:rPr>
        <w:t xml:space="preserve"> Metas e Indicador OETIC03</w:t>
      </w:r>
      <w:bookmarkEnd w:id="489"/>
    </w:p>
    <w:tbl>
      <w:tblPr>
        <w:tblStyle w:val="Tabelacomgrade10"/>
        <w:tblW w:w="4500" w:type="pct"/>
        <w:jc w:val="center"/>
        <w:tblInd w:w="0" w:type="dxa"/>
        <w:tblLook w:val="04A0" w:firstRow="1" w:lastRow="0" w:firstColumn="1" w:lastColumn="0" w:noHBand="0" w:noVBand="1"/>
      </w:tblPr>
      <w:tblGrid>
        <w:gridCol w:w="571"/>
        <w:gridCol w:w="2189"/>
        <w:gridCol w:w="2449"/>
        <w:gridCol w:w="2298"/>
        <w:gridCol w:w="1255"/>
      </w:tblGrid>
      <w:tr w:rsidR="00A41DBB" w:rsidRPr="00252D7B" w14:paraId="682563C4" w14:textId="77777777" w:rsidTr="008071A6">
        <w:trPr>
          <w:jc w:val="center"/>
        </w:trPr>
        <w:tc>
          <w:tcPr>
            <w:tcW w:w="8762" w:type="dxa"/>
            <w:gridSpan w:val="5"/>
            <w:shd w:val="clear" w:color="auto" w:fill="D9D9D9"/>
            <w:vAlign w:val="center"/>
            <w:hideMark/>
          </w:tcPr>
          <w:p w14:paraId="0FB68552"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OETIC 03: Fomentar a disponibilização e uso de dados abertos </w:t>
            </w:r>
          </w:p>
        </w:tc>
      </w:tr>
      <w:tr w:rsidR="00A41DBB" w:rsidRPr="00252D7B" w14:paraId="6AECC31B" w14:textId="77777777" w:rsidTr="008071A6">
        <w:trPr>
          <w:jc w:val="center"/>
        </w:trPr>
        <w:tc>
          <w:tcPr>
            <w:tcW w:w="571" w:type="dxa"/>
            <w:shd w:val="clear" w:color="auto" w:fill="D9D9D9"/>
            <w:vAlign w:val="center"/>
            <w:hideMark/>
          </w:tcPr>
          <w:p w14:paraId="7D715341"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ID</w:t>
            </w:r>
          </w:p>
        </w:tc>
        <w:tc>
          <w:tcPr>
            <w:tcW w:w="2189" w:type="dxa"/>
            <w:shd w:val="clear" w:color="auto" w:fill="D9D9D9"/>
            <w:vAlign w:val="center"/>
            <w:hideMark/>
          </w:tcPr>
          <w:p w14:paraId="7F93EAE2"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Metas 2022-2024</w:t>
            </w:r>
          </w:p>
        </w:tc>
        <w:tc>
          <w:tcPr>
            <w:tcW w:w="2449" w:type="dxa"/>
            <w:shd w:val="clear" w:color="auto" w:fill="D9D9D9"/>
            <w:vAlign w:val="center"/>
            <w:hideMark/>
          </w:tcPr>
          <w:p w14:paraId="68A6CD1F"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Metas 2022</w:t>
            </w:r>
          </w:p>
        </w:tc>
        <w:tc>
          <w:tcPr>
            <w:tcW w:w="2298" w:type="dxa"/>
            <w:shd w:val="clear" w:color="auto" w:fill="D9D9D9"/>
            <w:vAlign w:val="center"/>
            <w:hideMark/>
          </w:tcPr>
          <w:p w14:paraId="62180330"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Indicadores</w:t>
            </w:r>
          </w:p>
        </w:tc>
        <w:tc>
          <w:tcPr>
            <w:tcW w:w="1255" w:type="dxa"/>
            <w:shd w:val="clear" w:color="auto" w:fill="D9D9D9"/>
            <w:vAlign w:val="center"/>
            <w:hideMark/>
          </w:tcPr>
          <w:p w14:paraId="4E3F3BFA"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Responsável</w:t>
            </w:r>
          </w:p>
        </w:tc>
      </w:tr>
      <w:tr w:rsidR="00A41DBB" w:rsidRPr="00252D7B" w14:paraId="553296DB" w14:textId="77777777" w:rsidTr="008071A6">
        <w:trPr>
          <w:jc w:val="center"/>
        </w:trPr>
        <w:tc>
          <w:tcPr>
            <w:tcW w:w="0" w:type="auto"/>
            <w:vAlign w:val="center"/>
            <w:hideMark/>
          </w:tcPr>
          <w:p w14:paraId="1805C21F"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03.1</w:t>
            </w:r>
          </w:p>
        </w:tc>
        <w:tc>
          <w:tcPr>
            <w:tcW w:w="2189" w:type="dxa"/>
            <w:vAlign w:val="center"/>
            <w:hideMark/>
          </w:tcPr>
          <w:p w14:paraId="2FF4D489"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Alcançar 100% de publicação dos dados abertos elegíveis até dezembro de 2024.</w:t>
            </w:r>
          </w:p>
        </w:tc>
        <w:tc>
          <w:tcPr>
            <w:tcW w:w="2449" w:type="dxa"/>
            <w:vAlign w:val="center"/>
            <w:hideMark/>
          </w:tcPr>
          <w:p w14:paraId="5E8A6B3A"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Alcançar 20% de publicação de dados abertos elegíveis até dezembro de 2022.</w:t>
            </w:r>
          </w:p>
        </w:tc>
        <w:tc>
          <w:tcPr>
            <w:tcW w:w="2298" w:type="dxa"/>
            <w:vAlign w:val="center"/>
            <w:hideMark/>
          </w:tcPr>
          <w:p w14:paraId="7F4079A4"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IETIC 03.1 - Percentual base de dados disponibilizados de forma aberta</w:t>
            </w:r>
          </w:p>
        </w:tc>
        <w:tc>
          <w:tcPr>
            <w:tcW w:w="1255" w:type="dxa"/>
            <w:vAlign w:val="center"/>
            <w:hideMark/>
          </w:tcPr>
          <w:p w14:paraId="67878628"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GSINF</w:t>
            </w:r>
          </w:p>
        </w:tc>
      </w:tr>
    </w:tbl>
    <w:p w14:paraId="68183068" w14:textId="77777777" w:rsidR="00A41DBB" w:rsidRPr="00252D7B" w:rsidRDefault="00A41DBB" w:rsidP="00463C1C">
      <w:pPr>
        <w:pStyle w:val="Legenda"/>
        <w:spacing w:after="0"/>
        <w:rPr>
          <w:rFonts w:asciiTheme="minorHAnsi" w:hAnsiTheme="minorHAnsi" w:cstheme="minorHAnsi"/>
          <w:sz w:val="20"/>
          <w:szCs w:val="20"/>
          <w:lang w:eastAsia="pt-BR"/>
        </w:rPr>
      </w:pPr>
    </w:p>
    <w:p w14:paraId="391E63D0" w14:textId="16978CF5" w:rsidR="004B2F13" w:rsidRPr="00252D7B" w:rsidRDefault="00343DE1" w:rsidP="008071A6">
      <w:pPr>
        <w:pStyle w:val="Legenda"/>
        <w:spacing w:before="120" w:after="120"/>
        <w:jc w:val="center"/>
        <w:rPr>
          <w:rFonts w:asciiTheme="minorHAnsi" w:hAnsiTheme="minorHAnsi" w:cstheme="minorHAnsi"/>
          <w:sz w:val="20"/>
          <w:szCs w:val="20"/>
          <w:lang w:eastAsia="pt-BR"/>
        </w:rPr>
      </w:pPr>
      <w:bookmarkStart w:id="490" w:name="_Toc103680730"/>
      <w:r w:rsidRPr="00252D7B">
        <w:rPr>
          <w:rFonts w:asciiTheme="minorHAnsi" w:hAnsiTheme="minorHAnsi" w:cstheme="minorHAnsi"/>
          <w:sz w:val="20"/>
          <w:szCs w:val="20"/>
        </w:rPr>
        <w:t xml:space="preserve">Quadro </w:t>
      </w:r>
      <w:r w:rsidRPr="00252D7B">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Quadro \* ARABIC </w:instrText>
      </w:r>
      <w:r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11</w:t>
      </w:r>
      <w:r w:rsidRPr="00252D7B">
        <w:rPr>
          <w:rFonts w:asciiTheme="minorHAnsi" w:hAnsiTheme="minorHAnsi" w:cstheme="minorHAnsi"/>
          <w:sz w:val="20"/>
          <w:szCs w:val="20"/>
        </w:rPr>
        <w:fldChar w:fldCharType="end"/>
      </w:r>
      <w:r w:rsidR="004B2F13" w:rsidRPr="00252D7B">
        <w:rPr>
          <w:rFonts w:asciiTheme="minorHAnsi" w:hAnsiTheme="minorHAnsi" w:cstheme="minorHAnsi"/>
          <w:sz w:val="20"/>
          <w:szCs w:val="20"/>
          <w:lang w:eastAsia="pt-BR"/>
        </w:rPr>
        <w:t xml:space="preserve"> </w:t>
      </w:r>
      <w:r w:rsidR="00E73F64" w:rsidRPr="00252D7B">
        <w:rPr>
          <w:rFonts w:asciiTheme="minorHAnsi" w:hAnsiTheme="minorHAnsi" w:cstheme="minorHAnsi"/>
          <w:sz w:val="20"/>
          <w:szCs w:val="20"/>
          <w:lang w:eastAsia="pt-BR"/>
        </w:rPr>
        <w:t>–</w:t>
      </w:r>
      <w:r w:rsidR="004B2F13" w:rsidRPr="00252D7B">
        <w:rPr>
          <w:rFonts w:asciiTheme="minorHAnsi" w:hAnsiTheme="minorHAnsi" w:cstheme="minorHAnsi"/>
          <w:sz w:val="20"/>
          <w:szCs w:val="20"/>
          <w:lang w:eastAsia="pt-BR"/>
        </w:rPr>
        <w:t xml:space="preserve"> Metas e Indicador OETIC04</w:t>
      </w:r>
      <w:bookmarkEnd w:id="490"/>
    </w:p>
    <w:tbl>
      <w:tblPr>
        <w:tblStyle w:val="Tabelacomgrade10"/>
        <w:tblW w:w="5000" w:type="pct"/>
        <w:jc w:val="center"/>
        <w:tblInd w:w="0" w:type="dxa"/>
        <w:tblLook w:val="04A0" w:firstRow="1" w:lastRow="0" w:firstColumn="1" w:lastColumn="0" w:noHBand="0" w:noVBand="1"/>
      </w:tblPr>
      <w:tblGrid>
        <w:gridCol w:w="634"/>
        <w:gridCol w:w="2300"/>
        <w:gridCol w:w="2526"/>
        <w:gridCol w:w="2884"/>
        <w:gridCol w:w="1392"/>
      </w:tblGrid>
      <w:tr w:rsidR="00A41DBB" w:rsidRPr="00252D7B" w14:paraId="03439E61" w14:textId="77777777" w:rsidTr="004B2F13">
        <w:trPr>
          <w:tblHeader/>
          <w:jc w:val="center"/>
        </w:trPr>
        <w:tc>
          <w:tcPr>
            <w:tcW w:w="5000" w:type="pct"/>
            <w:gridSpan w:val="5"/>
            <w:shd w:val="clear" w:color="auto" w:fill="D9D9D9"/>
            <w:vAlign w:val="center"/>
            <w:hideMark/>
          </w:tcPr>
          <w:p w14:paraId="183D5070"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OETIC 04: Aprimorar os níveis de maturidade em Gestão e Governança de TIC com a adequação às melhores práticas do mercado</w:t>
            </w:r>
          </w:p>
        </w:tc>
      </w:tr>
      <w:tr w:rsidR="00A41DBB" w:rsidRPr="00252D7B" w14:paraId="44F8A868" w14:textId="77777777" w:rsidTr="004B2F13">
        <w:trPr>
          <w:tblHeader/>
          <w:jc w:val="center"/>
        </w:trPr>
        <w:tc>
          <w:tcPr>
            <w:tcW w:w="326" w:type="pct"/>
            <w:shd w:val="clear" w:color="auto" w:fill="D9D9D9"/>
            <w:vAlign w:val="center"/>
            <w:hideMark/>
          </w:tcPr>
          <w:p w14:paraId="541F9081"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ID</w:t>
            </w:r>
          </w:p>
        </w:tc>
        <w:tc>
          <w:tcPr>
            <w:tcW w:w="1181" w:type="pct"/>
            <w:shd w:val="clear" w:color="auto" w:fill="D9D9D9"/>
            <w:vAlign w:val="center"/>
            <w:hideMark/>
          </w:tcPr>
          <w:p w14:paraId="59F79794"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Metas 2022-2024</w:t>
            </w:r>
          </w:p>
        </w:tc>
        <w:tc>
          <w:tcPr>
            <w:tcW w:w="1297" w:type="pct"/>
            <w:shd w:val="clear" w:color="auto" w:fill="D9D9D9"/>
            <w:vAlign w:val="center"/>
            <w:hideMark/>
          </w:tcPr>
          <w:p w14:paraId="0A7EFD22"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Metas 2022</w:t>
            </w:r>
          </w:p>
        </w:tc>
        <w:tc>
          <w:tcPr>
            <w:tcW w:w="1481" w:type="pct"/>
            <w:shd w:val="clear" w:color="auto" w:fill="D9D9D9"/>
            <w:vAlign w:val="center"/>
            <w:hideMark/>
          </w:tcPr>
          <w:p w14:paraId="44C1B833"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Indicadores</w:t>
            </w:r>
          </w:p>
        </w:tc>
        <w:tc>
          <w:tcPr>
            <w:tcW w:w="715" w:type="pct"/>
            <w:shd w:val="clear" w:color="auto" w:fill="D9D9D9"/>
            <w:vAlign w:val="center"/>
            <w:hideMark/>
          </w:tcPr>
          <w:p w14:paraId="56C454DE"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Responsável</w:t>
            </w:r>
          </w:p>
        </w:tc>
      </w:tr>
      <w:tr w:rsidR="00A41DBB" w:rsidRPr="00252D7B" w14:paraId="6E78C2A7" w14:textId="77777777" w:rsidTr="004B2F13">
        <w:trPr>
          <w:jc w:val="center"/>
        </w:trPr>
        <w:tc>
          <w:tcPr>
            <w:tcW w:w="326" w:type="pct"/>
            <w:vAlign w:val="center"/>
            <w:hideMark/>
          </w:tcPr>
          <w:p w14:paraId="12617CDE"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04.1</w:t>
            </w:r>
          </w:p>
        </w:tc>
        <w:tc>
          <w:tcPr>
            <w:tcW w:w="1181" w:type="pct"/>
            <w:vAlign w:val="center"/>
            <w:hideMark/>
          </w:tcPr>
          <w:p w14:paraId="41001762"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 xml:space="preserve">Atender no mínimo a 90% dos critérios avaliados no </w:t>
            </w:r>
            <w:r w:rsidRPr="00252D7B">
              <w:rPr>
                <w:rFonts w:asciiTheme="minorHAnsi" w:eastAsia="Times New Roman" w:hAnsiTheme="minorHAnsi" w:cstheme="minorHAnsi"/>
                <w:lang w:bidi="ar-SA"/>
              </w:rPr>
              <w:lastRenderedPageBreak/>
              <w:t>questionário iGovTI-IGG-TCU em 2024.</w:t>
            </w:r>
          </w:p>
        </w:tc>
        <w:tc>
          <w:tcPr>
            <w:tcW w:w="1297" w:type="pct"/>
            <w:vAlign w:val="center"/>
            <w:hideMark/>
          </w:tcPr>
          <w:p w14:paraId="3B8DD010"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lastRenderedPageBreak/>
              <w:t xml:space="preserve">Atender no mínimo a 80% dos critérios avaliados no </w:t>
            </w:r>
            <w:r w:rsidRPr="00252D7B">
              <w:rPr>
                <w:rFonts w:asciiTheme="minorHAnsi" w:eastAsia="Times New Roman" w:hAnsiTheme="minorHAnsi" w:cstheme="minorHAnsi"/>
                <w:lang w:bidi="ar-SA"/>
              </w:rPr>
              <w:lastRenderedPageBreak/>
              <w:t>questionário iGovTI-IGG-TCU em 2022.</w:t>
            </w:r>
          </w:p>
        </w:tc>
        <w:tc>
          <w:tcPr>
            <w:tcW w:w="1481" w:type="pct"/>
            <w:vAlign w:val="center"/>
            <w:hideMark/>
          </w:tcPr>
          <w:p w14:paraId="4A73B7E6"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lastRenderedPageBreak/>
              <w:t xml:space="preserve">IETIC 04.1 - Percentual de itens atendidos </w:t>
            </w:r>
            <w:r w:rsidRPr="00252D7B">
              <w:rPr>
                <w:rFonts w:asciiTheme="minorHAnsi" w:eastAsia="Times New Roman" w:hAnsiTheme="minorHAnsi" w:cstheme="minorHAnsi"/>
                <w:lang w:bidi="ar-SA"/>
              </w:rPr>
              <w:lastRenderedPageBreak/>
              <w:t>do questionário iGovTI-IGG-TCU – Autoavaliação</w:t>
            </w:r>
          </w:p>
        </w:tc>
        <w:tc>
          <w:tcPr>
            <w:tcW w:w="715" w:type="pct"/>
            <w:vAlign w:val="center"/>
            <w:hideMark/>
          </w:tcPr>
          <w:p w14:paraId="5462D456"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lastRenderedPageBreak/>
              <w:t>SUPTI</w:t>
            </w:r>
          </w:p>
        </w:tc>
      </w:tr>
      <w:tr w:rsidR="00A41DBB" w:rsidRPr="00252D7B" w14:paraId="3DBC8DE9" w14:textId="77777777" w:rsidTr="004B2F13">
        <w:trPr>
          <w:jc w:val="center"/>
        </w:trPr>
        <w:tc>
          <w:tcPr>
            <w:tcW w:w="326" w:type="pct"/>
            <w:vAlign w:val="center"/>
            <w:hideMark/>
          </w:tcPr>
          <w:p w14:paraId="29D07196"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04.2</w:t>
            </w:r>
          </w:p>
        </w:tc>
        <w:tc>
          <w:tcPr>
            <w:tcW w:w="1181" w:type="pct"/>
            <w:vAlign w:val="center"/>
            <w:hideMark/>
          </w:tcPr>
          <w:p w14:paraId="3CA25724"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Implantar 100% das práticas de governança de TI da Resolução 11/2016-CGPAR aplicáveis à Valec até dezembro de 2024.</w:t>
            </w:r>
          </w:p>
        </w:tc>
        <w:tc>
          <w:tcPr>
            <w:tcW w:w="1297" w:type="pct"/>
            <w:vAlign w:val="center"/>
            <w:hideMark/>
          </w:tcPr>
          <w:p w14:paraId="3AF5DD24"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Implantar 80% das práticas de governança de TI da Resolução 11/2016-CGPAR aplicáveis à Valec até novembro de 2022.</w:t>
            </w:r>
          </w:p>
        </w:tc>
        <w:tc>
          <w:tcPr>
            <w:tcW w:w="1481" w:type="pct"/>
            <w:vAlign w:val="center"/>
            <w:hideMark/>
          </w:tcPr>
          <w:p w14:paraId="0531787C"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IETIC 04.2 - Percentual de práticas de governança de TI previstas na Resolução 11/2016-CGPAR implantados</w:t>
            </w:r>
          </w:p>
        </w:tc>
        <w:tc>
          <w:tcPr>
            <w:tcW w:w="715" w:type="pct"/>
            <w:vAlign w:val="center"/>
            <w:hideMark/>
          </w:tcPr>
          <w:p w14:paraId="55E7EEAF" w14:textId="77777777" w:rsidR="00A41DBB" w:rsidRPr="00252D7B" w:rsidRDefault="00A41DBB" w:rsidP="00B212E7">
            <w:pPr>
              <w:widowControl/>
              <w:autoSpaceDE/>
              <w:autoSpaceDN/>
              <w:spacing w:before="120" w:after="120"/>
              <w:jc w:val="center"/>
              <w:rPr>
                <w:rFonts w:asciiTheme="minorHAnsi" w:eastAsia="Times New Roman" w:hAnsiTheme="minorHAnsi" w:cstheme="minorHAnsi"/>
                <w:lang w:bidi="ar-SA"/>
              </w:rPr>
            </w:pPr>
            <w:r w:rsidRPr="00252D7B">
              <w:rPr>
                <w:rFonts w:asciiTheme="minorHAnsi" w:eastAsia="Times New Roman" w:hAnsiTheme="minorHAnsi" w:cstheme="minorHAnsi"/>
                <w:lang w:bidi="ar-SA"/>
              </w:rPr>
              <w:t>SUPTI</w:t>
            </w:r>
          </w:p>
        </w:tc>
      </w:tr>
      <w:tr w:rsidR="00A41DBB" w:rsidRPr="00252D7B" w14:paraId="17D19CDE" w14:textId="77777777" w:rsidTr="004B2F13">
        <w:trPr>
          <w:jc w:val="center"/>
        </w:trPr>
        <w:tc>
          <w:tcPr>
            <w:tcW w:w="326" w:type="pct"/>
            <w:vAlign w:val="center"/>
            <w:hideMark/>
          </w:tcPr>
          <w:p w14:paraId="059CF16D"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04.3</w:t>
            </w:r>
          </w:p>
        </w:tc>
        <w:tc>
          <w:tcPr>
            <w:tcW w:w="1181" w:type="pct"/>
            <w:vAlign w:val="center"/>
            <w:hideMark/>
          </w:tcPr>
          <w:p w14:paraId="70E6848A"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Mapear, redesenhar e manualizar 6 processos críticos de negócios gerenciados pela TI até dezembro de 2024</w:t>
            </w:r>
          </w:p>
        </w:tc>
        <w:tc>
          <w:tcPr>
            <w:tcW w:w="1297" w:type="pct"/>
            <w:vAlign w:val="center"/>
            <w:hideMark/>
          </w:tcPr>
          <w:p w14:paraId="567786D6"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Mapear, redesenhar e manualizar 2 processos críticos de negócios gerenciados pela TI até dezembro de 2022</w:t>
            </w:r>
          </w:p>
        </w:tc>
        <w:tc>
          <w:tcPr>
            <w:tcW w:w="1481" w:type="pct"/>
            <w:vAlign w:val="center"/>
            <w:hideMark/>
          </w:tcPr>
          <w:p w14:paraId="427C9E60"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IETIC 04.3 - Quantidade de processos críticos mapeados, redesenhados e manualizados</w:t>
            </w:r>
          </w:p>
        </w:tc>
        <w:tc>
          <w:tcPr>
            <w:tcW w:w="715" w:type="pct"/>
            <w:vAlign w:val="center"/>
            <w:hideMark/>
          </w:tcPr>
          <w:p w14:paraId="41D4B286" w14:textId="77777777" w:rsidR="00A41DBB" w:rsidRPr="00252D7B" w:rsidRDefault="00A41DBB" w:rsidP="00B212E7">
            <w:pPr>
              <w:widowControl/>
              <w:autoSpaceDE/>
              <w:autoSpaceDN/>
              <w:spacing w:before="120" w:after="120"/>
              <w:jc w:val="center"/>
              <w:rPr>
                <w:rFonts w:asciiTheme="minorHAnsi" w:eastAsia="Times New Roman" w:hAnsiTheme="minorHAnsi" w:cstheme="minorHAnsi"/>
                <w:lang w:bidi="ar-SA"/>
              </w:rPr>
            </w:pPr>
            <w:r w:rsidRPr="00252D7B">
              <w:rPr>
                <w:rFonts w:asciiTheme="minorHAnsi" w:eastAsia="Times New Roman" w:hAnsiTheme="minorHAnsi" w:cstheme="minorHAnsi"/>
                <w:lang w:bidi="ar-SA"/>
              </w:rPr>
              <w:t>SUPTI</w:t>
            </w:r>
          </w:p>
        </w:tc>
      </w:tr>
    </w:tbl>
    <w:p w14:paraId="5F7BB07C" w14:textId="77777777" w:rsidR="00A41DBB" w:rsidRPr="00252D7B" w:rsidRDefault="00A41DBB" w:rsidP="004B2F13">
      <w:pPr>
        <w:ind w:firstLine="720"/>
        <w:jc w:val="both"/>
        <w:rPr>
          <w:rFonts w:asciiTheme="minorHAnsi" w:hAnsiTheme="minorHAnsi" w:cstheme="minorHAnsi"/>
          <w:lang w:eastAsia="pt-BR"/>
        </w:rPr>
      </w:pPr>
    </w:p>
    <w:p w14:paraId="36DFD670" w14:textId="25DFE7D7" w:rsidR="004B2F13" w:rsidRPr="00252D7B" w:rsidRDefault="00343DE1" w:rsidP="00E73F64">
      <w:pPr>
        <w:pStyle w:val="Legenda"/>
        <w:spacing w:after="120"/>
        <w:jc w:val="center"/>
        <w:rPr>
          <w:rFonts w:asciiTheme="minorHAnsi" w:hAnsiTheme="minorHAnsi" w:cstheme="minorHAnsi"/>
          <w:sz w:val="20"/>
          <w:szCs w:val="20"/>
          <w:lang w:eastAsia="pt-BR"/>
        </w:rPr>
      </w:pPr>
      <w:bookmarkStart w:id="491" w:name="_Toc103680731"/>
      <w:r w:rsidRPr="00252D7B">
        <w:rPr>
          <w:rFonts w:asciiTheme="minorHAnsi" w:hAnsiTheme="minorHAnsi" w:cstheme="minorHAnsi"/>
          <w:sz w:val="20"/>
          <w:szCs w:val="20"/>
        </w:rPr>
        <w:t xml:space="preserve">Quadro </w:t>
      </w:r>
      <w:r w:rsidRPr="00252D7B">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Quadro \* ARABIC </w:instrText>
      </w:r>
      <w:r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12</w:t>
      </w:r>
      <w:r w:rsidRPr="00252D7B">
        <w:rPr>
          <w:rFonts w:asciiTheme="minorHAnsi" w:hAnsiTheme="minorHAnsi" w:cstheme="minorHAnsi"/>
          <w:sz w:val="20"/>
          <w:szCs w:val="20"/>
        </w:rPr>
        <w:fldChar w:fldCharType="end"/>
      </w:r>
      <w:r w:rsidR="004B2F13" w:rsidRPr="00252D7B">
        <w:rPr>
          <w:rFonts w:asciiTheme="minorHAnsi" w:hAnsiTheme="minorHAnsi" w:cstheme="minorHAnsi"/>
          <w:sz w:val="20"/>
          <w:szCs w:val="20"/>
          <w:lang w:eastAsia="pt-BR"/>
        </w:rPr>
        <w:t xml:space="preserve"> </w:t>
      </w:r>
      <w:r w:rsidR="00E73F64" w:rsidRPr="00252D7B">
        <w:rPr>
          <w:rFonts w:asciiTheme="minorHAnsi" w:hAnsiTheme="minorHAnsi" w:cstheme="minorHAnsi"/>
          <w:sz w:val="20"/>
          <w:szCs w:val="20"/>
          <w:lang w:eastAsia="pt-BR"/>
        </w:rPr>
        <w:t>–</w:t>
      </w:r>
      <w:r w:rsidR="004B2F13" w:rsidRPr="00252D7B">
        <w:rPr>
          <w:rFonts w:asciiTheme="minorHAnsi" w:hAnsiTheme="minorHAnsi" w:cstheme="minorHAnsi"/>
          <w:sz w:val="20"/>
          <w:szCs w:val="20"/>
          <w:lang w:eastAsia="pt-BR"/>
        </w:rPr>
        <w:t xml:space="preserve"> Metas e Indicador OETIC05</w:t>
      </w:r>
      <w:bookmarkEnd w:id="491"/>
    </w:p>
    <w:tbl>
      <w:tblPr>
        <w:tblStyle w:val="Tabelacomgrade10"/>
        <w:tblW w:w="5000" w:type="pct"/>
        <w:jc w:val="center"/>
        <w:tblInd w:w="0" w:type="dxa"/>
        <w:tblLook w:val="04A0" w:firstRow="1" w:lastRow="0" w:firstColumn="1" w:lastColumn="0" w:noHBand="0" w:noVBand="1"/>
      </w:tblPr>
      <w:tblGrid>
        <w:gridCol w:w="571"/>
        <w:gridCol w:w="3109"/>
        <w:gridCol w:w="2302"/>
        <w:gridCol w:w="2498"/>
        <w:gridCol w:w="1256"/>
      </w:tblGrid>
      <w:tr w:rsidR="00A41DBB" w:rsidRPr="00252D7B" w14:paraId="326021AF" w14:textId="77777777" w:rsidTr="004B2F13">
        <w:trPr>
          <w:jc w:val="center"/>
        </w:trPr>
        <w:tc>
          <w:tcPr>
            <w:tcW w:w="5000" w:type="pct"/>
            <w:gridSpan w:val="5"/>
            <w:shd w:val="clear" w:color="auto" w:fill="D9D9D9"/>
            <w:vAlign w:val="center"/>
            <w:hideMark/>
          </w:tcPr>
          <w:p w14:paraId="3D5649F5"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OETIC 05: Integrar dados, processos, sistemas, serviços e infraestrutura</w:t>
            </w:r>
          </w:p>
        </w:tc>
      </w:tr>
      <w:tr w:rsidR="004B2F13" w:rsidRPr="00252D7B" w14:paraId="18FB42BF" w14:textId="77777777" w:rsidTr="004B2F13">
        <w:trPr>
          <w:jc w:val="center"/>
        </w:trPr>
        <w:tc>
          <w:tcPr>
            <w:tcW w:w="293" w:type="pct"/>
            <w:shd w:val="clear" w:color="auto" w:fill="D9D9D9"/>
            <w:vAlign w:val="center"/>
            <w:hideMark/>
          </w:tcPr>
          <w:p w14:paraId="2CF8FCB5"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ID</w:t>
            </w:r>
          </w:p>
        </w:tc>
        <w:tc>
          <w:tcPr>
            <w:tcW w:w="1597" w:type="pct"/>
            <w:shd w:val="clear" w:color="auto" w:fill="D9D9D9"/>
            <w:vAlign w:val="center"/>
            <w:hideMark/>
          </w:tcPr>
          <w:p w14:paraId="67038631"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Metas 2022-2024</w:t>
            </w:r>
          </w:p>
        </w:tc>
        <w:tc>
          <w:tcPr>
            <w:tcW w:w="1182" w:type="pct"/>
            <w:shd w:val="clear" w:color="auto" w:fill="D9D9D9"/>
            <w:vAlign w:val="center"/>
            <w:hideMark/>
          </w:tcPr>
          <w:p w14:paraId="0D3FE8DC"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Metas 2022</w:t>
            </w:r>
          </w:p>
        </w:tc>
        <w:tc>
          <w:tcPr>
            <w:tcW w:w="1283" w:type="pct"/>
            <w:shd w:val="clear" w:color="auto" w:fill="D9D9D9"/>
            <w:vAlign w:val="center"/>
            <w:hideMark/>
          </w:tcPr>
          <w:p w14:paraId="67D4F857"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Indicadores</w:t>
            </w:r>
          </w:p>
        </w:tc>
        <w:tc>
          <w:tcPr>
            <w:tcW w:w="645" w:type="pct"/>
            <w:shd w:val="clear" w:color="auto" w:fill="D9D9D9"/>
            <w:vAlign w:val="center"/>
            <w:hideMark/>
          </w:tcPr>
          <w:p w14:paraId="70481930"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Responsável</w:t>
            </w:r>
          </w:p>
        </w:tc>
      </w:tr>
      <w:tr w:rsidR="004B2F13" w:rsidRPr="00252D7B" w14:paraId="6604736E" w14:textId="77777777" w:rsidTr="004B2F13">
        <w:trPr>
          <w:jc w:val="center"/>
        </w:trPr>
        <w:tc>
          <w:tcPr>
            <w:tcW w:w="293" w:type="pct"/>
            <w:vAlign w:val="center"/>
            <w:hideMark/>
          </w:tcPr>
          <w:p w14:paraId="7A3C5A0C"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05.1</w:t>
            </w:r>
          </w:p>
        </w:tc>
        <w:tc>
          <w:tcPr>
            <w:tcW w:w="1597" w:type="pct"/>
            <w:vAlign w:val="center"/>
            <w:hideMark/>
          </w:tcPr>
          <w:p w14:paraId="78577531"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Promover a implantação de 50% dos padrões identificados até dezembro de 2024.</w:t>
            </w:r>
          </w:p>
        </w:tc>
        <w:tc>
          <w:tcPr>
            <w:tcW w:w="1182" w:type="pct"/>
            <w:vAlign w:val="center"/>
            <w:hideMark/>
          </w:tcPr>
          <w:p w14:paraId="4E37DC4D"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Promover a implantação de 10% dos padrões identificados até dezembro de 2022.</w:t>
            </w:r>
          </w:p>
        </w:tc>
        <w:tc>
          <w:tcPr>
            <w:tcW w:w="1283" w:type="pct"/>
            <w:vAlign w:val="center"/>
            <w:hideMark/>
          </w:tcPr>
          <w:p w14:paraId="500B476B"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IETIC 05.1 - Percentual de padrões implantados</w:t>
            </w:r>
          </w:p>
        </w:tc>
        <w:tc>
          <w:tcPr>
            <w:tcW w:w="645" w:type="pct"/>
            <w:vAlign w:val="center"/>
            <w:hideMark/>
          </w:tcPr>
          <w:p w14:paraId="5BBFBEB8" w14:textId="77777777" w:rsidR="00A41DBB" w:rsidRPr="00252D7B" w:rsidRDefault="00A41DBB" w:rsidP="004B2F13">
            <w:pPr>
              <w:widowControl/>
              <w:autoSpaceDE/>
              <w:autoSpaceDN/>
              <w:spacing w:before="120" w:after="120"/>
              <w:jc w:val="center"/>
              <w:rPr>
                <w:rFonts w:asciiTheme="minorHAnsi" w:eastAsia="Times New Roman" w:hAnsiTheme="minorHAnsi" w:cstheme="minorHAnsi"/>
                <w:lang w:bidi="ar-SA"/>
              </w:rPr>
            </w:pPr>
            <w:r w:rsidRPr="00252D7B">
              <w:rPr>
                <w:rFonts w:asciiTheme="minorHAnsi" w:eastAsia="Times New Roman" w:hAnsiTheme="minorHAnsi" w:cstheme="minorHAnsi"/>
                <w:lang w:bidi="ar-SA"/>
              </w:rPr>
              <w:t>SUPTI</w:t>
            </w:r>
          </w:p>
        </w:tc>
      </w:tr>
      <w:tr w:rsidR="004B2F13" w:rsidRPr="00252D7B" w14:paraId="233F546E" w14:textId="77777777" w:rsidTr="004B2F13">
        <w:trPr>
          <w:jc w:val="center"/>
        </w:trPr>
        <w:tc>
          <w:tcPr>
            <w:tcW w:w="293" w:type="pct"/>
            <w:vAlign w:val="center"/>
            <w:hideMark/>
          </w:tcPr>
          <w:p w14:paraId="53CD33F4"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05.2</w:t>
            </w:r>
          </w:p>
        </w:tc>
        <w:tc>
          <w:tcPr>
            <w:tcW w:w="1597" w:type="pct"/>
            <w:vAlign w:val="center"/>
            <w:hideMark/>
          </w:tcPr>
          <w:p w14:paraId="024EEE30"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Integrar todos os sistemas elegíveis até dezembro de 2024.</w:t>
            </w:r>
          </w:p>
          <w:p w14:paraId="2914530C"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(SRB, Invalec, SICOD, SICPD, SISAD, OS-GEADM, OS-GP, OS-ASCOM, OS-GEPAT, OS-PRO, Portal de Serviços GGI, SISJUR, SISTEL, Agenda SIC)</w:t>
            </w:r>
          </w:p>
        </w:tc>
        <w:tc>
          <w:tcPr>
            <w:tcW w:w="1182" w:type="pct"/>
            <w:vAlign w:val="center"/>
            <w:hideMark/>
          </w:tcPr>
          <w:p w14:paraId="0BC2C244"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Integrar no mínimo 5 sistemas até dezembro de 2022.</w:t>
            </w:r>
          </w:p>
        </w:tc>
        <w:tc>
          <w:tcPr>
            <w:tcW w:w="1283" w:type="pct"/>
            <w:vAlign w:val="center"/>
            <w:hideMark/>
          </w:tcPr>
          <w:p w14:paraId="49A35915"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IETIC 05.2 - Quantidade de sistemas integrados</w:t>
            </w:r>
          </w:p>
        </w:tc>
        <w:tc>
          <w:tcPr>
            <w:tcW w:w="645" w:type="pct"/>
            <w:vAlign w:val="center"/>
            <w:hideMark/>
          </w:tcPr>
          <w:p w14:paraId="1A9D652E" w14:textId="77777777" w:rsidR="00A41DBB" w:rsidRPr="00252D7B" w:rsidRDefault="00A41DBB" w:rsidP="004B2F13">
            <w:pPr>
              <w:widowControl/>
              <w:autoSpaceDE/>
              <w:autoSpaceDN/>
              <w:spacing w:before="120" w:after="120"/>
              <w:jc w:val="center"/>
              <w:rPr>
                <w:rFonts w:asciiTheme="minorHAnsi" w:eastAsia="Times New Roman" w:hAnsiTheme="minorHAnsi" w:cstheme="minorHAnsi"/>
                <w:lang w:bidi="ar-SA"/>
              </w:rPr>
            </w:pPr>
            <w:r w:rsidRPr="00252D7B">
              <w:rPr>
                <w:rFonts w:asciiTheme="minorHAnsi" w:eastAsia="Times New Roman" w:hAnsiTheme="minorHAnsi" w:cstheme="minorHAnsi"/>
                <w:lang w:bidi="ar-SA"/>
              </w:rPr>
              <w:t>GESIS</w:t>
            </w:r>
          </w:p>
        </w:tc>
      </w:tr>
      <w:tr w:rsidR="004B2F13" w:rsidRPr="00252D7B" w14:paraId="6C93A50B" w14:textId="77777777" w:rsidTr="004B2F13">
        <w:trPr>
          <w:jc w:val="center"/>
        </w:trPr>
        <w:tc>
          <w:tcPr>
            <w:tcW w:w="293" w:type="pct"/>
            <w:vAlign w:val="center"/>
            <w:hideMark/>
          </w:tcPr>
          <w:p w14:paraId="4F96B4B6"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05.3</w:t>
            </w:r>
          </w:p>
        </w:tc>
        <w:tc>
          <w:tcPr>
            <w:tcW w:w="1597" w:type="pct"/>
            <w:vAlign w:val="center"/>
            <w:hideMark/>
          </w:tcPr>
          <w:p w14:paraId="639F7F29"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Prover ambiente computacional em nuvem de no mínimo 60% até dezembro 2024</w:t>
            </w:r>
          </w:p>
        </w:tc>
        <w:tc>
          <w:tcPr>
            <w:tcW w:w="1182" w:type="pct"/>
            <w:vAlign w:val="center"/>
            <w:hideMark/>
          </w:tcPr>
          <w:p w14:paraId="78DE27F3"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Prover ambiente computacional em nuvem de no mínimo 20% até dezembro 2022</w:t>
            </w:r>
          </w:p>
        </w:tc>
        <w:tc>
          <w:tcPr>
            <w:tcW w:w="1283" w:type="pct"/>
            <w:vAlign w:val="center"/>
            <w:hideMark/>
          </w:tcPr>
          <w:p w14:paraId="7DAF903B"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IETIC 05.3 - Percentual sistemas/soluções migrados para nuvem</w:t>
            </w:r>
          </w:p>
        </w:tc>
        <w:tc>
          <w:tcPr>
            <w:tcW w:w="645" w:type="pct"/>
            <w:vAlign w:val="center"/>
            <w:hideMark/>
          </w:tcPr>
          <w:p w14:paraId="533D2A7B" w14:textId="77777777" w:rsidR="00A41DBB" w:rsidRPr="00252D7B" w:rsidRDefault="00A41DBB" w:rsidP="004B2F13">
            <w:pPr>
              <w:widowControl/>
              <w:autoSpaceDE/>
              <w:autoSpaceDN/>
              <w:spacing w:before="120" w:after="120"/>
              <w:jc w:val="center"/>
              <w:rPr>
                <w:rFonts w:asciiTheme="minorHAnsi" w:eastAsia="Times New Roman" w:hAnsiTheme="minorHAnsi" w:cstheme="minorHAnsi"/>
                <w:lang w:bidi="ar-SA"/>
              </w:rPr>
            </w:pPr>
            <w:r w:rsidRPr="00252D7B">
              <w:rPr>
                <w:rFonts w:asciiTheme="minorHAnsi" w:eastAsia="Times New Roman" w:hAnsiTheme="minorHAnsi" w:cstheme="minorHAnsi"/>
                <w:lang w:bidi="ar-SA"/>
              </w:rPr>
              <w:t>GEINF</w:t>
            </w:r>
          </w:p>
        </w:tc>
      </w:tr>
    </w:tbl>
    <w:p w14:paraId="1C5271A6" w14:textId="6D513597" w:rsidR="00610C91" w:rsidRPr="00252D7B" w:rsidRDefault="00610C91" w:rsidP="00E73F64">
      <w:pPr>
        <w:ind w:firstLine="720"/>
        <w:jc w:val="both"/>
        <w:rPr>
          <w:rFonts w:asciiTheme="minorHAnsi" w:hAnsiTheme="minorHAnsi" w:cstheme="minorHAnsi"/>
          <w:lang w:eastAsia="pt-BR"/>
        </w:rPr>
      </w:pPr>
    </w:p>
    <w:p w14:paraId="5F81CC54" w14:textId="77777777" w:rsidR="00610C91" w:rsidRPr="00252D7B" w:rsidRDefault="00610C91">
      <w:pPr>
        <w:widowControl/>
        <w:autoSpaceDE/>
        <w:autoSpaceDN/>
        <w:spacing w:after="160" w:line="259" w:lineRule="auto"/>
        <w:rPr>
          <w:rFonts w:asciiTheme="minorHAnsi" w:hAnsiTheme="minorHAnsi" w:cstheme="minorHAnsi"/>
          <w:lang w:eastAsia="pt-BR"/>
        </w:rPr>
      </w:pPr>
      <w:r w:rsidRPr="00252D7B">
        <w:rPr>
          <w:rFonts w:asciiTheme="minorHAnsi" w:hAnsiTheme="minorHAnsi" w:cstheme="minorHAnsi"/>
          <w:lang w:eastAsia="pt-BR"/>
        </w:rPr>
        <w:br w:type="page"/>
      </w:r>
    </w:p>
    <w:p w14:paraId="54AB3AE3" w14:textId="6D1C631B" w:rsidR="004B2F13" w:rsidRPr="00252D7B" w:rsidRDefault="00343DE1" w:rsidP="008071A6">
      <w:pPr>
        <w:pStyle w:val="Legenda"/>
        <w:spacing w:before="120" w:after="120"/>
        <w:jc w:val="center"/>
        <w:rPr>
          <w:rFonts w:asciiTheme="minorHAnsi" w:hAnsiTheme="minorHAnsi" w:cstheme="minorHAnsi"/>
          <w:sz w:val="20"/>
          <w:szCs w:val="20"/>
          <w:lang w:eastAsia="pt-BR"/>
        </w:rPr>
      </w:pPr>
      <w:bookmarkStart w:id="492" w:name="_Toc103680732"/>
      <w:r w:rsidRPr="00252D7B">
        <w:rPr>
          <w:rFonts w:asciiTheme="minorHAnsi" w:hAnsiTheme="minorHAnsi" w:cstheme="minorHAnsi"/>
          <w:sz w:val="20"/>
          <w:szCs w:val="20"/>
        </w:rPr>
        <w:lastRenderedPageBreak/>
        <w:t xml:space="preserve">Quadro </w:t>
      </w:r>
      <w:r w:rsidRPr="00252D7B">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Quadro \* ARABIC </w:instrText>
      </w:r>
      <w:r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13</w:t>
      </w:r>
      <w:r w:rsidRPr="00252D7B">
        <w:rPr>
          <w:rFonts w:asciiTheme="minorHAnsi" w:hAnsiTheme="minorHAnsi" w:cstheme="minorHAnsi"/>
          <w:sz w:val="20"/>
          <w:szCs w:val="20"/>
        </w:rPr>
        <w:fldChar w:fldCharType="end"/>
      </w:r>
      <w:r w:rsidR="004B2F13" w:rsidRPr="00252D7B">
        <w:rPr>
          <w:rFonts w:asciiTheme="minorHAnsi" w:hAnsiTheme="minorHAnsi" w:cstheme="minorHAnsi"/>
          <w:sz w:val="20"/>
          <w:szCs w:val="20"/>
          <w:lang w:eastAsia="pt-BR"/>
        </w:rPr>
        <w:t xml:space="preserve"> </w:t>
      </w:r>
      <w:r w:rsidR="00E73F64" w:rsidRPr="00252D7B">
        <w:rPr>
          <w:rFonts w:asciiTheme="minorHAnsi" w:hAnsiTheme="minorHAnsi" w:cstheme="minorHAnsi"/>
          <w:sz w:val="20"/>
          <w:szCs w:val="20"/>
          <w:lang w:eastAsia="pt-BR"/>
        </w:rPr>
        <w:t>–</w:t>
      </w:r>
      <w:r w:rsidR="004B2F13" w:rsidRPr="00252D7B">
        <w:rPr>
          <w:rFonts w:asciiTheme="minorHAnsi" w:hAnsiTheme="minorHAnsi" w:cstheme="minorHAnsi"/>
          <w:sz w:val="20"/>
          <w:szCs w:val="20"/>
          <w:lang w:eastAsia="pt-BR"/>
        </w:rPr>
        <w:t xml:space="preserve"> Metas e Indicador OETIC06</w:t>
      </w:r>
      <w:bookmarkEnd w:id="492"/>
    </w:p>
    <w:tbl>
      <w:tblPr>
        <w:tblStyle w:val="Tabelacomgrade10"/>
        <w:tblW w:w="5221" w:type="pct"/>
        <w:jc w:val="center"/>
        <w:tblInd w:w="0" w:type="dxa"/>
        <w:tblLook w:val="04A0" w:firstRow="1" w:lastRow="0" w:firstColumn="1" w:lastColumn="0" w:noHBand="0" w:noVBand="1"/>
      </w:tblPr>
      <w:tblGrid>
        <w:gridCol w:w="1068"/>
        <w:gridCol w:w="2330"/>
        <w:gridCol w:w="2409"/>
        <w:gridCol w:w="2968"/>
        <w:gridCol w:w="1391"/>
      </w:tblGrid>
      <w:tr w:rsidR="00A41DBB" w:rsidRPr="00252D7B" w14:paraId="6FB100AA" w14:textId="77777777" w:rsidTr="004B2F13">
        <w:trPr>
          <w:jc w:val="center"/>
        </w:trPr>
        <w:tc>
          <w:tcPr>
            <w:tcW w:w="5000" w:type="pct"/>
            <w:gridSpan w:val="5"/>
            <w:shd w:val="clear" w:color="auto" w:fill="D9D9D9"/>
            <w:vAlign w:val="center"/>
            <w:hideMark/>
          </w:tcPr>
          <w:p w14:paraId="3D408812"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OETIC 06: Fomentar a cooperação e o entendimento mútuo entre a TIC e as áreas de negócios objetivando a agregação de valor</w:t>
            </w:r>
          </w:p>
        </w:tc>
      </w:tr>
      <w:tr w:rsidR="004B2F13" w:rsidRPr="00252D7B" w14:paraId="06E7CE12" w14:textId="77777777" w:rsidTr="004B2F13">
        <w:trPr>
          <w:jc w:val="center"/>
        </w:trPr>
        <w:tc>
          <w:tcPr>
            <w:tcW w:w="525" w:type="pct"/>
            <w:shd w:val="clear" w:color="auto" w:fill="D9D9D9"/>
            <w:vAlign w:val="center"/>
            <w:hideMark/>
          </w:tcPr>
          <w:p w14:paraId="747369B3"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ID</w:t>
            </w:r>
          </w:p>
        </w:tc>
        <w:tc>
          <w:tcPr>
            <w:tcW w:w="1146" w:type="pct"/>
            <w:shd w:val="clear" w:color="auto" w:fill="D9D9D9"/>
            <w:vAlign w:val="center"/>
            <w:hideMark/>
          </w:tcPr>
          <w:p w14:paraId="0AAAE042"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Metas 2022-2024</w:t>
            </w:r>
          </w:p>
        </w:tc>
        <w:tc>
          <w:tcPr>
            <w:tcW w:w="1185" w:type="pct"/>
            <w:shd w:val="clear" w:color="auto" w:fill="D9D9D9"/>
            <w:vAlign w:val="center"/>
            <w:hideMark/>
          </w:tcPr>
          <w:p w14:paraId="5869EA90"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Metas 2022</w:t>
            </w:r>
          </w:p>
        </w:tc>
        <w:tc>
          <w:tcPr>
            <w:tcW w:w="1460" w:type="pct"/>
            <w:shd w:val="clear" w:color="auto" w:fill="D9D9D9"/>
            <w:vAlign w:val="center"/>
            <w:hideMark/>
          </w:tcPr>
          <w:p w14:paraId="7258850E"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Indicadores</w:t>
            </w:r>
          </w:p>
        </w:tc>
        <w:tc>
          <w:tcPr>
            <w:tcW w:w="684" w:type="pct"/>
            <w:shd w:val="clear" w:color="auto" w:fill="D9D9D9"/>
            <w:vAlign w:val="center"/>
            <w:hideMark/>
          </w:tcPr>
          <w:p w14:paraId="48F555C2"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Responsável</w:t>
            </w:r>
          </w:p>
        </w:tc>
      </w:tr>
      <w:tr w:rsidR="004B2F13" w:rsidRPr="00252D7B" w14:paraId="11B93A7C" w14:textId="77777777" w:rsidTr="004B2F13">
        <w:trPr>
          <w:jc w:val="center"/>
        </w:trPr>
        <w:tc>
          <w:tcPr>
            <w:tcW w:w="525" w:type="pct"/>
            <w:vAlign w:val="center"/>
            <w:hideMark/>
          </w:tcPr>
          <w:p w14:paraId="05D92CCF"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06.1</w:t>
            </w:r>
          </w:p>
        </w:tc>
        <w:tc>
          <w:tcPr>
            <w:tcW w:w="1146" w:type="pct"/>
            <w:vAlign w:val="center"/>
            <w:hideMark/>
          </w:tcPr>
          <w:p w14:paraId="7798B160"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Promover 15 ações de divulgação em parceria com a ASCOM durante o período 2022-2024.</w:t>
            </w:r>
          </w:p>
        </w:tc>
        <w:tc>
          <w:tcPr>
            <w:tcW w:w="1185" w:type="pct"/>
            <w:vAlign w:val="center"/>
            <w:hideMark/>
          </w:tcPr>
          <w:p w14:paraId="37D9A836"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Promover 5 ações de divulgação em parceria com a ASCOM até dezembro de 2022.</w:t>
            </w:r>
          </w:p>
        </w:tc>
        <w:tc>
          <w:tcPr>
            <w:tcW w:w="1460" w:type="pct"/>
            <w:vAlign w:val="center"/>
            <w:hideMark/>
          </w:tcPr>
          <w:p w14:paraId="3416EEAB"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IETIC 06.1 - Quantidade de ações de divulgação interna acerca dos trabalhos executados com participação da SUPTI</w:t>
            </w:r>
          </w:p>
        </w:tc>
        <w:tc>
          <w:tcPr>
            <w:tcW w:w="684" w:type="pct"/>
            <w:vAlign w:val="center"/>
            <w:hideMark/>
          </w:tcPr>
          <w:p w14:paraId="6ECEE1CC" w14:textId="77777777" w:rsidR="00A41DBB" w:rsidRPr="00252D7B" w:rsidRDefault="00A41DBB" w:rsidP="004B2F13">
            <w:pPr>
              <w:widowControl/>
              <w:autoSpaceDE/>
              <w:autoSpaceDN/>
              <w:spacing w:before="120" w:after="120"/>
              <w:jc w:val="center"/>
              <w:rPr>
                <w:rFonts w:asciiTheme="minorHAnsi" w:eastAsia="Times New Roman" w:hAnsiTheme="minorHAnsi" w:cstheme="minorHAnsi"/>
                <w:lang w:bidi="ar-SA"/>
              </w:rPr>
            </w:pPr>
            <w:r w:rsidRPr="00252D7B">
              <w:rPr>
                <w:rFonts w:asciiTheme="minorHAnsi" w:eastAsia="Times New Roman" w:hAnsiTheme="minorHAnsi" w:cstheme="minorHAnsi"/>
                <w:lang w:bidi="ar-SA"/>
              </w:rPr>
              <w:t>SUPTI</w:t>
            </w:r>
          </w:p>
        </w:tc>
      </w:tr>
    </w:tbl>
    <w:p w14:paraId="47DDE1D3" w14:textId="77777777" w:rsidR="00610C91" w:rsidRPr="00252D7B" w:rsidRDefault="00610C91" w:rsidP="00610C91">
      <w:pPr>
        <w:spacing w:before="120" w:after="120"/>
        <w:ind w:firstLine="720"/>
        <w:jc w:val="both"/>
        <w:rPr>
          <w:rFonts w:asciiTheme="minorHAnsi" w:hAnsiTheme="minorHAnsi" w:cstheme="minorHAnsi"/>
          <w:sz w:val="20"/>
          <w:szCs w:val="20"/>
        </w:rPr>
      </w:pPr>
    </w:p>
    <w:p w14:paraId="269DFC72" w14:textId="2F3CAEEE" w:rsidR="004B2F13" w:rsidRPr="00252D7B" w:rsidRDefault="00343DE1" w:rsidP="008071A6">
      <w:pPr>
        <w:pStyle w:val="Legenda"/>
        <w:spacing w:before="120" w:after="120"/>
        <w:jc w:val="center"/>
        <w:rPr>
          <w:rFonts w:asciiTheme="minorHAnsi" w:hAnsiTheme="minorHAnsi" w:cstheme="minorHAnsi"/>
          <w:sz w:val="20"/>
          <w:szCs w:val="20"/>
          <w:lang w:eastAsia="pt-BR"/>
        </w:rPr>
      </w:pPr>
      <w:bookmarkStart w:id="493" w:name="_Toc103680733"/>
      <w:r w:rsidRPr="00252D7B">
        <w:rPr>
          <w:rFonts w:asciiTheme="minorHAnsi" w:hAnsiTheme="minorHAnsi" w:cstheme="minorHAnsi"/>
          <w:sz w:val="20"/>
          <w:szCs w:val="20"/>
        </w:rPr>
        <w:t xml:space="preserve">Quadro </w:t>
      </w:r>
      <w:r w:rsidRPr="00252D7B">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Quadro \* ARABIC </w:instrText>
      </w:r>
      <w:r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14</w:t>
      </w:r>
      <w:r w:rsidRPr="00252D7B">
        <w:rPr>
          <w:rFonts w:asciiTheme="minorHAnsi" w:hAnsiTheme="minorHAnsi" w:cstheme="minorHAnsi"/>
          <w:sz w:val="20"/>
          <w:szCs w:val="20"/>
        </w:rPr>
        <w:fldChar w:fldCharType="end"/>
      </w:r>
      <w:r w:rsidR="004B2F13" w:rsidRPr="00252D7B">
        <w:rPr>
          <w:rFonts w:asciiTheme="minorHAnsi" w:hAnsiTheme="minorHAnsi" w:cstheme="minorHAnsi"/>
          <w:sz w:val="20"/>
          <w:szCs w:val="20"/>
          <w:lang w:eastAsia="pt-BR"/>
        </w:rPr>
        <w:t xml:space="preserve"> </w:t>
      </w:r>
      <w:r w:rsidR="00E73F64" w:rsidRPr="00252D7B">
        <w:rPr>
          <w:rFonts w:asciiTheme="minorHAnsi" w:hAnsiTheme="minorHAnsi" w:cstheme="minorHAnsi"/>
          <w:sz w:val="20"/>
          <w:szCs w:val="20"/>
          <w:lang w:eastAsia="pt-BR"/>
        </w:rPr>
        <w:t>–</w:t>
      </w:r>
      <w:r w:rsidR="004B2F13" w:rsidRPr="00252D7B">
        <w:rPr>
          <w:rFonts w:asciiTheme="minorHAnsi" w:hAnsiTheme="minorHAnsi" w:cstheme="minorHAnsi"/>
          <w:sz w:val="20"/>
          <w:szCs w:val="20"/>
          <w:lang w:eastAsia="pt-BR"/>
        </w:rPr>
        <w:t xml:space="preserve"> Metas e Indicador OETIC07</w:t>
      </w:r>
      <w:bookmarkEnd w:id="493"/>
    </w:p>
    <w:tbl>
      <w:tblPr>
        <w:tblStyle w:val="Tabelacomgrade10"/>
        <w:tblW w:w="4500" w:type="pct"/>
        <w:jc w:val="center"/>
        <w:tblInd w:w="0" w:type="dxa"/>
        <w:tblLook w:val="04A0" w:firstRow="1" w:lastRow="0" w:firstColumn="1" w:lastColumn="0" w:noHBand="0" w:noVBand="1"/>
      </w:tblPr>
      <w:tblGrid>
        <w:gridCol w:w="571"/>
        <w:gridCol w:w="2288"/>
        <w:gridCol w:w="2619"/>
        <w:gridCol w:w="2029"/>
        <w:gridCol w:w="1255"/>
      </w:tblGrid>
      <w:tr w:rsidR="00A41DBB" w:rsidRPr="00252D7B" w14:paraId="0A29AEA3" w14:textId="77777777" w:rsidTr="004B2F13">
        <w:trPr>
          <w:jc w:val="center"/>
        </w:trPr>
        <w:tc>
          <w:tcPr>
            <w:tcW w:w="8762" w:type="dxa"/>
            <w:gridSpan w:val="5"/>
            <w:shd w:val="clear" w:color="auto" w:fill="D9D9D9"/>
            <w:vAlign w:val="center"/>
            <w:hideMark/>
          </w:tcPr>
          <w:p w14:paraId="6D1999AF"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OETIC 07: Prover Segurança da Informação, garantindo a disponibilidade, confiabilidade e integridade das informações prestadas ao usuário</w:t>
            </w:r>
          </w:p>
        </w:tc>
      </w:tr>
      <w:tr w:rsidR="00A41DBB" w:rsidRPr="00252D7B" w14:paraId="78EC0DA2" w14:textId="77777777" w:rsidTr="004B2F13">
        <w:trPr>
          <w:jc w:val="center"/>
        </w:trPr>
        <w:tc>
          <w:tcPr>
            <w:tcW w:w="571" w:type="dxa"/>
            <w:shd w:val="clear" w:color="auto" w:fill="D9D9D9"/>
            <w:vAlign w:val="center"/>
            <w:hideMark/>
          </w:tcPr>
          <w:p w14:paraId="7C1D5198"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ID</w:t>
            </w:r>
          </w:p>
        </w:tc>
        <w:tc>
          <w:tcPr>
            <w:tcW w:w="2288" w:type="dxa"/>
            <w:shd w:val="clear" w:color="auto" w:fill="D9D9D9"/>
            <w:vAlign w:val="center"/>
            <w:hideMark/>
          </w:tcPr>
          <w:p w14:paraId="0BD01EC5"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Metas 2022-2024</w:t>
            </w:r>
          </w:p>
        </w:tc>
        <w:tc>
          <w:tcPr>
            <w:tcW w:w="2619" w:type="dxa"/>
            <w:shd w:val="clear" w:color="auto" w:fill="D9D9D9"/>
            <w:vAlign w:val="center"/>
            <w:hideMark/>
          </w:tcPr>
          <w:p w14:paraId="4A392A6E"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Metas 2022</w:t>
            </w:r>
          </w:p>
        </w:tc>
        <w:tc>
          <w:tcPr>
            <w:tcW w:w="2029" w:type="dxa"/>
            <w:shd w:val="clear" w:color="auto" w:fill="D9D9D9"/>
            <w:vAlign w:val="center"/>
            <w:hideMark/>
          </w:tcPr>
          <w:p w14:paraId="0E1DA704"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Indicadores</w:t>
            </w:r>
          </w:p>
        </w:tc>
        <w:tc>
          <w:tcPr>
            <w:tcW w:w="1255" w:type="dxa"/>
            <w:shd w:val="clear" w:color="auto" w:fill="D9D9D9"/>
            <w:vAlign w:val="center"/>
            <w:hideMark/>
          </w:tcPr>
          <w:p w14:paraId="229CEAE5"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Responsável</w:t>
            </w:r>
          </w:p>
        </w:tc>
      </w:tr>
      <w:tr w:rsidR="00A41DBB" w:rsidRPr="00252D7B" w14:paraId="384C44AE" w14:textId="77777777" w:rsidTr="004B2F13">
        <w:trPr>
          <w:jc w:val="center"/>
        </w:trPr>
        <w:tc>
          <w:tcPr>
            <w:tcW w:w="0" w:type="auto"/>
            <w:vAlign w:val="center"/>
            <w:hideMark/>
          </w:tcPr>
          <w:p w14:paraId="12D3F3C5"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07.1</w:t>
            </w:r>
          </w:p>
        </w:tc>
        <w:tc>
          <w:tcPr>
            <w:tcW w:w="2288" w:type="dxa"/>
            <w:vAlign w:val="center"/>
            <w:hideMark/>
          </w:tcPr>
          <w:p w14:paraId="683B800A"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Promover 24 pílulas de conhecimento sobre segurança da informação.</w:t>
            </w:r>
          </w:p>
        </w:tc>
        <w:tc>
          <w:tcPr>
            <w:tcW w:w="2619" w:type="dxa"/>
            <w:vAlign w:val="center"/>
            <w:hideMark/>
          </w:tcPr>
          <w:p w14:paraId="4DABF7AB"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Promover 8 pílulas de conhecimento sobre segurança da informação até novembro de 2022.</w:t>
            </w:r>
          </w:p>
        </w:tc>
        <w:tc>
          <w:tcPr>
            <w:tcW w:w="2029" w:type="dxa"/>
            <w:vAlign w:val="center"/>
            <w:hideMark/>
          </w:tcPr>
          <w:p w14:paraId="59493482"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IETIC 07.1 - Quantidade de pílulas de conhecimento divulgadas sobre segurança da informação</w:t>
            </w:r>
          </w:p>
        </w:tc>
        <w:tc>
          <w:tcPr>
            <w:tcW w:w="1255" w:type="dxa"/>
            <w:vAlign w:val="center"/>
            <w:hideMark/>
          </w:tcPr>
          <w:p w14:paraId="687053D0"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GSINF</w:t>
            </w:r>
          </w:p>
        </w:tc>
      </w:tr>
      <w:tr w:rsidR="00A41DBB" w:rsidRPr="00252D7B" w14:paraId="7B1D4058" w14:textId="77777777" w:rsidTr="004B2F13">
        <w:trPr>
          <w:jc w:val="center"/>
        </w:trPr>
        <w:tc>
          <w:tcPr>
            <w:tcW w:w="0" w:type="auto"/>
            <w:vAlign w:val="center"/>
            <w:hideMark/>
          </w:tcPr>
          <w:p w14:paraId="60F39330"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07.2</w:t>
            </w:r>
          </w:p>
        </w:tc>
        <w:tc>
          <w:tcPr>
            <w:tcW w:w="2288" w:type="dxa"/>
            <w:vAlign w:val="center"/>
            <w:hideMark/>
          </w:tcPr>
          <w:p w14:paraId="7B627951"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Atualizar 95% dos sistemas operacionais dos servidores virtuais até dezembro de 2024</w:t>
            </w:r>
          </w:p>
        </w:tc>
        <w:tc>
          <w:tcPr>
            <w:tcW w:w="2619" w:type="dxa"/>
            <w:vAlign w:val="center"/>
            <w:hideMark/>
          </w:tcPr>
          <w:p w14:paraId="0BD51350"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Atualizar 80% dos sistemas operacionais dos servidores virtuais até dezembro de 2022</w:t>
            </w:r>
          </w:p>
        </w:tc>
        <w:tc>
          <w:tcPr>
            <w:tcW w:w="2029" w:type="dxa"/>
            <w:vAlign w:val="center"/>
            <w:hideMark/>
          </w:tcPr>
          <w:p w14:paraId="08529359"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IETIC 07.2 - Percentual de servidores virtuais atualizados </w:t>
            </w:r>
          </w:p>
        </w:tc>
        <w:tc>
          <w:tcPr>
            <w:tcW w:w="1255" w:type="dxa"/>
            <w:vAlign w:val="center"/>
            <w:hideMark/>
          </w:tcPr>
          <w:p w14:paraId="62EB620C"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GEINF</w:t>
            </w:r>
          </w:p>
        </w:tc>
      </w:tr>
    </w:tbl>
    <w:p w14:paraId="2C3A75F1" w14:textId="77777777" w:rsidR="00A41DBB" w:rsidRPr="00252D7B" w:rsidRDefault="00A41DBB" w:rsidP="00A41DBB">
      <w:pPr>
        <w:spacing w:before="120" w:after="120"/>
        <w:ind w:firstLine="720"/>
        <w:jc w:val="both"/>
        <w:rPr>
          <w:rFonts w:asciiTheme="minorHAnsi" w:hAnsiTheme="minorHAnsi" w:cstheme="minorHAnsi"/>
          <w:lang w:eastAsia="pt-BR"/>
        </w:rPr>
      </w:pPr>
    </w:p>
    <w:p w14:paraId="4F44C517" w14:textId="1DC54F29" w:rsidR="008071A6" w:rsidRPr="00252D7B" w:rsidRDefault="00343DE1" w:rsidP="008071A6">
      <w:pPr>
        <w:pStyle w:val="Legenda"/>
        <w:spacing w:before="120" w:after="120"/>
        <w:jc w:val="center"/>
        <w:rPr>
          <w:rFonts w:asciiTheme="minorHAnsi" w:hAnsiTheme="minorHAnsi" w:cstheme="minorHAnsi"/>
          <w:sz w:val="20"/>
          <w:szCs w:val="20"/>
          <w:lang w:eastAsia="pt-BR"/>
        </w:rPr>
      </w:pPr>
      <w:bookmarkStart w:id="494" w:name="_Toc103680734"/>
      <w:r w:rsidRPr="00252D7B">
        <w:rPr>
          <w:rFonts w:asciiTheme="minorHAnsi" w:hAnsiTheme="minorHAnsi" w:cstheme="minorHAnsi"/>
          <w:sz w:val="20"/>
          <w:szCs w:val="20"/>
        </w:rPr>
        <w:t xml:space="preserve">Quadro </w:t>
      </w:r>
      <w:r w:rsidRPr="00252D7B">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Quadro \* ARABIC </w:instrText>
      </w:r>
      <w:r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15</w:t>
      </w:r>
      <w:r w:rsidRPr="00252D7B">
        <w:rPr>
          <w:rFonts w:asciiTheme="minorHAnsi" w:hAnsiTheme="minorHAnsi" w:cstheme="minorHAnsi"/>
          <w:sz w:val="20"/>
          <w:szCs w:val="20"/>
        </w:rPr>
        <w:fldChar w:fldCharType="end"/>
      </w:r>
      <w:r w:rsidR="008071A6" w:rsidRPr="00252D7B">
        <w:rPr>
          <w:rFonts w:asciiTheme="minorHAnsi" w:hAnsiTheme="minorHAnsi" w:cstheme="minorHAnsi"/>
          <w:sz w:val="20"/>
          <w:szCs w:val="20"/>
          <w:lang w:eastAsia="pt-BR"/>
        </w:rPr>
        <w:t xml:space="preserve"> </w:t>
      </w:r>
      <w:r w:rsidR="00E73F64" w:rsidRPr="00252D7B">
        <w:rPr>
          <w:rFonts w:asciiTheme="minorHAnsi" w:hAnsiTheme="minorHAnsi" w:cstheme="minorHAnsi"/>
          <w:sz w:val="20"/>
          <w:szCs w:val="20"/>
          <w:lang w:eastAsia="pt-BR"/>
        </w:rPr>
        <w:t>–</w:t>
      </w:r>
      <w:r w:rsidR="008071A6" w:rsidRPr="00252D7B">
        <w:rPr>
          <w:rFonts w:asciiTheme="minorHAnsi" w:hAnsiTheme="minorHAnsi" w:cstheme="minorHAnsi"/>
          <w:sz w:val="20"/>
          <w:szCs w:val="20"/>
          <w:lang w:eastAsia="pt-BR"/>
        </w:rPr>
        <w:t xml:space="preserve"> Metas e Indicador OETIC08</w:t>
      </w:r>
      <w:bookmarkEnd w:id="494"/>
    </w:p>
    <w:tbl>
      <w:tblPr>
        <w:tblStyle w:val="Tabelacomgrade10"/>
        <w:tblW w:w="4500" w:type="pct"/>
        <w:jc w:val="center"/>
        <w:tblInd w:w="0" w:type="dxa"/>
        <w:tblLook w:val="04A0" w:firstRow="1" w:lastRow="0" w:firstColumn="1" w:lastColumn="0" w:noHBand="0" w:noVBand="1"/>
      </w:tblPr>
      <w:tblGrid>
        <w:gridCol w:w="571"/>
        <w:gridCol w:w="2256"/>
        <w:gridCol w:w="2669"/>
        <w:gridCol w:w="2011"/>
        <w:gridCol w:w="1255"/>
      </w:tblGrid>
      <w:tr w:rsidR="00A41DBB" w:rsidRPr="00252D7B" w14:paraId="790C5E1B" w14:textId="77777777" w:rsidTr="008071A6">
        <w:trPr>
          <w:jc w:val="center"/>
        </w:trPr>
        <w:tc>
          <w:tcPr>
            <w:tcW w:w="8762" w:type="dxa"/>
            <w:gridSpan w:val="5"/>
            <w:shd w:val="clear" w:color="auto" w:fill="D9D9D9"/>
            <w:vAlign w:val="center"/>
            <w:hideMark/>
          </w:tcPr>
          <w:p w14:paraId="5D2BEC12"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OETIC 08: Aprimorar a gestão da execução orçamentária de TIC</w:t>
            </w:r>
          </w:p>
        </w:tc>
      </w:tr>
      <w:tr w:rsidR="00A41DBB" w:rsidRPr="00252D7B" w14:paraId="4CBB9683" w14:textId="77777777" w:rsidTr="008071A6">
        <w:trPr>
          <w:jc w:val="center"/>
        </w:trPr>
        <w:tc>
          <w:tcPr>
            <w:tcW w:w="571" w:type="dxa"/>
            <w:shd w:val="clear" w:color="auto" w:fill="D9D9D9"/>
            <w:vAlign w:val="center"/>
            <w:hideMark/>
          </w:tcPr>
          <w:p w14:paraId="6A831D67"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ID</w:t>
            </w:r>
          </w:p>
        </w:tc>
        <w:tc>
          <w:tcPr>
            <w:tcW w:w="2256" w:type="dxa"/>
            <w:shd w:val="clear" w:color="auto" w:fill="D9D9D9"/>
            <w:vAlign w:val="center"/>
            <w:hideMark/>
          </w:tcPr>
          <w:p w14:paraId="430BF254"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Metas 2022-2024</w:t>
            </w:r>
          </w:p>
        </w:tc>
        <w:tc>
          <w:tcPr>
            <w:tcW w:w="2669" w:type="dxa"/>
            <w:shd w:val="clear" w:color="auto" w:fill="D9D9D9"/>
            <w:vAlign w:val="center"/>
            <w:hideMark/>
          </w:tcPr>
          <w:p w14:paraId="3C5C484C"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Metas 2022</w:t>
            </w:r>
          </w:p>
        </w:tc>
        <w:tc>
          <w:tcPr>
            <w:tcW w:w="2011" w:type="dxa"/>
            <w:shd w:val="clear" w:color="auto" w:fill="D9D9D9"/>
            <w:vAlign w:val="center"/>
            <w:hideMark/>
          </w:tcPr>
          <w:p w14:paraId="3B4E65E6"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Indicadores</w:t>
            </w:r>
          </w:p>
        </w:tc>
        <w:tc>
          <w:tcPr>
            <w:tcW w:w="1255" w:type="dxa"/>
            <w:shd w:val="clear" w:color="auto" w:fill="D9D9D9"/>
            <w:vAlign w:val="center"/>
            <w:hideMark/>
          </w:tcPr>
          <w:p w14:paraId="49A7FDAC"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Responsável</w:t>
            </w:r>
          </w:p>
        </w:tc>
      </w:tr>
      <w:tr w:rsidR="00A41DBB" w:rsidRPr="00252D7B" w14:paraId="2419FC8A" w14:textId="77777777" w:rsidTr="008071A6">
        <w:trPr>
          <w:jc w:val="center"/>
        </w:trPr>
        <w:tc>
          <w:tcPr>
            <w:tcW w:w="0" w:type="auto"/>
            <w:vAlign w:val="center"/>
            <w:hideMark/>
          </w:tcPr>
          <w:p w14:paraId="5389F010"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08.1</w:t>
            </w:r>
          </w:p>
        </w:tc>
        <w:tc>
          <w:tcPr>
            <w:tcW w:w="2256" w:type="dxa"/>
            <w:vAlign w:val="center"/>
            <w:hideMark/>
          </w:tcPr>
          <w:p w14:paraId="6DCB72CC"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Executar 95% do orçamento previsto.</w:t>
            </w:r>
          </w:p>
        </w:tc>
        <w:tc>
          <w:tcPr>
            <w:tcW w:w="2669" w:type="dxa"/>
            <w:vAlign w:val="center"/>
            <w:hideMark/>
          </w:tcPr>
          <w:p w14:paraId="30FFE5E9"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Executar 95% do orçamento previsto para o ano</w:t>
            </w:r>
          </w:p>
        </w:tc>
        <w:tc>
          <w:tcPr>
            <w:tcW w:w="2011" w:type="dxa"/>
            <w:vAlign w:val="center"/>
            <w:hideMark/>
          </w:tcPr>
          <w:p w14:paraId="6423E167"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IETIC 08.1 - Percentual de execução do orçamento da Proposta Orçamentária de TIC em relação ao PDTIC 2022-2024</w:t>
            </w:r>
          </w:p>
        </w:tc>
        <w:tc>
          <w:tcPr>
            <w:tcW w:w="1255" w:type="dxa"/>
            <w:vAlign w:val="center"/>
            <w:hideMark/>
          </w:tcPr>
          <w:p w14:paraId="4F8B0A61" w14:textId="77777777" w:rsidR="00A41DBB" w:rsidRPr="00252D7B" w:rsidRDefault="00A41DBB" w:rsidP="00E03684">
            <w:pPr>
              <w:widowControl/>
              <w:autoSpaceDE/>
              <w:autoSpaceDN/>
              <w:spacing w:before="120" w:after="120"/>
              <w:rPr>
                <w:rFonts w:asciiTheme="minorHAnsi" w:eastAsia="Times New Roman" w:hAnsiTheme="minorHAnsi" w:cstheme="minorHAnsi"/>
                <w:lang w:bidi="ar-SA"/>
              </w:rPr>
            </w:pPr>
            <w:r w:rsidRPr="00252D7B">
              <w:rPr>
                <w:rFonts w:asciiTheme="minorHAnsi" w:eastAsia="Times New Roman" w:hAnsiTheme="minorHAnsi" w:cstheme="minorHAnsi"/>
                <w:lang w:bidi="ar-SA"/>
              </w:rPr>
              <w:t>SUPTI</w:t>
            </w:r>
          </w:p>
        </w:tc>
      </w:tr>
    </w:tbl>
    <w:p w14:paraId="363CE01D" w14:textId="2E88CA25" w:rsidR="00610C91" w:rsidRPr="00252D7B" w:rsidRDefault="00610C91" w:rsidP="00610C91">
      <w:pPr>
        <w:spacing w:before="120" w:after="120"/>
        <w:ind w:firstLine="720"/>
        <w:jc w:val="both"/>
        <w:rPr>
          <w:rFonts w:asciiTheme="minorHAnsi" w:hAnsiTheme="minorHAnsi" w:cstheme="minorHAnsi"/>
          <w:sz w:val="20"/>
          <w:szCs w:val="20"/>
          <w:lang w:eastAsia="pt-BR"/>
        </w:rPr>
      </w:pPr>
    </w:p>
    <w:p w14:paraId="50BFAC3B" w14:textId="77777777" w:rsidR="00610C91" w:rsidRPr="00252D7B" w:rsidRDefault="00610C91">
      <w:pPr>
        <w:widowControl/>
        <w:autoSpaceDE/>
        <w:autoSpaceDN/>
        <w:spacing w:after="160" w:line="259" w:lineRule="auto"/>
        <w:rPr>
          <w:rFonts w:asciiTheme="minorHAnsi" w:hAnsiTheme="minorHAnsi" w:cstheme="minorHAnsi"/>
          <w:sz w:val="20"/>
          <w:szCs w:val="20"/>
          <w:lang w:eastAsia="pt-BR"/>
        </w:rPr>
      </w:pPr>
      <w:r w:rsidRPr="00252D7B">
        <w:rPr>
          <w:rFonts w:asciiTheme="minorHAnsi" w:hAnsiTheme="minorHAnsi" w:cstheme="minorHAnsi"/>
          <w:sz w:val="20"/>
          <w:szCs w:val="20"/>
          <w:lang w:eastAsia="pt-BR"/>
        </w:rPr>
        <w:br w:type="page"/>
      </w:r>
    </w:p>
    <w:p w14:paraId="6EB4168D" w14:textId="1BFEE2B1" w:rsidR="008071A6" w:rsidRPr="00252D7B" w:rsidRDefault="00343DE1" w:rsidP="008071A6">
      <w:pPr>
        <w:pStyle w:val="Legenda"/>
        <w:spacing w:before="120" w:after="120"/>
        <w:jc w:val="center"/>
        <w:rPr>
          <w:rFonts w:asciiTheme="minorHAnsi" w:hAnsiTheme="minorHAnsi" w:cstheme="minorHAnsi"/>
          <w:sz w:val="20"/>
          <w:szCs w:val="20"/>
          <w:lang w:eastAsia="pt-BR"/>
        </w:rPr>
      </w:pPr>
      <w:bookmarkStart w:id="495" w:name="_Ref97563712"/>
      <w:bookmarkStart w:id="496" w:name="_Toc103680735"/>
      <w:r w:rsidRPr="00252D7B">
        <w:rPr>
          <w:rFonts w:asciiTheme="minorHAnsi" w:hAnsiTheme="minorHAnsi" w:cstheme="minorHAnsi"/>
          <w:sz w:val="20"/>
          <w:szCs w:val="20"/>
        </w:rPr>
        <w:lastRenderedPageBreak/>
        <w:t xml:space="preserve">Quadro </w:t>
      </w:r>
      <w:r w:rsidRPr="00252D7B">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Quadro \* ARABIC </w:instrText>
      </w:r>
      <w:r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16</w:t>
      </w:r>
      <w:r w:rsidRPr="00252D7B">
        <w:rPr>
          <w:rFonts w:asciiTheme="minorHAnsi" w:hAnsiTheme="minorHAnsi" w:cstheme="minorHAnsi"/>
          <w:sz w:val="20"/>
          <w:szCs w:val="20"/>
        </w:rPr>
        <w:fldChar w:fldCharType="end"/>
      </w:r>
      <w:bookmarkEnd w:id="495"/>
      <w:r w:rsidR="008071A6" w:rsidRPr="00252D7B">
        <w:rPr>
          <w:rFonts w:asciiTheme="minorHAnsi" w:hAnsiTheme="minorHAnsi" w:cstheme="minorHAnsi"/>
          <w:sz w:val="20"/>
          <w:szCs w:val="20"/>
          <w:lang w:eastAsia="pt-BR"/>
        </w:rPr>
        <w:t xml:space="preserve"> </w:t>
      </w:r>
      <w:r w:rsidR="00E73F64" w:rsidRPr="00252D7B">
        <w:rPr>
          <w:rFonts w:asciiTheme="minorHAnsi" w:hAnsiTheme="minorHAnsi" w:cstheme="minorHAnsi"/>
          <w:sz w:val="20"/>
          <w:szCs w:val="20"/>
          <w:lang w:eastAsia="pt-BR"/>
        </w:rPr>
        <w:t>–</w:t>
      </w:r>
      <w:r w:rsidR="008071A6" w:rsidRPr="00252D7B">
        <w:rPr>
          <w:rFonts w:asciiTheme="minorHAnsi" w:hAnsiTheme="minorHAnsi" w:cstheme="minorHAnsi"/>
          <w:sz w:val="20"/>
          <w:szCs w:val="20"/>
          <w:lang w:eastAsia="pt-BR"/>
        </w:rPr>
        <w:t xml:space="preserve"> Metas e Indicador OETIC09</w:t>
      </w:r>
      <w:bookmarkEnd w:id="496"/>
    </w:p>
    <w:tbl>
      <w:tblPr>
        <w:tblStyle w:val="Tabelacomgrade10"/>
        <w:tblW w:w="4500" w:type="pct"/>
        <w:jc w:val="center"/>
        <w:tblInd w:w="0" w:type="dxa"/>
        <w:tblLook w:val="04A0" w:firstRow="1" w:lastRow="0" w:firstColumn="1" w:lastColumn="0" w:noHBand="0" w:noVBand="1"/>
      </w:tblPr>
      <w:tblGrid>
        <w:gridCol w:w="571"/>
        <w:gridCol w:w="2272"/>
        <w:gridCol w:w="2666"/>
        <w:gridCol w:w="1998"/>
        <w:gridCol w:w="1255"/>
      </w:tblGrid>
      <w:tr w:rsidR="00A41DBB" w:rsidRPr="00252D7B" w14:paraId="2A7D981D" w14:textId="77777777" w:rsidTr="008071A6">
        <w:trPr>
          <w:jc w:val="center"/>
        </w:trPr>
        <w:tc>
          <w:tcPr>
            <w:tcW w:w="8762" w:type="dxa"/>
            <w:gridSpan w:val="5"/>
            <w:shd w:val="clear" w:color="auto" w:fill="D9D9D9"/>
            <w:vAlign w:val="center"/>
            <w:hideMark/>
          </w:tcPr>
          <w:p w14:paraId="06273DE1"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OETIC 09: Incentivar o desenvolvimento das pessoas para execução das atividades de TIC objetivando a excelência dos serviços da Valec</w:t>
            </w:r>
          </w:p>
        </w:tc>
      </w:tr>
      <w:tr w:rsidR="00A41DBB" w:rsidRPr="00252D7B" w14:paraId="2F4D39CD" w14:textId="77777777" w:rsidTr="008071A6">
        <w:trPr>
          <w:jc w:val="center"/>
        </w:trPr>
        <w:tc>
          <w:tcPr>
            <w:tcW w:w="571" w:type="dxa"/>
            <w:shd w:val="clear" w:color="auto" w:fill="D9D9D9"/>
            <w:vAlign w:val="center"/>
            <w:hideMark/>
          </w:tcPr>
          <w:p w14:paraId="2F414CEE"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ID</w:t>
            </w:r>
          </w:p>
        </w:tc>
        <w:tc>
          <w:tcPr>
            <w:tcW w:w="2272" w:type="dxa"/>
            <w:shd w:val="clear" w:color="auto" w:fill="D9D9D9"/>
            <w:vAlign w:val="center"/>
            <w:hideMark/>
          </w:tcPr>
          <w:p w14:paraId="7731095E"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Metas 2022-2024</w:t>
            </w:r>
          </w:p>
        </w:tc>
        <w:tc>
          <w:tcPr>
            <w:tcW w:w="2666" w:type="dxa"/>
            <w:shd w:val="clear" w:color="auto" w:fill="D9D9D9"/>
            <w:vAlign w:val="center"/>
            <w:hideMark/>
          </w:tcPr>
          <w:p w14:paraId="2F416338"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Metas 2022</w:t>
            </w:r>
          </w:p>
        </w:tc>
        <w:tc>
          <w:tcPr>
            <w:tcW w:w="1998" w:type="dxa"/>
            <w:shd w:val="clear" w:color="auto" w:fill="D9D9D9"/>
            <w:vAlign w:val="center"/>
            <w:hideMark/>
          </w:tcPr>
          <w:p w14:paraId="7A882FC9"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Indicadores</w:t>
            </w:r>
          </w:p>
        </w:tc>
        <w:tc>
          <w:tcPr>
            <w:tcW w:w="1255" w:type="dxa"/>
            <w:shd w:val="clear" w:color="auto" w:fill="D9D9D9"/>
            <w:vAlign w:val="center"/>
            <w:hideMark/>
          </w:tcPr>
          <w:p w14:paraId="559E270E"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b/>
                <w:bCs/>
                <w:lang w:bidi="ar-SA"/>
              </w:rPr>
            </w:pPr>
            <w:r w:rsidRPr="00252D7B">
              <w:rPr>
                <w:rFonts w:asciiTheme="minorHAnsi" w:eastAsia="Times New Roman" w:hAnsiTheme="minorHAnsi" w:cstheme="minorHAnsi"/>
                <w:b/>
                <w:bCs/>
                <w:lang w:bidi="ar-SA"/>
              </w:rPr>
              <w:t>Responsável</w:t>
            </w:r>
          </w:p>
        </w:tc>
      </w:tr>
      <w:tr w:rsidR="00A41DBB" w:rsidRPr="00252D7B" w14:paraId="34F3BDD9" w14:textId="77777777" w:rsidTr="008071A6">
        <w:trPr>
          <w:jc w:val="center"/>
        </w:trPr>
        <w:tc>
          <w:tcPr>
            <w:tcW w:w="0" w:type="auto"/>
            <w:vAlign w:val="center"/>
            <w:hideMark/>
          </w:tcPr>
          <w:p w14:paraId="40AF2EA9"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lang w:bidi="ar-SA"/>
              </w:rPr>
            </w:pPr>
            <w:r w:rsidRPr="00252D7B">
              <w:rPr>
                <w:rFonts w:asciiTheme="minorHAnsi" w:eastAsia="Times New Roman" w:hAnsiTheme="minorHAnsi" w:cstheme="minorHAnsi"/>
                <w:lang w:bidi="ar-SA"/>
              </w:rPr>
              <w:t>09.1</w:t>
            </w:r>
          </w:p>
        </w:tc>
        <w:tc>
          <w:tcPr>
            <w:tcW w:w="2272" w:type="dxa"/>
            <w:vAlign w:val="center"/>
            <w:hideMark/>
          </w:tcPr>
          <w:p w14:paraId="1B9DE449"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lang w:bidi="ar-SA"/>
              </w:rPr>
            </w:pPr>
            <w:r w:rsidRPr="00252D7B">
              <w:rPr>
                <w:rFonts w:asciiTheme="minorHAnsi" w:eastAsia="Times New Roman" w:hAnsiTheme="minorHAnsi" w:cstheme="minorHAnsi"/>
                <w:lang w:bidi="ar-SA"/>
              </w:rPr>
              <w:t>Assegurar no mínimo 30h de capacitação anual para cada empregado da SUPTI</w:t>
            </w:r>
          </w:p>
        </w:tc>
        <w:tc>
          <w:tcPr>
            <w:tcW w:w="2666" w:type="dxa"/>
            <w:vAlign w:val="center"/>
            <w:hideMark/>
          </w:tcPr>
          <w:p w14:paraId="134B84A9"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lang w:bidi="ar-SA"/>
              </w:rPr>
            </w:pPr>
            <w:r w:rsidRPr="00252D7B">
              <w:rPr>
                <w:rFonts w:asciiTheme="minorHAnsi" w:eastAsia="Times New Roman" w:hAnsiTheme="minorHAnsi" w:cstheme="minorHAnsi"/>
                <w:lang w:bidi="ar-SA"/>
              </w:rPr>
              <w:t>Assegurar no mínimo 20h de capacitação anual para cada empregado da SUPTI</w:t>
            </w:r>
          </w:p>
        </w:tc>
        <w:tc>
          <w:tcPr>
            <w:tcW w:w="1998" w:type="dxa"/>
            <w:vAlign w:val="center"/>
            <w:hideMark/>
          </w:tcPr>
          <w:p w14:paraId="532D0D74"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lang w:bidi="ar-SA"/>
              </w:rPr>
            </w:pPr>
            <w:r w:rsidRPr="00252D7B">
              <w:rPr>
                <w:rFonts w:asciiTheme="minorHAnsi" w:eastAsia="Times New Roman" w:hAnsiTheme="minorHAnsi" w:cstheme="minorHAnsi"/>
                <w:lang w:bidi="ar-SA"/>
              </w:rPr>
              <w:t>IETIC 09.1 - Tempo médio anual de capacitações realizadas por empregado</w:t>
            </w:r>
          </w:p>
        </w:tc>
        <w:tc>
          <w:tcPr>
            <w:tcW w:w="1255" w:type="dxa"/>
            <w:vAlign w:val="center"/>
            <w:hideMark/>
          </w:tcPr>
          <w:p w14:paraId="0269EE9D"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lang w:bidi="ar-SA"/>
              </w:rPr>
            </w:pPr>
            <w:r w:rsidRPr="00252D7B">
              <w:rPr>
                <w:rFonts w:asciiTheme="minorHAnsi" w:eastAsia="Times New Roman" w:hAnsiTheme="minorHAnsi" w:cstheme="minorHAnsi"/>
                <w:lang w:bidi="ar-SA"/>
              </w:rPr>
              <w:t>SUPTI</w:t>
            </w:r>
          </w:p>
        </w:tc>
      </w:tr>
      <w:tr w:rsidR="00A41DBB" w:rsidRPr="00252D7B" w14:paraId="766896D0" w14:textId="77777777" w:rsidTr="008071A6">
        <w:trPr>
          <w:jc w:val="center"/>
        </w:trPr>
        <w:tc>
          <w:tcPr>
            <w:tcW w:w="0" w:type="auto"/>
            <w:vAlign w:val="center"/>
            <w:hideMark/>
          </w:tcPr>
          <w:p w14:paraId="05C70C3F"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lang w:bidi="ar-SA"/>
              </w:rPr>
            </w:pPr>
            <w:r w:rsidRPr="00252D7B">
              <w:rPr>
                <w:rFonts w:asciiTheme="minorHAnsi" w:eastAsia="Times New Roman" w:hAnsiTheme="minorHAnsi" w:cstheme="minorHAnsi"/>
                <w:lang w:bidi="ar-SA"/>
              </w:rPr>
              <w:t>09.2</w:t>
            </w:r>
          </w:p>
        </w:tc>
        <w:tc>
          <w:tcPr>
            <w:tcW w:w="2272" w:type="dxa"/>
            <w:vAlign w:val="center"/>
            <w:hideMark/>
          </w:tcPr>
          <w:p w14:paraId="402D9245"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lang w:bidi="ar-SA"/>
              </w:rPr>
            </w:pPr>
            <w:r w:rsidRPr="00252D7B">
              <w:rPr>
                <w:rFonts w:asciiTheme="minorHAnsi" w:eastAsia="Times New Roman" w:hAnsiTheme="minorHAnsi" w:cstheme="minorHAnsi"/>
                <w:lang w:bidi="ar-SA"/>
              </w:rPr>
              <w:t>Publicar ao menos 15 ativos de conhecimento na Valec no período 2022-2024</w:t>
            </w:r>
          </w:p>
        </w:tc>
        <w:tc>
          <w:tcPr>
            <w:tcW w:w="2666" w:type="dxa"/>
            <w:vAlign w:val="center"/>
            <w:hideMark/>
          </w:tcPr>
          <w:p w14:paraId="2F51428D"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lang w:bidi="ar-SA"/>
              </w:rPr>
            </w:pPr>
            <w:r w:rsidRPr="00252D7B">
              <w:rPr>
                <w:rFonts w:asciiTheme="minorHAnsi" w:eastAsia="Times New Roman" w:hAnsiTheme="minorHAnsi" w:cstheme="minorHAnsi"/>
                <w:lang w:bidi="ar-SA"/>
              </w:rPr>
              <w:t>Publicar ao menos 5 ativos de conhecimento até dezembro de 2022.</w:t>
            </w:r>
          </w:p>
        </w:tc>
        <w:tc>
          <w:tcPr>
            <w:tcW w:w="1998" w:type="dxa"/>
            <w:vAlign w:val="center"/>
            <w:hideMark/>
          </w:tcPr>
          <w:p w14:paraId="5B72DAC3"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lang w:bidi="ar-SA"/>
              </w:rPr>
            </w:pPr>
            <w:r w:rsidRPr="00252D7B">
              <w:rPr>
                <w:rFonts w:asciiTheme="minorHAnsi" w:eastAsia="Times New Roman" w:hAnsiTheme="minorHAnsi" w:cstheme="minorHAnsi"/>
                <w:lang w:bidi="ar-SA"/>
              </w:rPr>
              <w:t>IETIC 09.1 - Quantidade de ativos de conhecimento produzidos (por ano)</w:t>
            </w:r>
          </w:p>
        </w:tc>
        <w:tc>
          <w:tcPr>
            <w:tcW w:w="1255" w:type="dxa"/>
            <w:vAlign w:val="center"/>
            <w:hideMark/>
          </w:tcPr>
          <w:p w14:paraId="603F45E0" w14:textId="77777777" w:rsidR="00A41DBB" w:rsidRPr="00252D7B" w:rsidRDefault="00A41DBB" w:rsidP="00E03684">
            <w:pPr>
              <w:widowControl/>
              <w:autoSpaceDE/>
              <w:autoSpaceDN/>
              <w:spacing w:before="120" w:after="120"/>
              <w:jc w:val="center"/>
              <w:rPr>
                <w:rFonts w:asciiTheme="minorHAnsi" w:eastAsia="Times New Roman" w:hAnsiTheme="minorHAnsi" w:cstheme="minorHAnsi"/>
                <w:lang w:bidi="ar-SA"/>
              </w:rPr>
            </w:pPr>
            <w:r w:rsidRPr="00252D7B">
              <w:rPr>
                <w:rFonts w:asciiTheme="minorHAnsi" w:eastAsia="Times New Roman" w:hAnsiTheme="minorHAnsi" w:cstheme="minorHAnsi"/>
                <w:lang w:bidi="ar-SA"/>
              </w:rPr>
              <w:t>SUPTI</w:t>
            </w:r>
          </w:p>
        </w:tc>
      </w:tr>
    </w:tbl>
    <w:p w14:paraId="4161B48A" w14:textId="77777777" w:rsidR="00C5742A" w:rsidRPr="00252D7B" w:rsidRDefault="00C5742A" w:rsidP="00610C91">
      <w:pPr>
        <w:widowControl/>
        <w:autoSpaceDE/>
        <w:autoSpaceDN/>
        <w:spacing w:after="160" w:line="259" w:lineRule="auto"/>
        <w:rPr>
          <w:rFonts w:asciiTheme="minorHAnsi" w:hAnsiTheme="minorHAnsi" w:cstheme="minorHAnsi"/>
          <w:lang w:eastAsia="pt-BR"/>
        </w:rPr>
      </w:pPr>
    </w:p>
    <w:p w14:paraId="18F0F4EF" w14:textId="61C22EE5" w:rsidR="00022B9B" w:rsidRPr="00252D7B" w:rsidRDefault="00022B9B">
      <w:pPr>
        <w:widowControl/>
        <w:autoSpaceDE/>
        <w:autoSpaceDN/>
        <w:spacing w:after="160" w:line="259" w:lineRule="auto"/>
        <w:rPr>
          <w:rFonts w:asciiTheme="minorHAnsi" w:hAnsiTheme="minorHAnsi" w:cstheme="minorHAnsi"/>
        </w:rPr>
      </w:pPr>
    </w:p>
    <w:p w14:paraId="57C80C83" w14:textId="5504AD26" w:rsidR="00336545" w:rsidRPr="00252D7B" w:rsidRDefault="00634A76" w:rsidP="00F100A9">
      <w:pPr>
        <w:pStyle w:val="Ttulo2"/>
      </w:pPr>
      <w:bookmarkStart w:id="497" w:name="_Toc103680597"/>
      <w:r w:rsidRPr="00252D7B">
        <w:t>Sustentabilidade ambiental</w:t>
      </w:r>
      <w:bookmarkEnd w:id="176"/>
      <w:bookmarkEnd w:id="177"/>
      <w:bookmarkEnd w:id="497"/>
    </w:p>
    <w:p w14:paraId="26890DC7" w14:textId="5C2BB13A" w:rsidR="00B579EC" w:rsidRPr="00252D7B" w:rsidRDefault="00B579EC" w:rsidP="00B579EC">
      <w:pPr>
        <w:spacing w:before="120" w:after="120"/>
        <w:jc w:val="both"/>
        <w:rPr>
          <w:rFonts w:asciiTheme="minorHAnsi" w:hAnsiTheme="minorHAnsi" w:cstheme="minorHAnsi"/>
          <w:sz w:val="24"/>
          <w:szCs w:val="24"/>
        </w:rPr>
      </w:pPr>
      <w:bookmarkStart w:id="498" w:name="_Toc94012563"/>
      <w:bookmarkStart w:id="499" w:name="_Toc95830296"/>
      <w:r w:rsidRPr="00252D7B">
        <w:rPr>
          <w:rFonts w:asciiTheme="minorHAnsi" w:hAnsiTheme="minorHAnsi" w:cstheme="minorHAnsi"/>
          <w:sz w:val="24"/>
          <w:szCs w:val="24"/>
        </w:rPr>
        <w:t xml:space="preserve">O cuidado com o meio ambiente sempre foi conduzido com atenção no desenvolvimento das atividades meio e finalísticas necessárias à sustentação dos negócios da </w:t>
      </w:r>
      <w:r w:rsidR="00610C91" w:rsidRPr="00252D7B">
        <w:rPr>
          <w:rFonts w:asciiTheme="minorHAnsi" w:hAnsiTheme="minorHAnsi" w:cstheme="minorHAnsi"/>
          <w:sz w:val="24"/>
          <w:szCs w:val="24"/>
        </w:rPr>
        <w:t>Valec</w:t>
      </w:r>
      <w:r w:rsidRPr="00252D7B">
        <w:rPr>
          <w:rFonts w:asciiTheme="minorHAnsi" w:hAnsiTheme="minorHAnsi" w:cstheme="minorHAnsi"/>
          <w:sz w:val="24"/>
          <w:szCs w:val="24"/>
        </w:rPr>
        <w:t xml:space="preserve">, não apenas em atenção aos instrumentos de comando e controle, mas visando à preservação do meio ambiente e à reponsabilidade social. A seguir são apresentadas as principais entregas realizadas pela </w:t>
      </w:r>
      <w:r w:rsidR="00610C91" w:rsidRPr="00252D7B">
        <w:rPr>
          <w:rFonts w:asciiTheme="minorHAnsi" w:hAnsiTheme="minorHAnsi" w:cstheme="minorHAnsi"/>
          <w:sz w:val="24"/>
          <w:szCs w:val="24"/>
        </w:rPr>
        <w:t>Valec</w:t>
      </w:r>
      <w:r w:rsidRPr="00252D7B">
        <w:rPr>
          <w:rFonts w:asciiTheme="minorHAnsi" w:hAnsiTheme="minorHAnsi" w:cstheme="minorHAnsi"/>
          <w:sz w:val="24"/>
          <w:szCs w:val="24"/>
        </w:rPr>
        <w:t xml:space="preserve"> no exercício de 2021 no campo da Sustentabilidade Ambiental.</w:t>
      </w:r>
    </w:p>
    <w:p w14:paraId="1A1A4162" w14:textId="460C87AD" w:rsidR="00E86AB7" w:rsidRPr="00252D7B" w:rsidRDefault="00E86AB7" w:rsidP="007F2BE4">
      <w:pPr>
        <w:jc w:val="both"/>
        <w:rPr>
          <w:rFonts w:asciiTheme="minorHAnsi" w:hAnsiTheme="minorHAnsi" w:cstheme="minorHAnsi"/>
          <w:sz w:val="24"/>
          <w:szCs w:val="24"/>
        </w:rPr>
      </w:pPr>
    </w:p>
    <w:p w14:paraId="69BDE4DE" w14:textId="77777777" w:rsidR="00CF6DA7" w:rsidRPr="00252D7B" w:rsidRDefault="00CF6DA7" w:rsidP="007F2BE4">
      <w:pPr>
        <w:jc w:val="both"/>
        <w:rPr>
          <w:rFonts w:asciiTheme="minorHAnsi" w:hAnsiTheme="minorHAnsi" w:cstheme="minorHAnsi"/>
          <w:sz w:val="24"/>
          <w:szCs w:val="24"/>
        </w:rPr>
      </w:pPr>
    </w:p>
    <w:p w14:paraId="72E24AE8" w14:textId="77777777" w:rsidR="00B579EC" w:rsidRPr="00252D7B" w:rsidRDefault="00B579EC" w:rsidP="00A837B8">
      <w:pPr>
        <w:pStyle w:val="Ttulo3"/>
        <w:rPr>
          <w:rFonts w:asciiTheme="minorHAnsi" w:hAnsiTheme="minorHAnsi" w:cstheme="minorHAnsi"/>
        </w:rPr>
      </w:pPr>
      <w:bookmarkStart w:id="500" w:name="_Toc103680598"/>
      <w:r w:rsidRPr="00252D7B">
        <w:rPr>
          <w:rFonts w:asciiTheme="minorHAnsi" w:hAnsiTheme="minorHAnsi" w:cstheme="minorHAnsi"/>
        </w:rPr>
        <w:t>I Relatório de Execução da Agenda Ambiental da Administração Pública - A3P</w:t>
      </w:r>
      <w:bookmarkEnd w:id="500"/>
    </w:p>
    <w:p w14:paraId="6E608849" w14:textId="56681590" w:rsidR="00B579EC" w:rsidRPr="00252D7B" w:rsidRDefault="00B579EC" w:rsidP="00B579EC">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Em junho de 2021 a </w:t>
      </w:r>
      <w:r w:rsidR="00610C91" w:rsidRPr="00252D7B">
        <w:rPr>
          <w:rFonts w:asciiTheme="minorHAnsi" w:hAnsiTheme="minorHAnsi" w:cstheme="minorHAnsi"/>
          <w:sz w:val="24"/>
          <w:szCs w:val="24"/>
        </w:rPr>
        <w:t>Valec</w:t>
      </w:r>
      <w:r w:rsidRPr="00252D7B">
        <w:rPr>
          <w:rFonts w:asciiTheme="minorHAnsi" w:hAnsiTheme="minorHAnsi" w:cstheme="minorHAnsi"/>
          <w:sz w:val="24"/>
          <w:szCs w:val="24"/>
        </w:rPr>
        <w:t xml:space="preserve"> encaminhou ao Ministério do Meio Ambiente (MMA) o I Relatório da Agenda Ambiental da Administração referente ao ano de 2020. O programa A3P tem por objetivo promover e incentivar as instituições públicas no país a adotarem e implantarem ações na área de responsabilidade socioambiental em suas atividades internas e externas. É uma iniciativa voluntária e que demanda engajamento pessoal e coletivo. As instituições e seus funcionários são incentivados a adotar ações sustentáveis no ambiente de trabalho, desde pequenas mudanças de hábito, até atitudes que geram economia, com base em cinco eixos temáticos: uso racional dos recursos naturais e bens públicos, gestão adequada dos resíduos gerados, qualidade de vida no ambiente de trabalho, sensibilização e capacitação e licitações sustentáveis.</w:t>
      </w:r>
    </w:p>
    <w:p w14:paraId="7540B634" w14:textId="10975D49" w:rsidR="007F2BE4" w:rsidRPr="00252D7B" w:rsidRDefault="007F2BE4" w:rsidP="007F2BE4">
      <w:pPr>
        <w:jc w:val="both"/>
        <w:rPr>
          <w:rFonts w:asciiTheme="minorHAnsi" w:hAnsiTheme="minorHAnsi" w:cstheme="minorHAnsi"/>
          <w:sz w:val="24"/>
          <w:szCs w:val="24"/>
        </w:rPr>
      </w:pPr>
    </w:p>
    <w:p w14:paraId="19E27FE1" w14:textId="77777777" w:rsidR="00CF6DA7" w:rsidRPr="00252D7B" w:rsidRDefault="00CF6DA7" w:rsidP="007F2BE4">
      <w:pPr>
        <w:jc w:val="both"/>
        <w:rPr>
          <w:rFonts w:asciiTheme="minorHAnsi" w:hAnsiTheme="minorHAnsi" w:cstheme="minorHAnsi"/>
          <w:sz w:val="24"/>
          <w:szCs w:val="24"/>
        </w:rPr>
      </w:pPr>
    </w:p>
    <w:p w14:paraId="085948D7" w14:textId="77777777" w:rsidR="00B579EC" w:rsidRPr="00252D7B" w:rsidRDefault="00B579EC" w:rsidP="00EF20A1">
      <w:pPr>
        <w:pStyle w:val="Ttulo3"/>
        <w:rPr>
          <w:rFonts w:asciiTheme="minorHAnsi" w:hAnsiTheme="minorHAnsi" w:cstheme="minorHAnsi"/>
        </w:rPr>
      </w:pPr>
      <w:bookmarkStart w:id="501" w:name="_Toc103680599"/>
      <w:r w:rsidRPr="00252D7B">
        <w:rPr>
          <w:rFonts w:asciiTheme="minorHAnsi" w:hAnsiTheme="minorHAnsi" w:cstheme="minorHAnsi"/>
        </w:rPr>
        <w:t>Selo A3P 2020</w:t>
      </w:r>
      <w:bookmarkEnd w:id="501"/>
    </w:p>
    <w:p w14:paraId="644C1E5E" w14:textId="6CDA4012" w:rsidR="00B579EC" w:rsidRPr="00252D7B" w:rsidRDefault="00B579EC" w:rsidP="00B579EC">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Em julho de 2021 o Ministério do Meio Ambiente (MMA) concedeu à </w:t>
      </w:r>
      <w:r w:rsidR="00610C91" w:rsidRPr="00252D7B">
        <w:rPr>
          <w:rFonts w:asciiTheme="minorHAnsi" w:hAnsiTheme="minorHAnsi" w:cstheme="minorHAnsi"/>
          <w:sz w:val="24"/>
          <w:szCs w:val="24"/>
        </w:rPr>
        <w:t>Valec</w:t>
      </w:r>
      <w:r w:rsidRPr="00252D7B">
        <w:rPr>
          <w:rFonts w:asciiTheme="minorHAnsi" w:hAnsiTheme="minorHAnsi" w:cstheme="minorHAnsi"/>
          <w:sz w:val="24"/>
          <w:szCs w:val="24"/>
        </w:rPr>
        <w:t xml:space="preserve"> o Selo de Monitoramento da A3P, referente ao ano de 2020, reconhecendo que a empresa executou as ações de sustentabilidade socioambiental previstas no Plano de Ação desse programa.</w:t>
      </w:r>
    </w:p>
    <w:p w14:paraId="5735FA2D" w14:textId="77777777" w:rsidR="00B579EC" w:rsidRPr="00252D7B" w:rsidRDefault="00B579EC" w:rsidP="00EF20A1">
      <w:pPr>
        <w:pStyle w:val="Ttulo3"/>
        <w:rPr>
          <w:rFonts w:asciiTheme="minorHAnsi" w:hAnsiTheme="minorHAnsi" w:cstheme="minorHAnsi"/>
        </w:rPr>
      </w:pPr>
      <w:bookmarkStart w:id="502" w:name="_Toc103680600"/>
      <w:r w:rsidRPr="00252D7B">
        <w:rPr>
          <w:rFonts w:asciiTheme="minorHAnsi" w:hAnsiTheme="minorHAnsi" w:cstheme="minorHAnsi"/>
        </w:rPr>
        <w:lastRenderedPageBreak/>
        <w:t>VII Relatório de Execução do Plano Gestor de Logística Sustentável - PLS</w:t>
      </w:r>
      <w:bookmarkEnd w:id="502"/>
    </w:p>
    <w:p w14:paraId="4CCB7E1E" w14:textId="1B080A3E" w:rsidR="00B579EC" w:rsidRPr="00252D7B" w:rsidRDefault="00B579EC" w:rsidP="00B579EC">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Em agosto de 2021 a </w:t>
      </w:r>
      <w:r w:rsidR="00610C91" w:rsidRPr="00252D7B">
        <w:rPr>
          <w:rFonts w:asciiTheme="minorHAnsi" w:hAnsiTheme="minorHAnsi" w:cstheme="minorHAnsi"/>
          <w:sz w:val="24"/>
          <w:szCs w:val="24"/>
        </w:rPr>
        <w:t>Valec</w:t>
      </w:r>
      <w:r w:rsidRPr="00252D7B">
        <w:rPr>
          <w:rFonts w:asciiTheme="minorHAnsi" w:hAnsiTheme="minorHAnsi" w:cstheme="minorHAnsi"/>
          <w:sz w:val="24"/>
          <w:szCs w:val="24"/>
        </w:rPr>
        <w:t xml:space="preserve"> finalizou a elaboração do VII Relatório do Plano de Logística Sustentável. O PLS estabelece a implantação e o contínuo aperfeiçoamento de práticas de sustentabilidade dentro da organização, em atendimento à determinação contida na Instrução Normativa Nº 10/2012 SLTI/MPOG. Possui objetivos e responsabilidades definidas, ações, metas, prazos de execução e mecanismos de monitoramento e avaliação, permitindo a entidade estabelecer a sua política de sustentabilidade.</w:t>
      </w:r>
    </w:p>
    <w:p w14:paraId="47F35167" w14:textId="0BD9B287" w:rsidR="00745F13" w:rsidRPr="00252D7B" w:rsidRDefault="00745F13" w:rsidP="007F2BE4">
      <w:pPr>
        <w:jc w:val="both"/>
        <w:rPr>
          <w:rFonts w:asciiTheme="minorHAnsi" w:hAnsiTheme="minorHAnsi" w:cstheme="minorHAnsi"/>
          <w:sz w:val="24"/>
          <w:szCs w:val="24"/>
        </w:rPr>
      </w:pPr>
    </w:p>
    <w:p w14:paraId="39A2A149" w14:textId="77777777" w:rsidR="00CF6DA7" w:rsidRPr="00252D7B" w:rsidRDefault="00CF6DA7" w:rsidP="007F2BE4">
      <w:pPr>
        <w:jc w:val="both"/>
        <w:rPr>
          <w:rFonts w:asciiTheme="minorHAnsi" w:hAnsiTheme="minorHAnsi" w:cstheme="minorHAnsi"/>
          <w:sz w:val="24"/>
          <w:szCs w:val="24"/>
        </w:rPr>
      </w:pPr>
    </w:p>
    <w:p w14:paraId="35B222B6" w14:textId="77777777" w:rsidR="00B579EC" w:rsidRPr="00252D7B" w:rsidRDefault="00B579EC" w:rsidP="00EF20A1">
      <w:pPr>
        <w:pStyle w:val="Ttulo3"/>
        <w:rPr>
          <w:rFonts w:asciiTheme="minorHAnsi" w:hAnsiTheme="minorHAnsi" w:cstheme="minorHAnsi"/>
        </w:rPr>
      </w:pPr>
      <w:bookmarkStart w:id="503" w:name="_Toc103680601"/>
      <w:r w:rsidRPr="00252D7B">
        <w:rPr>
          <w:rFonts w:asciiTheme="minorHAnsi" w:hAnsiTheme="minorHAnsi" w:cstheme="minorHAnsi"/>
        </w:rPr>
        <w:t>Política Ambiental e Territorial da Valec</w:t>
      </w:r>
      <w:bookmarkEnd w:id="503"/>
    </w:p>
    <w:p w14:paraId="0DEA637B" w14:textId="5472D18B" w:rsidR="00B579EC" w:rsidRPr="00252D7B" w:rsidRDefault="00B579EC" w:rsidP="00B579EC">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Em outubro de 2021 foi aprovada a Resolução Normativa nº 17, que institui a Política Ambiental e Territorial no âmbito da Valec, que objetiva assegurar a atuação da </w:t>
      </w:r>
      <w:r w:rsidR="00610C91" w:rsidRPr="00252D7B">
        <w:rPr>
          <w:rFonts w:asciiTheme="minorHAnsi" w:hAnsiTheme="minorHAnsi" w:cstheme="minorHAnsi"/>
          <w:sz w:val="24"/>
          <w:szCs w:val="24"/>
        </w:rPr>
        <w:t>Valec</w:t>
      </w:r>
      <w:r w:rsidRPr="00252D7B">
        <w:rPr>
          <w:rFonts w:asciiTheme="minorHAnsi" w:hAnsiTheme="minorHAnsi" w:cstheme="minorHAnsi"/>
          <w:sz w:val="24"/>
          <w:szCs w:val="24"/>
        </w:rPr>
        <w:t xml:space="preserve"> em consonância com o princípio da sustentabilidade e da responsabilidade social, promovendo a incorporação dos princípios e diretrizes desta política nos projetos, negócios e nos relacionamentos com as partes interessadas.</w:t>
      </w:r>
    </w:p>
    <w:p w14:paraId="5DD8359E" w14:textId="0281ADDA" w:rsidR="00211940" w:rsidRPr="00252D7B" w:rsidRDefault="00211940" w:rsidP="00CF6DA7">
      <w:pPr>
        <w:jc w:val="both"/>
        <w:rPr>
          <w:rFonts w:asciiTheme="minorHAnsi" w:hAnsiTheme="minorHAnsi" w:cstheme="minorHAnsi"/>
          <w:sz w:val="24"/>
          <w:szCs w:val="24"/>
        </w:rPr>
      </w:pPr>
    </w:p>
    <w:p w14:paraId="43F73CFE" w14:textId="77777777" w:rsidR="00CF6DA7" w:rsidRPr="00252D7B" w:rsidRDefault="00CF6DA7" w:rsidP="00CF6DA7">
      <w:pPr>
        <w:jc w:val="both"/>
        <w:rPr>
          <w:rFonts w:asciiTheme="minorHAnsi" w:hAnsiTheme="minorHAnsi" w:cstheme="minorHAnsi"/>
          <w:sz w:val="24"/>
          <w:szCs w:val="24"/>
        </w:rPr>
      </w:pPr>
    </w:p>
    <w:p w14:paraId="73F72478" w14:textId="77777777" w:rsidR="00B579EC" w:rsidRPr="00252D7B" w:rsidRDefault="00B579EC" w:rsidP="00EF20A1">
      <w:pPr>
        <w:pStyle w:val="Ttulo3"/>
        <w:rPr>
          <w:rFonts w:asciiTheme="minorHAnsi" w:hAnsiTheme="minorHAnsi" w:cstheme="minorHAnsi"/>
        </w:rPr>
      </w:pPr>
      <w:bookmarkStart w:id="504" w:name="_Toc103680602"/>
      <w:r w:rsidRPr="00252D7B">
        <w:rPr>
          <w:rFonts w:asciiTheme="minorHAnsi" w:hAnsiTheme="minorHAnsi" w:cstheme="minorHAnsi"/>
        </w:rPr>
        <w:t>Critérios de sustentabilidade nas contratações e aquisições.</w:t>
      </w:r>
      <w:bookmarkEnd w:id="504"/>
    </w:p>
    <w:p w14:paraId="6B3F1809" w14:textId="76EDABCD" w:rsidR="00B579EC" w:rsidRPr="00252D7B" w:rsidRDefault="00B579EC" w:rsidP="00B579EC">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Em abril de 2021 foi iniciado o processo de elaboração do Guia de Contratações Públicas Sustentáveis, contudo sua aprovação só foi concluída em fevereiro de 2022, mediante a Resolução Normativa nº 1º 1/2022/CONSAD-</w:t>
      </w:r>
      <w:r w:rsidR="00610C91" w:rsidRPr="00252D7B">
        <w:rPr>
          <w:rFonts w:asciiTheme="minorHAnsi" w:hAnsiTheme="minorHAnsi" w:cstheme="minorHAnsi"/>
          <w:sz w:val="24"/>
          <w:szCs w:val="24"/>
        </w:rPr>
        <w:t>Valec</w:t>
      </w:r>
      <w:r w:rsidRPr="00252D7B">
        <w:rPr>
          <w:rFonts w:asciiTheme="minorHAnsi" w:hAnsiTheme="minorHAnsi" w:cstheme="minorHAnsi"/>
          <w:sz w:val="24"/>
          <w:szCs w:val="24"/>
        </w:rPr>
        <w:t>.</w:t>
      </w:r>
    </w:p>
    <w:p w14:paraId="6E8A08A1" w14:textId="77777777" w:rsidR="00B579EC" w:rsidRPr="00252D7B" w:rsidRDefault="00B579EC" w:rsidP="00B579EC">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Tal guia prevê a facilitação da inclusão de critérios e práticas de sustentabilidade na contratação pública, que devem perpassar todas as fases da contratação, desde o planejamento até a fiscalização da execução e a gestão dos resíduos decorrentes.</w:t>
      </w:r>
    </w:p>
    <w:p w14:paraId="4079EFF7" w14:textId="77777777" w:rsidR="00B579EC" w:rsidRPr="00252D7B" w:rsidRDefault="00B579EC" w:rsidP="00B579EC">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Os critérios e práticas de sustentabilidade indicados no guia deverão ser veiculados como especificação técnica do objeto, obrigação da contratada ou requisito previsto em lei especial, em conformidade com artigo 3º, Decreto 7.746/2012.</w:t>
      </w:r>
    </w:p>
    <w:p w14:paraId="5514EB40" w14:textId="472FD347" w:rsidR="00745F13" w:rsidRPr="00252D7B" w:rsidRDefault="00745F13" w:rsidP="007F2BE4">
      <w:pPr>
        <w:jc w:val="both"/>
        <w:rPr>
          <w:rFonts w:asciiTheme="minorHAnsi" w:hAnsiTheme="minorHAnsi" w:cstheme="minorHAnsi"/>
          <w:sz w:val="24"/>
          <w:szCs w:val="24"/>
        </w:rPr>
      </w:pPr>
    </w:p>
    <w:p w14:paraId="10C918B9" w14:textId="77777777" w:rsidR="00CF6DA7" w:rsidRPr="00252D7B" w:rsidRDefault="00CF6DA7" w:rsidP="007F2BE4">
      <w:pPr>
        <w:jc w:val="both"/>
        <w:rPr>
          <w:rFonts w:asciiTheme="minorHAnsi" w:hAnsiTheme="minorHAnsi" w:cstheme="minorHAnsi"/>
          <w:sz w:val="24"/>
          <w:szCs w:val="24"/>
        </w:rPr>
      </w:pPr>
    </w:p>
    <w:p w14:paraId="20F7AABA" w14:textId="4BDF732B" w:rsidR="00B579EC" w:rsidRPr="00252D7B" w:rsidRDefault="00B579EC" w:rsidP="00EF20A1">
      <w:pPr>
        <w:pStyle w:val="Ttulo3"/>
        <w:rPr>
          <w:rFonts w:asciiTheme="minorHAnsi" w:hAnsiTheme="minorHAnsi" w:cstheme="minorHAnsi"/>
        </w:rPr>
      </w:pPr>
      <w:bookmarkStart w:id="505" w:name="_Toc103680603"/>
      <w:r w:rsidRPr="00252D7B">
        <w:rPr>
          <w:rFonts w:asciiTheme="minorHAnsi" w:hAnsiTheme="minorHAnsi" w:cstheme="minorHAnsi"/>
        </w:rPr>
        <w:t>Ações para redução do consumo de recursos naturais</w:t>
      </w:r>
      <w:bookmarkEnd w:id="505"/>
    </w:p>
    <w:p w14:paraId="585D6CCC" w14:textId="618F57E9" w:rsidR="00B579EC" w:rsidRPr="00252D7B" w:rsidRDefault="00B579EC" w:rsidP="00FA416F">
      <w:pPr>
        <w:spacing w:before="120"/>
        <w:jc w:val="both"/>
        <w:rPr>
          <w:rFonts w:asciiTheme="minorHAnsi" w:hAnsiTheme="minorHAnsi" w:cstheme="minorHAnsi"/>
          <w:sz w:val="24"/>
          <w:szCs w:val="24"/>
        </w:rPr>
      </w:pPr>
      <w:r w:rsidRPr="00252D7B">
        <w:rPr>
          <w:rFonts w:asciiTheme="minorHAnsi" w:hAnsiTheme="minorHAnsi" w:cstheme="minorHAnsi"/>
          <w:sz w:val="24"/>
          <w:szCs w:val="24"/>
        </w:rPr>
        <w:t xml:space="preserve">A </w:t>
      </w:r>
      <w:r w:rsidR="00610C91" w:rsidRPr="00252D7B">
        <w:rPr>
          <w:rFonts w:asciiTheme="minorHAnsi" w:hAnsiTheme="minorHAnsi" w:cstheme="minorHAnsi"/>
          <w:sz w:val="24"/>
          <w:szCs w:val="24"/>
        </w:rPr>
        <w:t>Valec</w:t>
      </w:r>
      <w:r w:rsidRPr="00252D7B">
        <w:rPr>
          <w:rFonts w:asciiTheme="minorHAnsi" w:hAnsiTheme="minorHAnsi" w:cstheme="minorHAnsi"/>
          <w:sz w:val="24"/>
          <w:szCs w:val="24"/>
        </w:rPr>
        <w:t xml:space="preserve">, mediante os instrumentos do Plano de Logística Sustentável – PLS e da Agenda Ambiental da Administração Pública - A3P, monitora seu consumo de energia elétrica </w:t>
      </w:r>
      <w:r w:rsidR="00610C91" w:rsidRPr="00252D7B">
        <w:rPr>
          <w:rFonts w:asciiTheme="minorHAnsi" w:hAnsiTheme="minorHAnsi" w:cstheme="minorHAnsi"/>
          <w:sz w:val="24"/>
          <w:szCs w:val="24"/>
        </w:rPr>
        <w:t>por meio</w:t>
      </w:r>
      <w:r w:rsidRPr="00252D7B">
        <w:rPr>
          <w:rFonts w:asciiTheme="minorHAnsi" w:hAnsiTheme="minorHAnsi" w:cstheme="minorHAnsi"/>
          <w:sz w:val="24"/>
          <w:szCs w:val="24"/>
        </w:rPr>
        <w:t xml:space="preserve"> de indicadores de consumo, quais sejam:</w:t>
      </w:r>
    </w:p>
    <w:p w14:paraId="0800260F" w14:textId="77777777" w:rsidR="00745F13" w:rsidRPr="00252D7B" w:rsidRDefault="00745F13" w:rsidP="007F2BE4">
      <w:pPr>
        <w:jc w:val="both"/>
        <w:rPr>
          <w:rFonts w:asciiTheme="minorHAnsi" w:hAnsiTheme="minorHAnsi" w:cstheme="minorHAnsi"/>
          <w:sz w:val="24"/>
          <w:szCs w:val="24"/>
        </w:rPr>
      </w:pPr>
    </w:p>
    <w:p w14:paraId="6B4D99A4" w14:textId="71B3EA84" w:rsidR="00FA416F" w:rsidRPr="00252D7B" w:rsidRDefault="00181B02" w:rsidP="00FA416F">
      <w:pPr>
        <w:pStyle w:val="Legenda"/>
        <w:keepNext/>
        <w:jc w:val="center"/>
        <w:rPr>
          <w:rFonts w:asciiTheme="minorHAnsi" w:hAnsiTheme="minorHAnsi" w:cstheme="minorHAnsi"/>
          <w:sz w:val="20"/>
          <w:szCs w:val="20"/>
        </w:rPr>
      </w:pPr>
      <w:bookmarkStart w:id="506" w:name="_Toc103680736"/>
      <w:r w:rsidRPr="00252D7B">
        <w:rPr>
          <w:rFonts w:asciiTheme="minorHAnsi" w:hAnsiTheme="minorHAnsi" w:cstheme="minorHAnsi"/>
          <w:sz w:val="20"/>
          <w:szCs w:val="20"/>
        </w:rPr>
        <w:t xml:space="preserve">Quadro </w:t>
      </w:r>
      <w:r w:rsidRPr="00252D7B">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Quadro \* ARABIC </w:instrText>
      </w:r>
      <w:r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17</w:t>
      </w:r>
      <w:r w:rsidRPr="00252D7B">
        <w:rPr>
          <w:rFonts w:asciiTheme="minorHAnsi" w:hAnsiTheme="minorHAnsi" w:cstheme="minorHAnsi"/>
          <w:sz w:val="20"/>
          <w:szCs w:val="20"/>
        </w:rPr>
        <w:fldChar w:fldCharType="end"/>
      </w:r>
      <w:r w:rsidR="00FA416F" w:rsidRPr="00252D7B">
        <w:rPr>
          <w:rFonts w:asciiTheme="minorHAnsi" w:hAnsiTheme="minorHAnsi" w:cstheme="minorHAnsi"/>
          <w:sz w:val="20"/>
          <w:szCs w:val="20"/>
        </w:rPr>
        <w:t xml:space="preserve"> </w:t>
      </w:r>
      <w:r w:rsidR="00057BD3" w:rsidRPr="00252D7B">
        <w:rPr>
          <w:rFonts w:asciiTheme="minorHAnsi" w:hAnsiTheme="minorHAnsi" w:cstheme="minorHAnsi"/>
          <w:sz w:val="20"/>
          <w:szCs w:val="20"/>
        </w:rPr>
        <w:t>–</w:t>
      </w:r>
      <w:r w:rsidR="00FA416F" w:rsidRPr="00252D7B">
        <w:rPr>
          <w:rFonts w:asciiTheme="minorHAnsi" w:hAnsiTheme="minorHAnsi" w:cstheme="minorHAnsi"/>
          <w:sz w:val="20"/>
          <w:szCs w:val="20"/>
        </w:rPr>
        <w:t xml:space="preserve"> Indicadores de Consumo de Energia Elétrica</w:t>
      </w:r>
      <w:bookmarkEnd w:id="506"/>
    </w:p>
    <w:tbl>
      <w:tblPr>
        <w:tblStyle w:val="Tabelacomgrade"/>
        <w:tblW w:w="8222" w:type="dxa"/>
        <w:jc w:val="center"/>
        <w:tblLayout w:type="fixed"/>
        <w:tblLook w:val="06A0" w:firstRow="1" w:lastRow="0" w:firstColumn="1" w:lastColumn="0" w:noHBand="1" w:noVBand="1"/>
      </w:tblPr>
      <w:tblGrid>
        <w:gridCol w:w="2140"/>
        <w:gridCol w:w="6082"/>
      </w:tblGrid>
      <w:tr w:rsidR="00524A59" w:rsidRPr="00252D7B" w14:paraId="7713A48A" w14:textId="77777777" w:rsidTr="00610C91">
        <w:trPr>
          <w:trHeight w:val="285"/>
          <w:tblHeader/>
          <w:jc w:val="center"/>
        </w:trPr>
        <w:tc>
          <w:tcPr>
            <w:tcW w:w="2140" w:type="dxa"/>
            <w:shd w:val="clear" w:color="auto" w:fill="DDDDDD"/>
          </w:tcPr>
          <w:p w14:paraId="56E848BA" w14:textId="56474AA1" w:rsidR="00524A59" w:rsidRPr="00252D7B" w:rsidRDefault="00524A59" w:rsidP="00524A59">
            <w:pPr>
              <w:jc w:val="center"/>
              <w:rPr>
                <w:rFonts w:asciiTheme="minorHAnsi" w:hAnsiTheme="minorHAnsi" w:cstheme="minorHAnsi"/>
                <w:b/>
                <w:bCs/>
                <w:sz w:val="20"/>
                <w:szCs w:val="20"/>
              </w:rPr>
            </w:pPr>
            <w:r w:rsidRPr="00252D7B">
              <w:rPr>
                <w:rFonts w:asciiTheme="minorHAnsi" w:hAnsiTheme="minorHAnsi" w:cstheme="minorHAnsi"/>
                <w:b/>
                <w:bCs/>
                <w:sz w:val="20"/>
                <w:szCs w:val="20"/>
              </w:rPr>
              <w:t>Indicador (cód)</w:t>
            </w:r>
          </w:p>
        </w:tc>
        <w:tc>
          <w:tcPr>
            <w:tcW w:w="6082" w:type="dxa"/>
            <w:shd w:val="clear" w:color="auto" w:fill="DDDDDD"/>
          </w:tcPr>
          <w:p w14:paraId="283AEFA6" w14:textId="0DAEEC9E" w:rsidR="00524A59" w:rsidRPr="00252D7B" w:rsidRDefault="00524A59" w:rsidP="00524A59">
            <w:pPr>
              <w:jc w:val="center"/>
              <w:rPr>
                <w:rFonts w:asciiTheme="minorHAnsi" w:hAnsiTheme="minorHAnsi" w:cstheme="minorHAnsi"/>
                <w:b/>
                <w:bCs/>
                <w:sz w:val="20"/>
                <w:szCs w:val="20"/>
              </w:rPr>
            </w:pPr>
            <w:r w:rsidRPr="00252D7B">
              <w:rPr>
                <w:rFonts w:asciiTheme="minorHAnsi" w:hAnsiTheme="minorHAnsi" w:cstheme="minorHAnsi"/>
                <w:b/>
                <w:bCs/>
                <w:sz w:val="20"/>
                <w:szCs w:val="20"/>
              </w:rPr>
              <w:t>Descrição</w:t>
            </w:r>
          </w:p>
        </w:tc>
      </w:tr>
      <w:tr w:rsidR="00DC0A35" w:rsidRPr="00252D7B" w14:paraId="033EB2F2" w14:textId="77777777" w:rsidTr="00461890">
        <w:trPr>
          <w:jc w:val="center"/>
        </w:trPr>
        <w:tc>
          <w:tcPr>
            <w:tcW w:w="2140" w:type="dxa"/>
            <w:vAlign w:val="center"/>
          </w:tcPr>
          <w:p w14:paraId="479C3140" w14:textId="3622B8EF" w:rsidR="00DC0A35" w:rsidRPr="00252D7B" w:rsidRDefault="00DC0A35" w:rsidP="00DC0A35">
            <w:pPr>
              <w:jc w:val="center"/>
              <w:rPr>
                <w:rFonts w:asciiTheme="minorHAnsi" w:hAnsiTheme="minorHAnsi" w:cstheme="minorHAnsi"/>
                <w:sz w:val="20"/>
                <w:szCs w:val="20"/>
              </w:rPr>
            </w:pPr>
            <w:r w:rsidRPr="00252D7B">
              <w:rPr>
                <w:rFonts w:asciiTheme="minorHAnsi" w:hAnsiTheme="minorHAnsi" w:cstheme="minorHAnsi"/>
              </w:rPr>
              <w:t>CE1</w:t>
            </w:r>
          </w:p>
        </w:tc>
        <w:tc>
          <w:tcPr>
            <w:tcW w:w="6082" w:type="dxa"/>
          </w:tcPr>
          <w:p w14:paraId="4E1A4C7A" w14:textId="20A61FDF" w:rsidR="00DC0A35" w:rsidRPr="00252D7B" w:rsidRDefault="00DC0A35" w:rsidP="00DC0A35">
            <w:pPr>
              <w:rPr>
                <w:rFonts w:asciiTheme="minorHAnsi" w:hAnsiTheme="minorHAnsi" w:cstheme="minorHAnsi"/>
                <w:sz w:val="20"/>
                <w:szCs w:val="20"/>
              </w:rPr>
            </w:pPr>
            <w:r w:rsidRPr="00252D7B">
              <w:rPr>
                <w:rFonts w:asciiTheme="minorHAnsi" w:hAnsiTheme="minorHAnsi" w:cstheme="minorHAnsi"/>
              </w:rPr>
              <w:t>Consumo de energia elétrica: Quantidade de kwh consumidos</w:t>
            </w:r>
          </w:p>
        </w:tc>
      </w:tr>
      <w:tr w:rsidR="00DC0A35" w:rsidRPr="00252D7B" w14:paraId="1FF30BF7" w14:textId="77777777" w:rsidTr="00461890">
        <w:trPr>
          <w:jc w:val="center"/>
        </w:trPr>
        <w:tc>
          <w:tcPr>
            <w:tcW w:w="2140" w:type="dxa"/>
            <w:vAlign w:val="center"/>
          </w:tcPr>
          <w:p w14:paraId="176390FC" w14:textId="20216FBA" w:rsidR="00DC0A35" w:rsidRPr="00252D7B" w:rsidRDefault="00DC0A35" w:rsidP="00DC0A35">
            <w:pPr>
              <w:jc w:val="center"/>
              <w:rPr>
                <w:rFonts w:asciiTheme="minorHAnsi" w:hAnsiTheme="minorHAnsi" w:cstheme="minorHAnsi"/>
                <w:sz w:val="20"/>
                <w:szCs w:val="20"/>
              </w:rPr>
            </w:pPr>
            <w:r w:rsidRPr="00252D7B">
              <w:rPr>
                <w:rFonts w:asciiTheme="minorHAnsi" w:hAnsiTheme="minorHAnsi" w:cstheme="minorHAnsi"/>
              </w:rPr>
              <w:t>CE2</w:t>
            </w:r>
          </w:p>
        </w:tc>
        <w:tc>
          <w:tcPr>
            <w:tcW w:w="6082" w:type="dxa"/>
          </w:tcPr>
          <w:p w14:paraId="61BDC753" w14:textId="3A88F83F" w:rsidR="00DC0A35" w:rsidRPr="00252D7B" w:rsidRDefault="00DC0A35" w:rsidP="00DC0A35">
            <w:pPr>
              <w:rPr>
                <w:rFonts w:asciiTheme="minorHAnsi" w:hAnsiTheme="minorHAnsi" w:cstheme="minorHAnsi"/>
                <w:sz w:val="20"/>
                <w:szCs w:val="20"/>
              </w:rPr>
            </w:pPr>
            <w:r w:rsidRPr="00252D7B">
              <w:rPr>
                <w:rFonts w:asciiTheme="minorHAnsi" w:hAnsiTheme="minorHAnsi" w:cstheme="minorHAnsi"/>
              </w:rPr>
              <w:t>Consumo de energia elétrica per capita: Quantidade de kwh consumidos/total de empregados</w:t>
            </w:r>
          </w:p>
        </w:tc>
      </w:tr>
      <w:tr w:rsidR="00DC0A35" w:rsidRPr="00252D7B" w14:paraId="2E0D7E03" w14:textId="77777777" w:rsidTr="00461890">
        <w:trPr>
          <w:jc w:val="center"/>
        </w:trPr>
        <w:tc>
          <w:tcPr>
            <w:tcW w:w="2140" w:type="dxa"/>
            <w:vAlign w:val="center"/>
          </w:tcPr>
          <w:p w14:paraId="4A1EC052" w14:textId="33A85191" w:rsidR="00DC0A35" w:rsidRPr="00252D7B" w:rsidRDefault="00DC0A35" w:rsidP="00DC0A35">
            <w:pPr>
              <w:jc w:val="center"/>
              <w:rPr>
                <w:rFonts w:asciiTheme="minorHAnsi" w:hAnsiTheme="minorHAnsi" w:cstheme="minorHAnsi"/>
                <w:sz w:val="20"/>
                <w:szCs w:val="20"/>
              </w:rPr>
            </w:pPr>
            <w:r w:rsidRPr="00252D7B">
              <w:rPr>
                <w:rFonts w:asciiTheme="minorHAnsi" w:hAnsiTheme="minorHAnsi" w:cstheme="minorHAnsi"/>
              </w:rPr>
              <w:t>CE3</w:t>
            </w:r>
          </w:p>
        </w:tc>
        <w:tc>
          <w:tcPr>
            <w:tcW w:w="6082" w:type="dxa"/>
          </w:tcPr>
          <w:p w14:paraId="18C4EF78" w14:textId="5BB6A9F3" w:rsidR="00DC0A35" w:rsidRPr="00252D7B" w:rsidRDefault="00DC0A35" w:rsidP="00DC0A35">
            <w:pPr>
              <w:rPr>
                <w:rFonts w:asciiTheme="minorHAnsi" w:hAnsiTheme="minorHAnsi" w:cstheme="minorHAnsi"/>
                <w:sz w:val="20"/>
                <w:szCs w:val="20"/>
              </w:rPr>
            </w:pPr>
            <w:r w:rsidRPr="00252D7B">
              <w:rPr>
                <w:rFonts w:asciiTheme="minorHAnsi" w:hAnsiTheme="minorHAnsi" w:cstheme="minorHAnsi"/>
              </w:rPr>
              <w:t>Gasto com energia: Valor da fatura em reais (R$)</w:t>
            </w:r>
          </w:p>
        </w:tc>
      </w:tr>
      <w:tr w:rsidR="00DC0A35" w:rsidRPr="00252D7B" w14:paraId="1573AB60" w14:textId="77777777" w:rsidTr="00461890">
        <w:trPr>
          <w:jc w:val="center"/>
        </w:trPr>
        <w:tc>
          <w:tcPr>
            <w:tcW w:w="2140" w:type="dxa"/>
            <w:vAlign w:val="center"/>
          </w:tcPr>
          <w:p w14:paraId="56A7F5C8" w14:textId="09A2BACE" w:rsidR="00DC0A35" w:rsidRPr="00252D7B" w:rsidRDefault="00DC0A35" w:rsidP="00DC0A35">
            <w:pPr>
              <w:jc w:val="center"/>
              <w:rPr>
                <w:rFonts w:asciiTheme="minorHAnsi" w:hAnsiTheme="minorHAnsi" w:cstheme="minorHAnsi"/>
                <w:sz w:val="20"/>
                <w:szCs w:val="20"/>
              </w:rPr>
            </w:pPr>
            <w:r w:rsidRPr="00252D7B">
              <w:rPr>
                <w:rFonts w:asciiTheme="minorHAnsi" w:hAnsiTheme="minorHAnsi" w:cstheme="minorHAnsi"/>
              </w:rPr>
              <w:t>CE4</w:t>
            </w:r>
          </w:p>
        </w:tc>
        <w:tc>
          <w:tcPr>
            <w:tcW w:w="6082" w:type="dxa"/>
          </w:tcPr>
          <w:p w14:paraId="048CD872" w14:textId="7FD39FDD" w:rsidR="00DC0A35" w:rsidRPr="00252D7B" w:rsidRDefault="00DC0A35" w:rsidP="00DC0A35">
            <w:pPr>
              <w:rPr>
                <w:rFonts w:asciiTheme="minorHAnsi" w:hAnsiTheme="minorHAnsi" w:cstheme="minorHAnsi"/>
                <w:sz w:val="20"/>
                <w:szCs w:val="20"/>
              </w:rPr>
            </w:pPr>
            <w:r w:rsidRPr="00252D7B">
              <w:rPr>
                <w:rFonts w:asciiTheme="minorHAnsi" w:hAnsiTheme="minorHAnsi" w:cstheme="minorHAnsi"/>
              </w:rPr>
              <w:t>Gasto com energia per capita: Valor da fatura em re</w:t>
            </w:r>
            <w:r w:rsidR="00185B1F">
              <w:rPr>
                <w:rFonts w:asciiTheme="minorHAnsi" w:hAnsiTheme="minorHAnsi" w:cstheme="minorHAnsi"/>
              </w:rPr>
              <w:t>ai</w:t>
            </w:r>
            <w:r w:rsidRPr="00252D7B">
              <w:rPr>
                <w:rFonts w:asciiTheme="minorHAnsi" w:hAnsiTheme="minorHAnsi" w:cstheme="minorHAnsi"/>
              </w:rPr>
              <w:t>s (R$)/total de empregados</w:t>
            </w:r>
          </w:p>
        </w:tc>
      </w:tr>
      <w:tr w:rsidR="00DC0A35" w:rsidRPr="00252D7B" w14:paraId="1F4C4CC0" w14:textId="77777777" w:rsidTr="00461890">
        <w:trPr>
          <w:jc w:val="center"/>
        </w:trPr>
        <w:tc>
          <w:tcPr>
            <w:tcW w:w="2140" w:type="dxa"/>
            <w:vAlign w:val="center"/>
          </w:tcPr>
          <w:p w14:paraId="11824277" w14:textId="0F31FD47" w:rsidR="00DC0A35" w:rsidRPr="00252D7B" w:rsidRDefault="00DC0A35" w:rsidP="00DC0A35">
            <w:pPr>
              <w:jc w:val="center"/>
              <w:rPr>
                <w:rFonts w:asciiTheme="minorHAnsi" w:hAnsiTheme="minorHAnsi" w:cstheme="minorHAnsi"/>
                <w:sz w:val="20"/>
                <w:szCs w:val="20"/>
              </w:rPr>
            </w:pPr>
            <w:r w:rsidRPr="00252D7B">
              <w:rPr>
                <w:rFonts w:asciiTheme="minorHAnsi" w:hAnsiTheme="minorHAnsi" w:cstheme="minorHAnsi"/>
              </w:rPr>
              <w:lastRenderedPageBreak/>
              <w:t>AE1</w:t>
            </w:r>
          </w:p>
        </w:tc>
        <w:tc>
          <w:tcPr>
            <w:tcW w:w="6082" w:type="dxa"/>
          </w:tcPr>
          <w:p w14:paraId="4D3C98BC" w14:textId="01D7F080" w:rsidR="00DC0A35" w:rsidRPr="00252D7B" w:rsidRDefault="00DC0A35" w:rsidP="00DC0A35">
            <w:pPr>
              <w:rPr>
                <w:rFonts w:asciiTheme="minorHAnsi" w:hAnsiTheme="minorHAnsi" w:cstheme="minorHAnsi"/>
                <w:sz w:val="20"/>
                <w:szCs w:val="20"/>
              </w:rPr>
            </w:pPr>
            <w:r w:rsidRPr="00252D7B">
              <w:rPr>
                <w:rFonts w:asciiTheme="minorHAnsi" w:hAnsiTheme="minorHAnsi" w:cstheme="minorHAnsi"/>
              </w:rPr>
              <w:t>Volume de água utilizada: Quantidade de m3 de água</w:t>
            </w:r>
          </w:p>
        </w:tc>
      </w:tr>
      <w:tr w:rsidR="00DC0A35" w:rsidRPr="00252D7B" w14:paraId="67BD58A5" w14:textId="77777777" w:rsidTr="00461890">
        <w:trPr>
          <w:jc w:val="center"/>
        </w:trPr>
        <w:tc>
          <w:tcPr>
            <w:tcW w:w="2140" w:type="dxa"/>
            <w:vAlign w:val="center"/>
          </w:tcPr>
          <w:p w14:paraId="4D292DF4" w14:textId="5432229C" w:rsidR="00DC0A35" w:rsidRPr="00252D7B" w:rsidRDefault="00DC0A35" w:rsidP="00DC0A35">
            <w:pPr>
              <w:jc w:val="center"/>
              <w:rPr>
                <w:rFonts w:asciiTheme="minorHAnsi" w:hAnsiTheme="minorHAnsi" w:cstheme="minorHAnsi"/>
                <w:sz w:val="20"/>
                <w:szCs w:val="20"/>
              </w:rPr>
            </w:pPr>
            <w:r w:rsidRPr="00252D7B">
              <w:rPr>
                <w:rFonts w:asciiTheme="minorHAnsi" w:hAnsiTheme="minorHAnsi" w:cstheme="minorHAnsi"/>
              </w:rPr>
              <w:t>CE1</w:t>
            </w:r>
          </w:p>
        </w:tc>
        <w:tc>
          <w:tcPr>
            <w:tcW w:w="6082" w:type="dxa"/>
          </w:tcPr>
          <w:p w14:paraId="3FD4B911" w14:textId="550026E4" w:rsidR="00DC0A35" w:rsidRPr="00252D7B" w:rsidRDefault="00DC0A35" w:rsidP="00DC0A35">
            <w:pPr>
              <w:rPr>
                <w:rFonts w:asciiTheme="minorHAnsi" w:hAnsiTheme="minorHAnsi" w:cstheme="minorHAnsi"/>
                <w:sz w:val="20"/>
                <w:szCs w:val="20"/>
              </w:rPr>
            </w:pPr>
            <w:r w:rsidRPr="00252D7B">
              <w:rPr>
                <w:rFonts w:asciiTheme="minorHAnsi" w:hAnsiTheme="minorHAnsi" w:cstheme="minorHAnsi"/>
              </w:rPr>
              <w:t>Consumo de energia elétrica: Quantidade de kwh consumidos</w:t>
            </w:r>
          </w:p>
        </w:tc>
      </w:tr>
      <w:tr w:rsidR="00DC0A35" w:rsidRPr="00252D7B" w14:paraId="0510B9DE" w14:textId="77777777" w:rsidTr="00461890">
        <w:trPr>
          <w:jc w:val="center"/>
        </w:trPr>
        <w:tc>
          <w:tcPr>
            <w:tcW w:w="2140" w:type="dxa"/>
            <w:vAlign w:val="center"/>
          </w:tcPr>
          <w:p w14:paraId="65FE98D1" w14:textId="01E0EACC" w:rsidR="00DC0A35" w:rsidRPr="00252D7B" w:rsidRDefault="00DC0A35" w:rsidP="00DC0A35">
            <w:pPr>
              <w:jc w:val="center"/>
              <w:rPr>
                <w:rFonts w:asciiTheme="minorHAnsi" w:hAnsiTheme="minorHAnsi" w:cstheme="minorHAnsi"/>
                <w:sz w:val="20"/>
                <w:szCs w:val="20"/>
              </w:rPr>
            </w:pPr>
            <w:r w:rsidRPr="00252D7B">
              <w:rPr>
                <w:rFonts w:asciiTheme="minorHAnsi" w:hAnsiTheme="minorHAnsi" w:cstheme="minorHAnsi"/>
              </w:rPr>
              <w:t>CE2</w:t>
            </w:r>
          </w:p>
        </w:tc>
        <w:tc>
          <w:tcPr>
            <w:tcW w:w="6082" w:type="dxa"/>
          </w:tcPr>
          <w:p w14:paraId="733972D3" w14:textId="040864EF" w:rsidR="00DC0A35" w:rsidRPr="00252D7B" w:rsidRDefault="00DC0A35" w:rsidP="00DC0A35">
            <w:pPr>
              <w:rPr>
                <w:rFonts w:asciiTheme="minorHAnsi" w:hAnsiTheme="minorHAnsi" w:cstheme="minorHAnsi"/>
                <w:sz w:val="20"/>
                <w:szCs w:val="20"/>
              </w:rPr>
            </w:pPr>
            <w:r w:rsidRPr="00252D7B">
              <w:rPr>
                <w:rFonts w:asciiTheme="minorHAnsi" w:hAnsiTheme="minorHAnsi" w:cstheme="minorHAnsi"/>
              </w:rPr>
              <w:t>Consumo de energia elétrica per capita: Quantidade de kwh consumidos/total de empregados</w:t>
            </w:r>
          </w:p>
        </w:tc>
      </w:tr>
    </w:tbl>
    <w:p w14:paraId="5359DAEB" w14:textId="77777777" w:rsidR="00B579EC" w:rsidRPr="00252D7B" w:rsidRDefault="00B579EC" w:rsidP="007F2BE4">
      <w:pPr>
        <w:jc w:val="both"/>
        <w:rPr>
          <w:rFonts w:asciiTheme="minorHAnsi" w:hAnsiTheme="minorHAnsi" w:cstheme="minorHAnsi"/>
          <w:sz w:val="24"/>
          <w:szCs w:val="24"/>
        </w:rPr>
      </w:pPr>
    </w:p>
    <w:p w14:paraId="393054D2" w14:textId="77777777" w:rsidR="00B579EC" w:rsidRPr="00252D7B" w:rsidRDefault="00B579EC" w:rsidP="00B579EC">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Além do monitoramento do consumo de energia elétrica e água, também é feito monitoramento dos seguintes recursos;</w:t>
      </w:r>
    </w:p>
    <w:p w14:paraId="0E32C1E7" w14:textId="77777777" w:rsidR="00B579EC" w:rsidRPr="00252D7B" w:rsidRDefault="00B579EC" w:rsidP="008E2B51">
      <w:pPr>
        <w:pStyle w:val="PargrafodaLista"/>
        <w:numPr>
          <w:ilvl w:val="0"/>
          <w:numId w:val="4"/>
        </w:numPr>
        <w:spacing w:before="120" w:after="120"/>
        <w:ind w:left="992" w:hanging="357"/>
        <w:contextualSpacing w:val="0"/>
        <w:jc w:val="both"/>
        <w:rPr>
          <w:rFonts w:asciiTheme="minorHAnsi" w:hAnsiTheme="minorHAnsi" w:cstheme="minorHAnsi"/>
          <w:sz w:val="24"/>
          <w:szCs w:val="24"/>
        </w:rPr>
      </w:pPr>
      <w:r w:rsidRPr="00252D7B">
        <w:rPr>
          <w:rStyle w:val="jsgrdq"/>
          <w:rFonts w:asciiTheme="minorHAnsi" w:hAnsiTheme="minorHAnsi" w:cstheme="minorHAnsi"/>
          <w:sz w:val="24"/>
          <w:szCs w:val="24"/>
        </w:rPr>
        <w:t>Material</w:t>
      </w:r>
      <w:r w:rsidRPr="00252D7B">
        <w:rPr>
          <w:rFonts w:asciiTheme="minorHAnsi" w:hAnsiTheme="minorHAnsi" w:cstheme="minorHAnsi"/>
          <w:sz w:val="24"/>
          <w:szCs w:val="24"/>
        </w:rPr>
        <w:t xml:space="preserve"> de consumo (papel, copos</w:t>
      </w:r>
    </w:p>
    <w:p w14:paraId="4C456494" w14:textId="77777777" w:rsidR="00B579EC" w:rsidRPr="00252D7B" w:rsidRDefault="00B579EC" w:rsidP="008E2B51">
      <w:pPr>
        <w:pStyle w:val="PargrafodaLista"/>
        <w:numPr>
          <w:ilvl w:val="0"/>
          <w:numId w:val="4"/>
        </w:numPr>
        <w:spacing w:before="120" w:after="120"/>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Telefonia fixa e móvel;</w:t>
      </w:r>
    </w:p>
    <w:p w14:paraId="1D305B4F" w14:textId="77777777" w:rsidR="00B579EC" w:rsidRPr="00252D7B" w:rsidRDefault="00B579EC" w:rsidP="008E2B51">
      <w:pPr>
        <w:pStyle w:val="PargrafodaLista"/>
        <w:numPr>
          <w:ilvl w:val="0"/>
          <w:numId w:val="4"/>
        </w:numPr>
        <w:spacing w:before="120" w:after="120"/>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Diárias e passagens aéreas</w:t>
      </w:r>
    </w:p>
    <w:p w14:paraId="1AF94103" w14:textId="089C426B" w:rsidR="00B579EC" w:rsidRPr="00252D7B" w:rsidRDefault="00B579EC" w:rsidP="007F2BE4">
      <w:pPr>
        <w:pStyle w:val="PargrafodaLista"/>
        <w:numPr>
          <w:ilvl w:val="0"/>
          <w:numId w:val="4"/>
        </w:numPr>
        <w:spacing w:before="120" w:after="120"/>
        <w:ind w:left="992" w:hanging="357"/>
        <w:contextualSpacing w:val="0"/>
        <w:jc w:val="both"/>
        <w:rPr>
          <w:rFonts w:asciiTheme="minorHAnsi" w:hAnsiTheme="minorHAnsi" w:cstheme="minorHAnsi"/>
          <w:sz w:val="24"/>
          <w:szCs w:val="24"/>
        </w:rPr>
      </w:pPr>
      <w:r w:rsidRPr="00252D7B">
        <w:rPr>
          <w:rStyle w:val="jsgrdq"/>
          <w:rFonts w:asciiTheme="minorHAnsi" w:hAnsiTheme="minorHAnsi" w:cstheme="minorHAnsi"/>
          <w:sz w:val="24"/>
          <w:szCs w:val="24"/>
        </w:rPr>
        <w:t>Combustíveis automotivos.</w:t>
      </w:r>
    </w:p>
    <w:p w14:paraId="673FDCD0" w14:textId="6590139F" w:rsidR="00B579EC" w:rsidRPr="00252D7B" w:rsidRDefault="00B579EC" w:rsidP="00B579EC">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Ainda, de agosto a novembro de 2021, a </w:t>
      </w:r>
      <w:r w:rsidR="00610C91" w:rsidRPr="00252D7B">
        <w:rPr>
          <w:rFonts w:asciiTheme="minorHAnsi" w:hAnsiTheme="minorHAnsi" w:cstheme="minorHAnsi"/>
          <w:sz w:val="24"/>
          <w:szCs w:val="24"/>
        </w:rPr>
        <w:t>Valec</w:t>
      </w:r>
      <w:r w:rsidRPr="00252D7B">
        <w:rPr>
          <w:rFonts w:asciiTheme="minorHAnsi" w:hAnsiTheme="minorHAnsi" w:cstheme="minorHAnsi"/>
          <w:sz w:val="24"/>
          <w:szCs w:val="24"/>
        </w:rPr>
        <w:t xml:space="preserve"> promoveu Campanha com recomendações de medidas para a redução do consumo de energia elétrica e água. Tendo em vista que nesse período, de acordo com o</w:t>
      </w:r>
      <w:r w:rsidRPr="00252D7B">
        <w:rPr>
          <w:rFonts w:asciiTheme="minorHAnsi" w:hAnsiTheme="minorHAnsi" w:cstheme="minorHAnsi"/>
          <w:color w:val="000000"/>
          <w:sz w:val="24"/>
          <w:szCs w:val="24"/>
        </w:rPr>
        <w:t xml:space="preserve"> Operador Nacional do Sistema Elétrico (</w:t>
      </w:r>
      <w:hyperlink r:id="rId89" w:tgtFrame="_blank" w:history="1">
        <w:r w:rsidRPr="00252D7B">
          <w:rPr>
            <w:rStyle w:val="Hyperlink"/>
            <w:rFonts w:asciiTheme="minorHAnsi" w:hAnsiTheme="minorHAnsi" w:cstheme="minorHAnsi"/>
            <w:sz w:val="24"/>
            <w:szCs w:val="24"/>
          </w:rPr>
          <w:t>ONS, 2021</w:t>
        </w:r>
      </w:hyperlink>
      <w:r w:rsidRPr="00252D7B">
        <w:rPr>
          <w:rFonts w:asciiTheme="minorHAnsi" w:hAnsiTheme="minorHAnsi" w:cstheme="minorHAnsi"/>
          <w:color w:val="000000"/>
          <w:sz w:val="24"/>
          <w:szCs w:val="24"/>
        </w:rPr>
        <w:t>), a escassez de chuvas no país para a geração de energia foi a pior em 91 anos e, nos últimos sete anos, os reservatórios das hidrelétricas receberam um volume de água inferior à média histórica, ou seja, o Brasil enfrenta uma severa crise hidroenergética.</w:t>
      </w:r>
    </w:p>
    <w:p w14:paraId="180717C4" w14:textId="634DAE26" w:rsidR="00B579EC" w:rsidRPr="00252D7B" w:rsidRDefault="00B579EC" w:rsidP="00B579EC">
      <w:pPr>
        <w:pStyle w:val="paragrafonumeradonivel1"/>
        <w:spacing w:before="120" w:beforeAutospacing="0" w:after="120" w:afterAutospacing="0"/>
        <w:ind w:right="120"/>
        <w:jc w:val="both"/>
        <w:rPr>
          <w:rFonts w:asciiTheme="minorHAnsi" w:hAnsiTheme="minorHAnsi" w:cstheme="minorHAnsi"/>
          <w:color w:val="000000"/>
        </w:rPr>
      </w:pPr>
      <w:r w:rsidRPr="00252D7B">
        <w:rPr>
          <w:rFonts w:asciiTheme="minorHAnsi" w:hAnsiTheme="minorHAnsi" w:cstheme="minorHAnsi"/>
          <w:color w:val="000000"/>
        </w:rPr>
        <w:t>Nesse cenário, o Governo Federal editou o </w:t>
      </w:r>
      <w:hyperlink r:id="rId90" w:tgtFrame="_blank" w:history="1">
        <w:r w:rsidRPr="00252D7B">
          <w:rPr>
            <w:rStyle w:val="Hyperlink"/>
            <w:rFonts w:asciiTheme="minorHAnsi" w:hAnsiTheme="minorHAnsi" w:cstheme="minorHAnsi"/>
          </w:rPr>
          <w:t>Decreto 10.779/2021</w:t>
        </w:r>
      </w:hyperlink>
      <w:r w:rsidRPr="00252D7B">
        <w:rPr>
          <w:rFonts w:asciiTheme="minorHAnsi" w:hAnsiTheme="minorHAnsi" w:cstheme="minorHAnsi"/>
          <w:color w:val="000000"/>
        </w:rPr>
        <w:t> que estabelece medidas para a redução do consumo de energia elétrica no âmbito da Administração Pública Federal.</w:t>
      </w:r>
    </w:p>
    <w:p w14:paraId="63278BE0" w14:textId="2C514127" w:rsidR="00B579EC" w:rsidRPr="00252D7B" w:rsidRDefault="00B579EC" w:rsidP="00084519">
      <w:pPr>
        <w:pStyle w:val="paragrafonumeradonivel1"/>
        <w:spacing w:before="120" w:beforeAutospacing="0" w:after="120" w:afterAutospacing="0"/>
        <w:ind w:right="119"/>
        <w:jc w:val="both"/>
        <w:rPr>
          <w:rFonts w:asciiTheme="minorHAnsi" w:hAnsiTheme="minorHAnsi" w:cstheme="minorHAnsi"/>
          <w:color w:val="000000"/>
        </w:rPr>
      </w:pPr>
      <w:r w:rsidRPr="00252D7B">
        <w:rPr>
          <w:rFonts w:asciiTheme="minorHAnsi" w:hAnsiTheme="minorHAnsi" w:cstheme="minorHAnsi"/>
          <w:color w:val="000000"/>
        </w:rPr>
        <w:t xml:space="preserve">Ao se engajar com a preservação dos recursos hidroenergéticos, a </w:t>
      </w:r>
      <w:r w:rsidR="00610C91" w:rsidRPr="00252D7B">
        <w:rPr>
          <w:rFonts w:asciiTheme="minorHAnsi" w:hAnsiTheme="minorHAnsi" w:cstheme="minorHAnsi"/>
          <w:color w:val="000000"/>
        </w:rPr>
        <w:t>Valec</w:t>
      </w:r>
      <w:r w:rsidRPr="00252D7B">
        <w:rPr>
          <w:rFonts w:asciiTheme="minorHAnsi" w:hAnsiTheme="minorHAnsi" w:cstheme="minorHAnsi"/>
          <w:color w:val="000000"/>
        </w:rPr>
        <w:t xml:space="preserve"> reafirmou seu compromisso com a responsabilidade social e seu papel indutor de comportamentos ambientalmente responsáveis, bem como ainda promove a sustentabilidade em seus três eixos: o econômico, o ambiental e o social.</w:t>
      </w:r>
    </w:p>
    <w:p w14:paraId="7F2DE9C3" w14:textId="77777777" w:rsidR="00B579EC" w:rsidRPr="00252D7B" w:rsidRDefault="00B579EC" w:rsidP="00084519">
      <w:pPr>
        <w:pStyle w:val="paragrafonumeradonivel1"/>
        <w:spacing w:before="120" w:beforeAutospacing="0" w:after="120" w:afterAutospacing="0"/>
        <w:ind w:right="119"/>
        <w:jc w:val="both"/>
        <w:rPr>
          <w:rFonts w:asciiTheme="minorHAnsi" w:hAnsiTheme="minorHAnsi" w:cstheme="minorHAnsi"/>
          <w:color w:val="000000"/>
        </w:rPr>
      </w:pPr>
      <w:r w:rsidRPr="00252D7B">
        <w:rPr>
          <w:rFonts w:asciiTheme="minorHAnsi" w:hAnsiTheme="minorHAnsi" w:cstheme="minorHAnsi"/>
          <w:color w:val="000000"/>
        </w:rPr>
        <w:t>As seguintes medidas foram recomendadas:</w:t>
      </w:r>
    </w:p>
    <w:p w14:paraId="1F6DD26E" w14:textId="2131BC53" w:rsidR="00B579EC" w:rsidRPr="00252D7B" w:rsidRDefault="00B579EC" w:rsidP="00084519">
      <w:pPr>
        <w:pStyle w:val="paragrafonumeradonivel1"/>
        <w:spacing w:before="120" w:beforeAutospacing="0" w:after="120" w:afterAutospacing="0"/>
        <w:ind w:right="119"/>
        <w:jc w:val="both"/>
        <w:rPr>
          <w:rFonts w:asciiTheme="minorHAnsi" w:hAnsiTheme="minorHAnsi" w:cstheme="minorHAnsi"/>
          <w:b/>
          <w:bCs/>
          <w:color w:val="000000"/>
        </w:rPr>
      </w:pPr>
      <w:r w:rsidRPr="00252D7B">
        <w:rPr>
          <w:rFonts w:asciiTheme="minorHAnsi" w:hAnsiTheme="minorHAnsi" w:cstheme="minorHAnsi"/>
          <w:b/>
          <w:bCs/>
          <w:color w:val="000000"/>
        </w:rPr>
        <w:t>Da utilização de aparelhos de ar-condicionado:</w:t>
      </w:r>
    </w:p>
    <w:p w14:paraId="532E91B6" w14:textId="13147C1C" w:rsidR="00B579EC" w:rsidRPr="00252D7B" w:rsidRDefault="00B579EC" w:rsidP="008E2B51">
      <w:pPr>
        <w:pStyle w:val="PargrafodaLista"/>
        <w:numPr>
          <w:ilvl w:val="0"/>
          <w:numId w:val="4"/>
        </w:numPr>
        <w:spacing w:before="120" w:after="120"/>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Desligar o aparelho de ar-condicionado quando o ambiente estiver desocupado;</w:t>
      </w:r>
    </w:p>
    <w:p w14:paraId="3C98E575" w14:textId="19FF8AD8" w:rsidR="00B579EC" w:rsidRPr="00252D7B" w:rsidRDefault="00B579EC" w:rsidP="008E2B51">
      <w:pPr>
        <w:pStyle w:val="PargrafodaLista"/>
        <w:numPr>
          <w:ilvl w:val="0"/>
          <w:numId w:val="4"/>
        </w:numPr>
        <w:spacing w:before="120" w:after="120"/>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Utilizar apenas ventilação natural nos dias com temperaturas amenas;</w:t>
      </w:r>
    </w:p>
    <w:p w14:paraId="50A79A63" w14:textId="0BF75E10" w:rsidR="00B579EC" w:rsidRPr="00252D7B" w:rsidRDefault="00B579EC" w:rsidP="008E2B51">
      <w:pPr>
        <w:pStyle w:val="PargrafodaLista"/>
        <w:numPr>
          <w:ilvl w:val="0"/>
          <w:numId w:val="4"/>
        </w:numPr>
        <w:spacing w:before="120" w:after="120"/>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Manter as portas e as janelas fechadas quando o aparelho de ar-condicionado estiver ligado (observar as restrições aos ambientes fechados devido à Covid-19);</w:t>
      </w:r>
    </w:p>
    <w:p w14:paraId="48DA9C7C" w14:textId="2824CD60" w:rsidR="00B579EC" w:rsidRPr="00252D7B" w:rsidRDefault="00B579EC" w:rsidP="007C6C8B">
      <w:pPr>
        <w:pStyle w:val="paragrafonumeradonivel1"/>
        <w:spacing w:before="120" w:beforeAutospacing="0" w:after="120" w:afterAutospacing="0"/>
        <w:ind w:right="119"/>
        <w:jc w:val="both"/>
        <w:rPr>
          <w:rFonts w:asciiTheme="minorHAnsi" w:hAnsiTheme="minorHAnsi" w:cstheme="minorHAnsi"/>
          <w:b/>
          <w:bCs/>
          <w:color w:val="000000"/>
        </w:rPr>
      </w:pPr>
      <w:r w:rsidRPr="00252D7B">
        <w:rPr>
          <w:rFonts w:asciiTheme="minorHAnsi" w:hAnsiTheme="minorHAnsi" w:cstheme="minorHAnsi"/>
          <w:b/>
          <w:bCs/>
          <w:color w:val="000000"/>
        </w:rPr>
        <w:t>Da iluminação:</w:t>
      </w:r>
    </w:p>
    <w:p w14:paraId="05B216B2" w14:textId="5B16C641" w:rsidR="00B579EC" w:rsidRPr="00252D7B" w:rsidRDefault="00B579EC" w:rsidP="008E2B51">
      <w:pPr>
        <w:pStyle w:val="PargrafodaLista"/>
        <w:numPr>
          <w:ilvl w:val="0"/>
          <w:numId w:val="4"/>
        </w:numPr>
        <w:spacing w:before="120" w:after="120"/>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Desligar a iluminação dos locais que não estiverem em uso;</w:t>
      </w:r>
    </w:p>
    <w:p w14:paraId="1C1D4F62" w14:textId="3658D604" w:rsidR="00B579EC" w:rsidRPr="00252D7B" w:rsidRDefault="00B579EC" w:rsidP="008E2B51">
      <w:pPr>
        <w:pStyle w:val="PargrafodaLista"/>
        <w:numPr>
          <w:ilvl w:val="0"/>
          <w:numId w:val="4"/>
        </w:numPr>
        <w:spacing w:before="120" w:after="120"/>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Orientar os agentes públicos e os empregados terceirizados a desligarem a iluminação de todos os locais que não estiverem em uso, em especial ao final do expediente;</w:t>
      </w:r>
    </w:p>
    <w:p w14:paraId="2B7B163B" w14:textId="1A12F643" w:rsidR="00B579EC" w:rsidRPr="00252D7B" w:rsidRDefault="00B579EC" w:rsidP="008E2B51">
      <w:pPr>
        <w:pStyle w:val="PargrafodaLista"/>
        <w:numPr>
          <w:ilvl w:val="0"/>
          <w:numId w:val="4"/>
        </w:numPr>
        <w:spacing w:before="120" w:after="120"/>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Não utilizar iluminação elétrica quando estiver disponível iluminação natural;</w:t>
      </w:r>
    </w:p>
    <w:p w14:paraId="2C108EAE" w14:textId="67AAEEB4" w:rsidR="00B579EC" w:rsidRPr="00252D7B" w:rsidRDefault="00B579EC" w:rsidP="008E2B51">
      <w:pPr>
        <w:pStyle w:val="PargrafodaLista"/>
        <w:numPr>
          <w:ilvl w:val="0"/>
          <w:numId w:val="4"/>
        </w:numPr>
        <w:spacing w:before="120" w:after="120"/>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Reduzir a iluminação elétrica em áreas de circulação, pátios de estacionamento, garagem e áreas externas ao mínimo necessário para não prejudicar a circulação e a segurança;</w:t>
      </w:r>
    </w:p>
    <w:p w14:paraId="123E7A5D" w14:textId="41977703" w:rsidR="00B579EC" w:rsidRPr="00252D7B" w:rsidRDefault="00B579EC" w:rsidP="007C6C8B">
      <w:pPr>
        <w:pStyle w:val="paragrafonumeradonivel1"/>
        <w:spacing w:before="120" w:beforeAutospacing="0" w:after="120" w:afterAutospacing="0"/>
        <w:ind w:right="119"/>
        <w:jc w:val="both"/>
        <w:rPr>
          <w:rFonts w:asciiTheme="minorHAnsi" w:hAnsiTheme="minorHAnsi" w:cstheme="minorHAnsi"/>
          <w:b/>
          <w:bCs/>
          <w:color w:val="000000"/>
        </w:rPr>
      </w:pPr>
      <w:r w:rsidRPr="00252D7B">
        <w:rPr>
          <w:rFonts w:asciiTheme="minorHAnsi" w:hAnsiTheme="minorHAnsi" w:cstheme="minorHAnsi"/>
          <w:b/>
          <w:bCs/>
          <w:color w:val="000000"/>
        </w:rPr>
        <w:t>Da tecnologia da informação:</w:t>
      </w:r>
    </w:p>
    <w:p w14:paraId="01E8EA67" w14:textId="2D4E6FF4" w:rsidR="00B579EC" w:rsidRPr="00252D7B" w:rsidRDefault="00B579EC" w:rsidP="008E2B51">
      <w:pPr>
        <w:pStyle w:val="PargrafodaLista"/>
        <w:numPr>
          <w:ilvl w:val="0"/>
          <w:numId w:val="4"/>
        </w:numPr>
        <w:spacing w:before="120" w:after="120"/>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 xml:space="preserve">Programar o computador para o menor consumo de energia elétrica possível quando </w:t>
      </w:r>
      <w:r w:rsidRPr="00252D7B">
        <w:rPr>
          <w:rStyle w:val="jsgrdq"/>
          <w:rFonts w:asciiTheme="minorHAnsi" w:hAnsiTheme="minorHAnsi" w:cstheme="minorHAnsi"/>
          <w:sz w:val="24"/>
          <w:szCs w:val="24"/>
        </w:rPr>
        <w:lastRenderedPageBreak/>
        <w:t>deixar de ser utilizado por alguns minutos;</w:t>
      </w:r>
    </w:p>
    <w:p w14:paraId="5F750FC3" w14:textId="00167FA1" w:rsidR="00B579EC" w:rsidRPr="00252D7B" w:rsidRDefault="00B579EC" w:rsidP="008E2B51">
      <w:pPr>
        <w:pStyle w:val="PargrafodaLista"/>
        <w:numPr>
          <w:ilvl w:val="0"/>
          <w:numId w:val="4"/>
        </w:numPr>
        <w:spacing w:before="120" w:after="120"/>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Desligar o monitor, a impressora, o estabilizador, a caixa de som, o microfone e outros acessórios sempre que não estiverem em uso;</w:t>
      </w:r>
    </w:p>
    <w:p w14:paraId="28EA9B56" w14:textId="3649E4E1" w:rsidR="00B579EC" w:rsidRPr="00252D7B" w:rsidRDefault="00B579EC" w:rsidP="008E2B51">
      <w:pPr>
        <w:pStyle w:val="PargrafodaLista"/>
        <w:numPr>
          <w:ilvl w:val="0"/>
          <w:numId w:val="4"/>
        </w:numPr>
        <w:spacing w:before="120" w:after="120"/>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Disponibilizar acesso ao sistema do órgão diretamente da nuvem, de modo permitir o desligamento das estações de trabalho nos casos de trabalho remoto.</w:t>
      </w:r>
    </w:p>
    <w:p w14:paraId="4B560783" w14:textId="5BA22A87" w:rsidR="00B579EC" w:rsidRPr="00252D7B" w:rsidRDefault="00B579EC" w:rsidP="007C6C8B">
      <w:pPr>
        <w:pStyle w:val="paragrafonumeradonivel1"/>
        <w:spacing w:before="120" w:beforeAutospacing="0" w:after="120" w:afterAutospacing="0"/>
        <w:ind w:right="119"/>
        <w:jc w:val="both"/>
        <w:rPr>
          <w:rFonts w:asciiTheme="minorHAnsi" w:hAnsiTheme="minorHAnsi" w:cstheme="minorHAnsi"/>
          <w:b/>
          <w:bCs/>
          <w:color w:val="000000"/>
        </w:rPr>
      </w:pPr>
      <w:r w:rsidRPr="00252D7B">
        <w:rPr>
          <w:rFonts w:asciiTheme="minorHAnsi" w:hAnsiTheme="minorHAnsi" w:cstheme="minorHAnsi"/>
          <w:b/>
          <w:bCs/>
          <w:color w:val="000000"/>
        </w:rPr>
        <w:t>Das geladeiras e dos congeladores:</w:t>
      </w:r>
    </w:p>
    <w:p w14:paraId="3E6AFB31" w14:textId="65EA5415" w:rsidR="00B579EC" w:rsidRPr="00252D7B" w:rsidRDefault="00B579EC" w:rsidP="008E2B51">
      <w:pPr>
        <w:pStyle w:val="PargrafodaLista"/>
        <w:numPr>
          <w:ilvl w:val="0"/>
          <w:numId w:val="4"/>
        </w:numPr>
        <w:spacing w:before="120" w:after="120"/>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Evitar que as portas dos equipamentos fiquem abertas desnecessariamente;</w:t>
      </w:r>
    </w:p>
    <w:p w14:paraId="29334F09" w14:textId="157E8D82" w:rsidR="00B579EC" w:rsidRPr="00252D7B" w:rsidRDefault="00B579EC" w:rsidP="008E2B51">
      <w:pPr>
        <w:pStyle w:val="PargrafodaLista"/>
        <w:numPr>
          <w:ilvl w:val="0"/>
          <w:numId w:val="4"/>
        </w:numPr>
        <w:spacing w:before="120" w:after="120"/>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Regular a potência dos equipamentos conforme a temperatura ambiente e a capacidade utilizada;</w:t>
      </w:r>
    </w:p>
    <w:p w14:paraId="306BC3A5" w14:textId="59C930CB" w:rsidR="00B579EC" w:rsidRPr="00252D7B" w:rsidRDefault="00B579EC" w:rsidP="008E2B51">
      <w:pPr>
        <w:pStyle w:val="PargrafodaLista"/>
        <w:numPr>
          <w:ilvl w:val="0"/>
          <w:numId w:val="4"/>
        </w:numPr>
        <w:spacing w:before="120" w:after="120"/>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Manter os equipamentos fora do alcance de raios solares ou de outras fontes de calor;</w:t>
      </w:r>
    </w:p>
    <w:p w14:paraId="313D4D56" w14:textId="671D2124" w:rsidR="00B579EC" w:rsidRPr="00252D7B" w:rsidRDefault="00B579EC" w:rsidP="008E2B51">
      <w:pPr>
        <w:pStyle w:val="PargrafodaLista"/>
        <w:numPr>
          <w:ilvl w:val="0"/>
          <w:numId w:val="4"/>
        </w:numPr>
        <w:spacing w:before="120" w:after="120"/>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Manter os equipamentos em local com espaço para dissipação do calor;</w:t>
      </w:r>
    </w:p>
    <w:p w14:paraId="17CC9F28" w14:textId="1E5E6614" w:rsidR="00B579EC" w:rsidRPr="00252D7B" w:rsidRDefault="00B579EC" w:rsidP="008E2B51">
      <w:pPr>
        <w:pStyle w:val="PargrafodaLista"/>
        <w:numPr>
          <w:ilvl w:val="0"/>
          <w:numId w:val="4"/>
        </w:numPr>
        <w:spacing w:before="120" w:after="120"/>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Desligar os equipamentos cujo uso não seja necessário e constante; e</w:t>
      </w:r>
    </w:p>
    <w:p w14:paraId="20027CE0" w14:textId="6F811018" w:rsidR="00B579EC" w:rsidRPr="00252D7B" w:rsidRDefault="00B579EC" w:rsidP="008E2B51">
      <w:pPr>
        <w:pStyle w:val="PargrafodaLista"/>
        <w:numPr>
          <w:ilvl w:val="0"/>
          <w:numId w:val="4"/>
        </w:numPr>
        <w:spacing w:before="120" w:after="120"/>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Realizar o degelo de acordo com o definido em manual do consumidor para os equipamentos que não disponham de degelo automático.</w:t>
      </w:r>
    </w:p>
    <w:p w14:paraId="1A7D71D2" w14:textId="0A72F787" w:rsidR="00B579EC" w:rsidRPr="00252D7B" w:rsidRDefault="00B579EC" w:rsidP="007C6C8B">
      <w:pPr>
        <w:pStyle w:val="paragrafonumeradonivel1"/>
        <w:spacing w:before="120" w:beforeAutospacing="0" w:after="120" w:afterAutospacing="0"/>
        <w:ind w:right="119"/>
        <w:jc w:val="both"/>
        <w:rPr>
          <w:rFonts w:asciiTheme="minorHAnsi" w:hAnsiTheme="minorHAnsi" w:cstheme="minorHAnsi"/>
          <w:b/>
          <w:bCs/>
          <w:color w:val="000000"/>
        </w:rPr>
      </w:pPr>
      <w:r w:rsidRPr="00252D7B">
        <w:rPr>
          <w:rFonts w:asciiTheme="minorHAnsi" w:hAnsiTheme="minorHAnsi" w:cstheme="minorHAnsi"/>
          <w:b/>
          <w:bCs/>
          <w:color w:val="000000"/>
        </w:rPr>
        <w:t>Dos elevadores:</w:t>
      </w:r>
    </w:p>
    <w:p w14:paraId="598453F6" w14:textId="0AC45CEA" w:rsidR="00B579EC" w:rsidRPr="00252D7B" w:rsidRDefault="00B579EC" w:rsidP="008E2B51">
      <w:pPr>
        <w:pStyle w:val="PargrafodaLista"/>
        <w:numPr>
          <w:ilvl w:val="0"/>
          <w:numId w:val="4"/>
        </w:numPr>
        <w:spacing w:before="120" w:after="120"/>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Utilizar, sempre que possível, as escadas para acesso aos primeiros pavimentos e para subir ou descer poucos andares; e</w:t>
      </w:r>
    </w:p>
    <w:p w14:paraId="4495F9EE" w14:textId="1EB6BAFB" w:rsidR="00B579EC" w:rsidRPr="00252D7B" w:rsidRDefault="00B579EC" w:rsidP="008E2B51">
      <w:pPr>
        <w:pStyle w:val="PargrafodaLista"/>
        <w:numPr>
          <w:ilvl w:val="0"/>
          <w:numId w:val="4"/>
        </w:numPr>
        <w:spacing w:before="120" w:after="120"/>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Acionar apenas um elevador.</w:t>
      </w:r>
    </w:p>
    <w:p w14:paraId="223FAEDC" w14:textId="77777777" w:rsidR="00761353" w:rsidRPr="00252D7B" w:rsidRDefault="00B579EC" w:rsidP="007C6C8B">
      <w:pPr>
        <w:pStyle w:val="paragrafonumeradonivel1"/>
        <w:spacing w:before="120" w:beforeAutospacing="0" w:after="120" w:afterAutospacing="0"/>
        <w:ind w:right="119"/>
        <w:jc w:val="both"/>
        <w:rPr>
          <w:rFonts w:asciiTheme="minorHAnsi" w:hAnsiTheme="minorHAnsi" w:cstheme="minorHAnsi"/>
          <w:b/>
          <w:bCs/>
          <w:color w:val="000000"/>
        </w:rPr>
      </w:pPr>
      <w:r w:rsidRPr="00252D7B">
        <w:rPr>
          <w:rFonts w:asciiTheme="minorHAnsi" w:hAnsiTheme="minorHAnsi" w:cstheme="minorHAnsi"/>
          <w:b/>
          <w:bCs/>
          <w:color w:val="000000"/>
        </w:rPr>
        <w:t>Dos equipamentos de refrigeração e de água potável:</w:t>
      </w:r>
    </w:p>
    <w:p w14:paraId="48A1F913" w14:textId="2D38FCC5" w:rsidR="00B579EC" w:rsidRPr="00252D7B" w:rsidRDefault="001200C6" w:rsidP="008E2B51">
      <w:pPr>
        <w:pStyle w:val="PargrafodaLista"/>
        <w:numPr>
          <w:ilvl w:val="0"/>
          <w:numId w:val="4"/>
        </w:numPr>
        <w:spacing w:before="120" w:after="120"/>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D</w:t>
      </w:r>
      <w:r w:rsidR="00B579EC" w:rsidRPr="00252D7B">
        <w:rPr>
          <w:rStyle w:val="jsgrdq"/>
          <w:rFonts w:asciiTheme="minorHAnsi" w:hAnsiTheme="minorHAnsi" w:cstheme="minorHAnsi"/>
          <w:sz w:val="24"/>
          <w:szCs w:val="24"/>
        </w:rPr>
        <w:t>esligar os equipamentos de refrigeração de água potável ao final do expediente e sempre que não estiverem em uso.</w:t>
      </w:r>
    </w:p>
    <w:p w14:paraId="2319B45B" w14:textId="223079FE" w:rsidR="001200C6" w:rsidRPr="00252D7B" w:rsidRDefault="00B579EC" w:rsidP="007C6C8B">
      <w:pPr>
        <w:pStyle w:val="paragrafonumeradonivel1"/>
        <w:spacing w:before="120" w:beforeAutospacing="0" w:after="120" w:afterAutospacing="0"/>
        <w:ind w:right="119"/>
        <w:jc w:val="both"/>
        <w:rPr>
          <w:rFonts w:asciiTheme="minorHAnsi" w:hAnsiTheme="minorHAnsi" w:cstheme="minorHAnsi"/>
          <w:b/>
          <w:bCs/>
          <w:color w:val="000000"/>
        </w:rPr>
      </w:pPr>
      <w:r w:rsidRPr="00252D7B">
        <w:rPr>
          <w:rFonts w:asciiTheme="minorHAnsi" w:hAnsiTheme="minorHAnsi" w:cstheme="minorHAnsi"/>
          <w:b/>
          <w:bCs/>
          <w:color w:val="000000"/>
        </w:rPr>
        <w:t>Do consumo em modo de espera:</w:t>
      </w:r>
    </w:p>
    <w:p w14:paraId="08DD3109" w14:textId="363D5541" w:rsidR="00B579EC" w:rsidRPr="00252D7B" w:rsidRDefault="001200C6" w:rsidP="008E2B51">
      <w:pPr>
        <w:pStyle w:val="PargrafodaLista"/>
        <w:numPr>
          <w:ilvl w:val="0"/>
          <w:numId w:val="4"/>
        </w:numPr>
        <w:spacing w:before="120" w:after="120"/>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D</w:t>
      </w:r>
      <w:r w:rsidR="00B579EC" w:rsidRPr="00252D7B">
        <w:rPr>
          <w:rStyle w:val="jsgrdq"/>
          <w:rFonts w:asciiTheme="minorHAnsi" w:hAnsiTheme="minorHAnsi" w:cstheme="minorHAnsi"/>
          <w:sz w:val="24"/>
          <w:szCs w:val="24"/>
        </w:rPr>
        <w:t>esligar por completo e desconectar da energia elétrica equipamentos que gerem consumo em modo de espera.</w:t>
      </w:r>
    </w:p>
    <w:p w14:paraId="57823727" w14:textId="72C4C7CD" w:rsidR="001200C6" w:rsidRPr="00252D7B" w:rsidRDefault="00B579EC" w:rsidP="007C6C8B">
      <w:pPr>
        <w:pStyle w:val="paragrafonumeradonivel1"/>
        <w:spacing w:before="120" w:beforeAutospacing="0" w:after="120" w:afterAutospacing="0"/>
        <w:ind w:right="119"/>
        <w:jc w:val="both"/>
        <w:rPr>
          <w:rFonts w:asciiTheme="minorHAnsi" w:hAnsiTheme="minorHAnsi" w:cstheme="minorHAnsi"/>
          <w:b/>
          <w:bCs/>
          <w:color w:val="000000"/>
        </w:rPr>
      </w:pPr>
      <w:r w:rsidRPr="00252D7B">
        <w:rPr>
          <w:rFonts w:asciiTheme="minorHAnsi" w:hAnsiTheme="minorHAnsi" w:cstheme="minorHAnsi"/>
          <w:b/>
          <w:bCs/>
          <w:color w:val="000000"/>
        </w:rPr>
        <w:t>Da conscientização:</w:t>
      </w:r>
    </w:p>
    <w:p w14:paraId="28AEE5A9" w14:textId="61B8C9DF" w:rsidR="00B579EC" w:rsidRPr="00252D7B" w:rsidRDefault="001200C6" w:rsidP="008E2B51">
      <w:pPr>
        <w:pStyle w:val="PargrafodaLista"/>
        <w:numPr>
          <w:ilvl w:val="0"/>
          <w:numId w:val="4"/>
        </w:numPr>
        <w:spacing w:before="120" w:after="120"/>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P</w:t>
      </w:r>
      <w:r w:rsidR="00B579EC" w:rsidRPr="00252D7B">
        <w:rPr>
          <w:rStyle w:val="jsgrdq"/>
          <w:rFonts w:asciiTheme="minorHAnsi" w:hAnsiTheme="minorHAnsi" w:cstheme="minorHAnsi"/>
          <w:sz w:val="24"/>
          <w:szCs w:val="24"/>
        </w:rPr>
        <w:t>romover a conscientização dos agentes públicos com relação à necessidade de redução do consumo de energia elétrica.</w:t>
      </w:r>
    </w:p>
    <w:p w14:paraId="6CDF9C3E" w14:textId="0DD23E92" w:rsidR="003B7C9B" w:rsidRPr="00252D7B" w:rsidRDefault="003B7C9B" w:rsidP="003B7C9B">
      <w:pPr>
        <w:ind w:right="-45"/>
        <w:jc w:val="both"/>
        <w:rPr>
          <w:rStyle w:val="jsgrdq"/>
          <w:rFonts w:asciiTheme="minorHAnsi" w:hAnsiTheme="minorHAnsi" w:cstheme="minorHAnsi"/>
        </w:rPr>
      </w:pPr>
    </w:p>
    <w:p w14:paraId="55B715B8" w14:textId="77777777" w:rsidR="00CF6DA7" w:rsidRPr="00252D7B" w:rsidRDefault="00CF6DA7" w:rsidP="003B7C9B">
      <w:pPr>
        <w:ind w:right="-45"/>
        <w:jc w:val="both"/>
        <w:rPr>
          <w:rStyle w:val="jsgrdq"/>
          <w:rFonts w:asciiTheme="minorHAnsi" w:hAnsiTheme="minorHAnsi" w:cstheme="minorHAnsi"/>
        </w:rPr>
      </w:pPr>
    </w:p>
    <w:p w14:paraId="58AD517F" w14:textId="77777777" w:rsidR="00B579EC" w:rsidRPr="00252D7B" w:rsidRDefault="00B579EC" w:rsidP="00EF20A1">
      <w:pPr>
        <w:pStyle w:val="Ttulo3"/>
        <w:rPr>
          <w:rFonts w:asciiTheme="minorHAnsi" w:hAnsiTheme="minorHAnsi" w:cstheme="minorHAnsi"/>
        </w:rPr>
      </w:pPr>
      <w:bookmarkStart w:id="507" w:name="_Toc103680604"/>
      <w:r w:rsidRPr="00252D7B">
        <w:rPr>
          <w:rFonts w:asciiTheme="minorHAnsi" w:hAnsiTheme="minorHAnsi" w:cstheme="minorHAnsi"/>
        </w:rPr>
        <w:t>Redução de resíduos poluentes.</w:t>
      </w:r>
      <w:bookmarkEnd w:id="507"/>
    </w:p>
    <w:p w14:paraId="0C1C4B75" w14:textId="7D6084AA" w:rsidR="00B579EC" w:rsidRPr="00252D7B" w:rsidRDefault="00B579EC" w:rsidP="00B579EC">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A </w:t>
      </w:r>
      <w:r w:rsidR="00610C91" w:rsidRPr="00252D7B">
        <w:rPr>
          <w:rFonts w:asciiTheme="minorHAnsi" w:hAnsiTheme="minorHAnsi" w:cstheme="minorHAnsi"/>
          <w:sz w:val="24"/>
          <w:szCs w:val="24"/>
        </w:rPr>
        <w:t>Valec</w:t>
      </w:r>
      <w:r w:rsidRPr="00252D7B">
        <w:rPr>
          <w:rFonts w:asciiTheme="minorHAnsi" w:hAnsiTheme="minorHAnsi" w:cstheme="minorHAnsi"/>
          <w:sz w:val="24"/>
          <w:szCs w:val="24"/>
        </w:rPr>
        <w:t>, por meio dos instrumentos do Plano de Logística Sustentável – PLS e da Agenda Ambiental da Administração Pública - A3P, monitora a geração e a destinação dos seguintes resíduos sólidos:</w:t>
      </w:r>
    </w:p>
    <w:p w14:paraId="34878492" w14:textId="77777777" w:rsidR="00B579EC" w:rsidRPr="00252D7B" w:rsidRDefault="00B579EC" w:rsidP="008E2B51">
      <w:pPr>
        <w:pStyle w:val="PargrafodaLista"/>
        <w:numPr>
          <w:ilvl w:val="0"/>
          <w:numId w:val="4"/>
        </w:numPr>
        <w:spacing w:before="120" w:after="120"/>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Papel/Papelão;</w:t>
      </w:r>
    </w:p>
    <w:p w14:paraId="4DF5B04D" w14:textId="77777777" w:rsidR="00B579EC" w:rsidRPr="00252D7B" w:rsidRDefault="00B579EC" w:rsidP="008E2B51">
      <w:pPr>
        <w:pStyle w:val="PargrafodaLista"/>
        <w:numPr>
          <w:ilvl w:val="0"/>
          <w:numId w:val="4"/>
        </w:numPr>
        <w:spacing w:before="120" w:after="120"/>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Plástico;</w:t>
      </w:r>
    </w:p>
    <w:p w14:paraId="65795CF3" w14:textId="77777777" w:rsidR="00B579EC" w:rsidRPr="00252D7B" w:rsidRDefault="00B579EC" w:rsidP="008E2B51">
      <w:pPr>
        <w:pStyle w:val="PargrafodaLista"/>
        <w:numPr>
          <w:ilvl w:val="0"/>
          <w:numId w:val="4"/>
        </w:numPr>
        <w:spacing w:before="120" w:after="120"/>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Pilha e Bateria;</w:t>
      </w:r>
    </w:p>
    <w:p w14:paraId="7BEFD474" w14:textId="77777777" w:rsidR="00B579EC" w:rsidRPr="00252D7B" w:rsidRDefault="00B579EC" w:rsidP="008E2B51">
      <w:pPr>
        <w:pStyle w:val="PargrafodaLista"/>
        <w:numPr>
          <w:ilvl w:val="0"/>
          <w:numId w:val="4"/>
        </w:numPr>
        <w:spacing w:before="120" w:after="120"/>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Lâmpada fluorescente;</w:t>
      </w:r>
    </w:p>
    <w:p w14:paraId="3AB661D9" w14:textId="77777777" w:rsidR="00B579EC" w:rsidRPr="00252D7B" w:rsidRDefault="00B579EC" w:rsidP="008E2B51">
      <w:pPr>
        <w:pStyle w:val="PargrafodaLista"/>
        <w:numPr>
          <w:ilvl w:val="0"/>
          <w:numId w:val="4"/>
        </w:numPr>
        <w:spacing w:before="120" w:after="120"/>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Resíduos eletrônicos (Computador, Impressora, Telefone e fax);</w:t>
      </w:r>
    </w:p>
    <w:p w14:paraId="01D4977B" w14:textId="77777777" w:rsidR="00B579EC" w:rsidRPr="00252D7B" w:rsidRDefault="00B579EC" w:rsidP="008E2B51">
      <w:pPr>
        <w:pStyle w:val="PargrafodaLista"/>
        <w:numPr>
          <w:ilvl w:val="0"/>
          <w:numId w:val="4"/>
        </w:numPr>
        <w:spacing w:before="120" w:after="120"/>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lastRenderedPageBreak/>
        <w:t>Rejeitos;</w:t>
      </w:r>
    </w:p>
    <w:p w14:paraId="53C3EE66" w14:textId="77777777" w:rsidR="00B579EC" w:rsidRPr="00252D7B" w:rsidRDefault="00B579EC" w:rsidP="008E2B51">
      <w:pPr>
        <w:pStyle w:val="PargrafodaLista"/>
        <w:numPr>
          <w:ilvl w:val="0"/>
          <w:numId w:val="4"/>
        </w:numPr>
        <w:spacing w:before="120" w:after="120"/>
        <w:ind w:left="992" w:hanging="357"/>
        <w:contextualSpacing w:val="0"/>
        <w:jc w:val="both"/>
        <w:rPr>
          <w:rStyle w:val="jsgrdq"/>
          <w:rFonts w:asciiTheme="minorHAnsi" w:hAnsiTheme="minorHAnsi" w:cstheme="minorHAnsi"/>
          <w:sz w:val="24"/>
          <w:szCs w:val="24"/>
        </w:rPr>
      </w:pPr>
      <w:r w:rsidRPr="00252D7B">
        <w:rPr>
          <w:rStyle w:val="jsgrdq"/>
          <w:rFonts w:asciiTheme="minorHAnsi" w:hAnsiTheme="minorHAnsi" w:cstheme="minorHAnsi"/>
          <w:sz w:val="24"/>
          <w:szCs w:val="24"/>
        </w:rPr>
        <w:t>Outros.</w:t>
      </w:r>
    </w:p>
    <w:p w14:paraId="1E9D990C" w14:textId="37156B31" w:rsidR="00B579EC" w:rsidRPr="00252D7B" w:rsidRDefault="00B579EC" w:rsidP="00B579EC">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Também são monitorados os transportes aéreo e terrestre, visto que os meios de transporte, </w:t>
      </w:r>
      <w:r w:rsidR="00610C91" w:rsidRPr="00252D7B">
        <w:rPr>
          <w:rFonts w:asciiTheme="minorHAnsi" w:hAnsiTheme="minorHAnsi" w:cstheme="minorHAnsi"/>
          <w:sz w:val="24"/>
          <w:szCs w:val="24"/>
        </w:rPr>
        <w:t>por meio</w:t>
      </w:r>
      <w:r w:rsidRPr="00252D7B">
        <w:rPr>
          <w:rFonts w:asciiTheme="minorHAnsi" w:hAnsiTheme="minorHAnsi" w:cstheme="minorHAnsi"/>
          <w:sz w:val="24"/>
          <w:szCs w:val="24"/>
        </w:rPr>
        <w:t xml:space="preserve"> do consumo de combustíveis, emitem Gases de Efeito Estufa e outros gases poluentes.</w:t>
      </w:r>
    </w:p>
    <w:p w14:paraId="67C42053" w14:textId="77777777" w:rsidR="00022B9B" w:rsidRPr="00252D7B" w:rsidRDefault="00022B9B" w:rsidP="00022B9B">
      <w:pPr>
        <w:spacing w:before="120" w:after="120"/>
        <w:rPr>
          <w:rFonts w:asciiTheme="minorHAnsi" w:hAnsiTheme="minorHAnsi" w:cstheme="minorHAnsi"/>
        </w:rPr>
      </w:pPr>
    </w:p>
    <w:p w14:paraId="5092EC54" w14:textId="2F812025" w:rsidR="00022B9B" w:rsidRPr="00252D7B" w:rsidRDefault="00022B9B">
      <w:pPr>
        <w:widowControl/>
        <w:autoSpaceDE/>
        <w:autoSpaceDN/>
        <w:spacing w:after="160" w:line="259" w:lineRule="auto"/>
        <w:rPr>
          <w:rFonts w:asciiTheme="minorHAnsi" w:hAnsiTheme="minorHAnsi" w:cstheme="minorHAnsi"/>
        </w:rPr>
      </w:pPr>
      <w:r w:rsidRPr="00252D7B">
        <w:rPr>
          <w:rFonts w:asciiTheme="minorHAnsi" w:hAnsiTheme="minorHAnsi" w:cstheme="minorHAnsi"/>
        </w:rPr>
        <w:br w:type="page"/>
      </w:r>
    </w:p>
    <w:p w14:paraId="448EFBFD" w14:textId="7F20DA9C" w:rsidR="00CB039B" w:rsidRPr="00252D7B" w:rsidRDefault="007F1625" w:rsidP="00F100A9">
      <w:pPr>
        <w:pStyle w:val="Ttulo2"/>
      </w:pPr>
      <w:bookmarkStart w:id="508" w:name="_Toc103680605"/>
      <w:r w:rsidRPr="00252D7B">
        <w:lastRenderedPageBreak/>
        <w:t xml:space="preserve">Gestão </w:t>
      </w:r>
      <w:bookmarkEnd w:id="498"/>
      <w:bookmarkEnd w:id="499"/>
      <w:r w:rsidR="00804F1C" w:rsidRPr="00252D7B">
        <w:t>da comunicação com a sociedade</w:t>
      </w:r>
      <w:bookmarkEnd w:id="508"/>
    </w:p>
    <w:p w14:paraId="24DC6DC2" w14:textId="77777777" w:rsidR="003B7C9B" w:rsidRPr="00252D7B" w:rsidRDefault="003B7C9B" w:rsidP="003B7C9B">
      <w:pPr>
        <w:ind w:right="-45"/>
        <w:jc w:val="both"/>
        <w:rPr>
          <w:rStyle w:val="jsgrdq"/>
          <w:rFonts w:asciiTheme="minorHAnsi" w:hAnsiTheme="minorHAnsi" w:cstheme="minorHAnsi"/>
        </w:rPr>
      </w:pPr>
    </w:p>
    <w:p w14:paraId="3B050F1C" w14:textId="77777777" w:rsidR="005A0411" w:rsidRPr="00252D7B" w:rsidRDefault="005A0411" w:rsidP="005A0411">
      <w:pPr>
        <w:pStyle w:val="Ttulo3"/>
        <w:spacing w:before="120" w:after="120"/>
        <w:rPr>
          <w:rFonts w:asciiTheme="minorHAnsi" w:hAnsiTheme="minorHAnsi" w:cstheme="minorHAnsi"/>
        </w:rPr>
      </w:pPr>
      <w:bookmarkStart w:id="509" w:name="_Toc96705979"/>
      <w:bookmarkStart w:id="510" w:name="_Toc103680606"/>
      <w:bookmarkStart w:id="511" w:name="_Toc64571565"/>
      <w:bookmarkStart w:id="512" w:name="_Toc94012567"/>
      <w:bookmarkStart w:id="513" w:name="_Toc95830298"/>
      <w:r w:rsidRPr="00252D7B">
        <w:rPr>
          <w:rFonts w:asciiTheme="minorHAnsi" w:hAnsiTheme="minorHAnsi" w:cstheme="minorHAnsi"/>
        </w:rPr>
        <w:t>Ações de supervisão, controle e correição</w:t>
      </w:r>
      <w:bookmarkEnd w:id="509"/>
      <w:bookmarkEnd w:id="510"/>
    </w:p>
    <w:p w14:paraId="4C2167B5" w14:textId="3BED1C0A" w:rsidR="005A0411" w:rsidRPr="00252D7B" w:rsidRDefault="005A0411" w:rsidP="005A0411">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No ano de 2021, a Corregedoria passou por uma reformulação na intenção de acelerar o julgamento e apuração de passivo processual existente. Com esse objetivo, passou a implantar medidas voltadas para melhorar a integridade, a confiabilidade e a tempestividade de atendimento dentro do setor.</w:t>
      </w:r>
    </w:p>
    <w:p w14:paraId="38946FFC" w14:textId="77777777" w:rsidR="005A0411" w:rsidRPr="00252D7B" w:rsidRDefault="005A0411" w:rsidP="005A0411">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Foram mapeados todos os processos correcionais, de forma a se identificar sua prescrição e necessidade de tratamento, quantificando o passivo existente e possibilitando a criação de um plano para determinar as demandas prioritárias. Assim, foram retomados os trabalhos de comissões paralisadas e instaurados os processos disciplinares com maior urgência no atendimento.</w:t>
      </w:r>
    </w:p>
    <w:p w14:paraId="3198D93C" w14:textId="77777777" w:rsidR="005A0411" w:rsidRPr="00252D7B" w:rsidRDefault="005A0411" w:rsidP="005A0411">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Além disso, foram realizados diversos cursos por toda a equipe de correição, certificados e ministrados por órgãos de controle, no intuito de capacitar os empregados envolvidos nos procedimentos disciplinares.</w:t>
      </w:r>
    </w:p>
    <w:p w14:paraId="4FD29F99" w14:textId="2017B372" w:rsidR="005A0411" w:rsidRPr="00252D7B" w:rsidRDefault="005A0411" w:rsidP="005A0411">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Observa-se</w:t>
      </w:r>
      <w:r w:rsidR="00A0379A" w:rsidRPr="00252D7B">
        <w:rPr>
          <w:rFonts w:asciiTheme="minorHAnsi" w:hAnsiTheme="minorHAnsi" w:cstheme="minorHAnsi"/>
          <w:sz w:val="24"/>
          <w:szCs w:val="24"/>
        </w:rPr>
        <w:t>,</w:t>
      </w:r>
      <w:r w:rsidRPr="00252D7B">
        <w:rPr>
          <w:rFonts w:asciiTheme="minorHAnsi" w:hAnsiTheme="minorHAnsi" w:cstheme="minorHAnsi"/>
          <w:sz w:val="24"/>
          <w:szCs w:val="24"/>
        </w:rPr>
        <w:t xml:space="preserve"> no </w:t>
      </w:r>
      <w:r w:rsidR="00BB2356" w:rsidRPr="00252D7B">
        <w:rPr>
          <w:rFonts w:asciiTheme="minorHAnsi" w:hAnsiTheme="minorHAnsi" w:cstheme="minorHAnsi"/>
          <w:sz w:val="24"/>
          <w:szCs w:val="24"/>
        </w:rPr>
        <w:t>Gráfico 17</w:t>
      </w:r>
      <w:r w:rsidR="00454C96" w:rsidRPr="00252D7B">
        <w:rPr>
          <w:rFonts w:asciiTheme="minorHAnsi" w:hAnsiTheme="minorHAnsi" w:cstheme="minorHAnsi"/>
          <w:sz w:val="24"/>
          <w:szCs w:val="24"/>
        </w:rPr>
        <w:t xml:space="preserve">, </w:t>
      </w:r>
      <w:r w:rsidRPr="00252D7B">
        <w:rPr>
          <w:rFonts w:asciiTheme="minorHAnsi" w:hAnsiTheme="minorHAnsi" w:cstheme="minorHAnsi"/>
          <w:sz w:val="24"/>
          <w:szCs w:val="24"/>
        </w:rPr>
        <w:t>o tratamento dado ao passivo existente na Valec de processos disciplinares, que foi atendido entre os meses de julho e dezembro de 2021, sendo 6 PADs, 6 sindicâncias e 19 juízos de admissibilidade.</w:t>
      </w:r>
    </w:p>
    <w:p w14:paraId="11B3ABD7" w14:textId="77777777" w:rsidR="0041465A" w:rsidRPr="00252D7B" w:rsidRDefault="0041465A" w:rsidP="0041465A">
      <w:pPr>
        <w:ind w:right="-45"/>
        <w:jc w:val="both"/>
        <w:rPr>
          <w:rStyle w:val="jsgrdq"/>
          <w:rFonts w:asciiTheme="minorHAnsi" w:hAnsiTheme="minorHAnsi" w:cstheme="minorHAnsi"/>
        </w:rPr>
      </w:pPr>
    </w:p>
    <w:p w14:paraId="147376E2" w14:textId="373391C7" w:rsidR="005A0411" w:rsidRPr="00252D7B" w:rsidRDefault="005A0411" w:rsidP="005A0411">
      <w:pPr>
        <w:pStyle w:val="Legenda"/>
        <w:jc w:val="center"/>
        <w:rPr>
          <w:rFonts w:asciiTheme="minorHAnsi" w:hAnsiTheme="minorHAnsi" w:cstheme="minorHAnsi"/>
          <w:sz w:val="20"/>
          <w:szCs w:val="20"/>
        </w:rPr>
      </w:pPr>
      <w:r w:rsidRPr="00252D7B">
        <w:rPr>
          <w:rFonts w:asciiTheme="minorHAnsi" w:hAnsiTheme="minorHAnsi" w:cstheme="minorHAnsi"/>
          <w:color w:val="323130"/>
          <w:sz w:val="16"/>
          <w:szCs w:val="16"/>
          <w:bdr w:val="none" w:sz="0" w:space="0" w:color="auto" w:frame="1"/>
        </w:rPr>
        <w:t> </w:t>
      </w:r>
      <w:bookmarkStart w:id="514" w:name="_Toc96706001"/>
      <w:bookmarkStart w:id="515" w:name="_Toc97189143"/>
      <w:bookmarkStart w:id="516" w:name="_Toc103680782"/>
      <w:r w:rsidRPr="00252D7B">
        <w:rPr>
          <w:rFonts w:asciiTheme="minorHAnsi" w:hAnsiTheme="minorHAnsi" w:cstheme="minorHAnsi"/>
          <w:sz w:val="20"/>
          <w:szCs w:val="20"/>
        </w:rPr>
        <w:t xml:space="preserve">Gráfico </w:t>
      </w:r>
      <w:r w:rsidR="004328AC" w:rsidRPr="00252D7B">
        <w:rPr>
          <w:rFonts w:asciiTheme="minorHAnsi" w:hAnsiTheme="minorHAnsi" w:cstheme="minorHAnsi"/>
          <w:sz w:val="20"/>
          <w:szCs w:val="20"/>
        </w:rPr>
        <w:fldChar w:fldCharType="begin"/>
      </w:r>
      <w:r w:rsidR="004328AC" w:rsidRPr="00252D7B">
        <w:rPr>
          <w:rFonts w:asciiTheme="minorHAnsi" w:hAnsiTheme="minorHAnsi" w:cstheme="minorHAnsi"/>
          <w:sz w:val="20"/>
          <w:szCs w:val="20"/>
        </w:rPr>
        <w:instrText xml:space="preserve"> SEQ Gráfico \* ARABIC </w:instrText>
      </w:r>
      <w:r w:rsidR="004328AC"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17</w:t>
      </w:r>
      <w:r w:rsidR="004328AC" w:rsidRPr="00252D7B">
        <w:rPr>
          <w:rFonts w:asciiTheme="minorHAnsi" w:hAnsiTheme="minorHAnsi" w:cstheme="minorHAnsi"/>
          <w:sz w:val="20"/>
          <w:szCs w:val="20"/>
        </w:rPr>
        <w:fldChar w:fldCharType="end"/>
      </w:r>
      <w:r w:rsidRPr="00252D7B">
        <w:rPr>
          <w:rFonts w:asciiTheme="minorHAnsi" w:hAnsiTheme="minorHAnsi" w:cstheme="minorHAnsi"/>
          <w:sz w:val="20"/>
          <w:szCs w:val="20"/>
        </w:rPr>
        <w:t xml:space="preserve"> – Processos disciplinares</w:t>
      </w:r>
      <w:bookmarkEnd w:id="514"/>
      <w:bookmarkEnd w:id="515"/>
      <w:bookmarkEnd w:id="516"/>
    </w:p>
    <w:p w14:paraId="2CA46F81" w14:textId="77777777" w:rsidR="005A0411" w:rsidRPr="00252D7B" w:rsidRDefault="005A0411" w:rsidP="005A0411">
      <w:pPr>
        <w:pStyle w:val="NormalWeb"/>
        <w:shd w:val="clear" w:color="auto" w:fill="FFFFFF"/>
        <w:spacing w:before="0" w:beforeAutospacing="0" w:after="0" w:afterAutospacing="0"/>
        <w:jc w:val="center"/>
        <w:rPr>
          <w:rFonts w:asciiTheme="minorHAnsi" w:hAnsiTheme="minorHAnsi" w:cstheme="minorHAnsi"/>
          <w:color w:val="323130"/>
          <w:sz w:val="22"/>
          <w:szCs w:val="22"/>
        </w:rPr>
      </w:pPr>
      <w:r w:rsidRPr="00252D7B">
        <w:rPr>
          <w:rFonts w:asciiTheme="minorHAnsi" w:hAnsiTheme="minorHAnsi" w:cstheme="minorHAnsi"/>
          <w:noProof/>
          <w:color w:val="323130"/>
          <w:sz w:val="22"/>
          <w:szCs w:val="22"/>
        </w:rPr>
        <w:drawing>
          <wp:inline distT="0" distB="0" distL="0" distR="0" wp14:anchorId="400C6746" wp14:editId="36E2B96E">
            <wp:extent cx="4476115" cy="2023361"/>
            <wp:effectExtent l="0" t="0" r="635" b="0"/>
            <wp:docPr id="91" name="Imagem 91"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m 91" descr="Gráfico, Gráfico de pizza&#10;&#10;Descrição gerada automaticament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92830" cy="2030917"/>
                    </a:xfrm>
                    <a:prstGeom prst="rect">
                      <a:avLst/>
                    </a:prstGeom>
                    <a:noFill/>
                    <a:ln>
                      <a:noFill/>
                    </a:ln>
                  </pic:spPr>
                </pic:pic>
              </a:graphicData>
            </a:graphic>
          </wp:inline>
        </w:drawing>
      </w:r>
    </w:p>
    <w:p w14:paraId="3B567291" w14:textId="77777777" w:rsidR="005A0411" w:rsidRPr="00252D7B" w:rsidRDefault="005A0411" w:rsidP="005A0411">
      <w:pPr>
        <w:spacing w:before="120" w:after="120"/>
        <w:jc w:val="both"/>
        <w:rPr>
          <w:rFonts w:asciiTheme="minorHAnsi" w:hAnsiTheme="minorHAnsi" w:cstheme="minorHAnsi"/>
        </w:rPr>
      </w:pPr>
    </w:p>
    <w:p w14:paraId="7E76022F" w14:textId="77777777" w:rsidR="005A0411" w:rsidRPr="00252D7B" w:rsidRDefault="005A0411" w:rsidP="005A0411">
      <w:pPr>
        <w:pStyle w:val="Ttulo4"/>
        <w:spacing w:before="120"/>
        <w:rPr>
          <w:rFonts w:asciiTheme="minorHAnsi" w:hAnsiTheme="minorHAnsi" w:cstheme="minorHAnsi"/>
        </w:rPr>
      </w:pPr>
      <w:bookmarkStart w:id="517" w:name="_Toc103680607"/>
      <w:r w:rsidRPr="00252D7B">
        <w:rPr>
          <w:rFonts w:asciiTheme="minorHAnsi" w:hAnsiTheme="minorHAnsi" w:cstheme="minorHAnsi"/>
        </w:rPr>
        <w:t>Resultados dos serviços da Ouvidoria</w:t>
      </w:r>
      <w:bookmarkEnd w:id="517"/>
    </w:p>
    <w:p w14:paraId="103EB94B" w14:textId="1AD65F83" w:rsidR="005A0411" w:rsidRPr="00252D7B" w:rsidRDefault="005A0411" w:rsidP="005A0411">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A Ouvidoria é uma unidade organizacional dividida em duas áreas de atuação, distintas e complementares, a saber: a) Serviço de Informação ao Cidadão- SIC, instituído em obediência à Lei nº 12.527/2011 (LAI) e b) Canal de recebimento e tratamento de manifestações dos usuários de serviços públicos, regido pela Lei Federal nº 13.460/2017, pela Portaria nº 581/2021 - CGU, além de outros dispositivos legais internos e externos aplicáveis às duas interfaces.</w:t>
      </w:r>
    </w:p>
    <w:p w14:paraId="51571B3B" w14:textId="77777777" w:rsidR="005A0411" w:rsidRPr="00252D7B" w:rsidRDefault="005A0411" w:rsidP="005A0411">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Ao longo de 2021, a Ouvidoria da Valec registrou 130 pedidos de acesso à informação e 138 manifestações de ouvidoria.</w:t>
      </w:r>
    </w:p>
    <w:p w14:paraId="15BC8DFD" w14:textId="03C37C44" w:rsidR="006547C9" w:rsidRPr="00252D7B" w:rsidRDefault="006547C9">
      <w:pPr>
        <w:widowControl/>
        <w:autoSpaceDE/>
        <w:autoSpaceDN/>
        <w:spacing w:after="160" w:line="259" w:lineRule="auto"/>
        <w:rPr>
          <w:rFonts w:asciiTheme="minorHAnsi" w:hAnsiTheme="minorHAnsi" w:cstheme="minorHAnsi"/>
          <w:sz w:val="24"/>
          <w:szCs w:val="24"/>
        </w:rPr>
      </w:pPr>
      <w:r w:rsidRPr="00252D7B">
        <w:rPr>
          <w:rFonts w:asciiTheme="minorHAnsi" w:hAnsiTheme="minorHAnsi" w:cstheme="minorHAnsi"/>
          <w:sz w:val="24"/>
          <w:szCs w:val="24"/>
        </w:rPr>
        <w:br w:type="page"/>
      </w:r>
    </w:p>
    <w:p w14:paraId="7D9FD76E" w14:textId="7AE33015" w:rsidR="005A0411" w:rsidRPr="00252D7B" w:rsidRDefault="005A0411" w:rsidP="005A0411">
      <w:pPr>
        <w:pStyle w:val="Legenda"/>
        <w:jc w:val="center"/>
        <w:rPr>
          <w:rFonts w:asciiTheme="minorHAnsi" w:hAnsiTheme="minorHAnsi" w:cstheme="minorHAnsi"/>
          <w:sz w:val="20"/>
          <w:szCs w:val="20"/>
        </w:rPr>
      </w:pPr>
      <w:bookmarkStart w:id="518" w:name="_Toc96706002"/>
      <w:bookmarkStart w:id="519" w:name="_Toc97189144"/>
      <w:bookmarkStart w:id="520" w:name="_Toc103680783"/>
      <w:r w:rsidRPr="00252D7B">
        <w:rPr>
          <w:rFonts w:asciiTheme="minorHAnsi" w:hAnsiTheme="minorHAnsi" w:cstheme="minorHAnsi"/>
          <w:sz w:val="20"/>
          <w:szCs w:val="20"/>
        </w:rPr>
        <w:lastRenderedPageBreak/>
        <w:t xml:space="preserve">Gráfico </w:t>
      </w:r>
      <w:r w:rsidR="004328AC" w:rsidRPr="00252D7B">
        <w:rPr>
          <w:rFonts w:asciiTheme="minorHAnsi" w:hAnsiTheme="minorHAnsi" w:cstheme="minorHAnsi"/>
          <w:sz w:val="20"/>
          <w:szCs w:val="20"/>
        </w:rPr>
        <w:fldChar w:fldCharType="begin"/>
      </w:r>
      <w:r w:rsidR="004328AC" w:rsidRPr="00252D7B">
        <w:rPr>
          <w:rFonts w:asciiTheme="minorHAnsi" w:hAnsiTheme="minorHAnsi" w:cstheme="minorHAnsi"/>
          <w:sz w:val="20"/>
          <w:szCs w:val="20"/>
        </w:rPr>
        <w:instrText xml:space="preserve"> SEQ Gráfico \* ARABIC </w:instrText>
      </w:r>
      <w:r w:rsidR="004328AC"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18</w:t>
      </w:r>
      <w:r w:rsidR="004328AC" w:rsidRPr="00252D7B">
        <w:rPr>
          <w:rFonts w:asciiTheme="minorHAnsi" w:hAnsiTheme="minorHAnsi" w:cstheme="minorHAnsi"/>
          <w:sz w:val="20"/>
          <w:szCs w:val="20"/>
        </w:rPr>
        <w:fldChar w:fldCharType="end"/>
      </w:r>
      <w:r w:rsidRPr="00252D7B">
        <w:rPr>
          <w:rFonts w:asciiTheme="minorHAnsi" w:hAnsiTheme="minorHAnsi" w:cstheme="minorHAnsi"/>
          <w:sz w:val="20"/>
          <w:szCs w:val="20"/>
        </w:rPr>
        <w:t xml:space="preserve"> – Evolução da quantidade das manifestações de SIC e de Ouvidoria </w:t>
      </w:r>
      <w:r w:rsidRPr="00252D7B">
        <w:rPr>
          <w:rFonts w:asciiTheme="minorHAnsi" w:hAnsiTheme="minorHAnsi" w:cstheme="minorHAnsi"/>
          <w:sz w:val="20"/>
          <w:szCs w:val="20"/>
        </w:rPr>
        <w:br/>
        <w:t>entre os anos de 2018 à 2021</w:t>
      </w:r>
      <w:bookmarkEnd w:id="518"/>
      <w:bookmarkEnd w:id="519"/>
      <w:bookmarkEnd w:id="520"/>
    </w:p>
    <w:p w14:paraId="6D5FB7D2" w14:textId="26362E41" w:rsidR="003B7C9B" w:rsidRPr="00252D7B" w:rsidRDefault="003B7C9B" w:rsidP="003B7C9B">
      <w:pPr>
        <w:jc w:val="center"/>
        <w:rPr>
          <w:rFonts w:asciiTheme="minorHAnsi" w:hAnsiTheme="minorHAnsi" w:cstheme="minorHAnsi"/>
        </w:rPr>
      </w:pPr>
      <w:r w:rsidRPr="00252D7B">
        <w:rPr>
          <w:rFonts w:asciiTheme="minorHAnsi" w:hAnsiTheme="minorHAnsi" w:cstheme="minorHAnsi"/>
          <w:noProof/>
        </w:rPr>
        <w:drawing>
          <wp:inline distT="0" distB="0" distL="0" distR="0" wp14:anchorId="65B45E04" wp14:editId="2CF6BDD8">
            <wp:extent cx="4559300" cy="2663978"/>
            <wp:effectExtent l="0" t="0" r="0" b="317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81032" cy="2676676"/>
                    </a:xfrm>
                    <a:prstGeom prst="rect">
                      <a:avLst/>
                    </a:prstGeom>
                    <a:noFill/>
                  </pic:spPr>
                </pic:pic>
              </a:graphicData>
            </a:graphic>
          </wp:inline>
        </w:drawing>
      </w:r>
    </w:p>
    <w:p w14:paraId="21C2D190" w14:textId="3891D9F8" w:rsidR="005A0411" w:rsidRPr="00252D7B" w:rsidRDefault="005A0411" w:rsidP="006D2450">
      <w:pPr>
        <w:ind w:right="-45"/>
        <w:jc w:val="both"/>
        <w:rPr>
          <w:rStyle w:val="jsgrdq"/>
          <w:rFonts w:asciiTheme="minorHAnsi" w:hAnsiTheme="minorHAnsi" w:cstheme="minorHAnsi"/>
          <w:i/>
          <w:iCs/>
        </w:rPr>
      </w:pPr>
    </w:p>
    <w:p w14:paraId="49EE353D" w14:textId="2459C8A5" w:rsidR="005A0411" w:rsidRPr="00252D7B" w:rsidRDefault="005A0411" w:rsidP="000E3545">
      <w:pPr>
        <w:pStyle w:val="Legenda"/>
        <w:keepNext/>
        <w:jc w:val="center"/>
        <w:rPr>
          <w:rFonts w:asciiTheme="minorHAnsi" w:hAnsiTheme="minorHAnsi" w:cstheme="minorHAnsi"/>
          <w:sz w:val="20"/>
          <w:szCs w:val="20"/>
        </w:rPr>
      </w:pPr>
      <w:bookmarkStart w:id="521" w:name="_Toc96706063"/>
      <w:bookmarkStart w:id="522" w:name="_Toc103680687"/>
      <w:r w:rsidRPr="00252D7B">
        <w:rPr>
          <w:rFonts w:asciiTheme="minorHAnsi" w:hAnsiTheme="minorHAnsi" w:cstheme="minorHAnsi"/>
          <w:sz w:val="20"/>
          <w:szCs w:val="20"/>
        </w:rPr>
        <w:t xml:space="preserve">Tabela </w:t>
      </w:r>
      <w:r w:rsidR="00FA416F" w:rsidRPr="00252D7B">
        <w:rPr>
          <w:rFonts w:asciiTheme="minorHAnsi" w:hAnsiTheme="minorHAnsi" w:cstheme="minorHAnsi"/>
          <w:sz w:val="20"/>
          <w:szCs w:val="20"/>
        </w:rPr>
        <w:fldChar w:fldCharType="begin"/>
      </w:r>
      <w:r w:rsidR="00FA416F" w:rsidRPr="00252D7B">
        <w:rPr>
          <w:rFonts w:asciiTheme="minorHAnsi" w:hAnsiTheme="minorHAnsi" w:cstheme="minorHAnsi"/>
          <w:sz w:val="20"/>
          <w:szCs w:val="20"/>
        </w:rPr>
        <w:instrText xml:space="preserve"> SEQ Tabela \* ARABIC </w:instrText>
      </w:r>
      <w:r w:rsidR="00FA416F"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25</w:t>
      </w:r>
      <w:r w:rsidR="00FA416F" w:rsidRPr="00252D7B">
        <w:rPr>
          <w:rFonts w:asciiTheme="minorHAnsi" w:hAnsiTheme="minorHAnsi" w:cstheme="minorHAnsi"/>
          <w:sz w:val="20"/>
          <w:szCs w:val="20"/>
        </w:rPr>
        <w:fldChar w:fldCharType="end"/>
      </w:r>
      <w:r w:rsidRPr="00252D7B">
        <w:rPr>
          <w:rFonts w:asciiTheme="minorHAnsi" w:hAnsiTheme="minorHAnsi" w:cstheme="minorHAnsi"/>
          <w:sz w:val="20"/>
          <w:szCs w:val="20"/>
        </w:rPr>
        <w:t xml:space="preserve"> </w:t>
      </w:r>
      <w:r w:rsidR="0019050A" w:rsidRPr="00252D7B">
        <w:rPr>
          <w:rFonts w:asciiTheme="minorHAnsi" w:hAnsiTheme="minorHAnsi" w:cstheme="minorHAnsi"/>
          <w:sz w:val="20"/>
          <w:szCs w:val="20"/>
        </w:rPr>
        <w:t>–</w:t>
      </w:r>
      <w:r w:rsidRPr="00252D7B">
        <w:rPr>
          <w:rFonts w:asciiTheme="minorHAnsi" w:hAnsiTheme="minorHAnsi" w:cstheme="minorHAnsi"/>
          <w:sz w:val="20"/>
          <w:szCs w:val="20"/>
        </w:rPr>
        <w:t xml:space="preserve"> Quantidade de manifestações e Ranking de SIC e de Ouvidoria </w:t>
      </w:r>
      <w:r w:rsidRPr="00252D7B">
        <w:rPr>
          <w:rFonts w:asciiTheme="minorHAnsi" w:hAnsiTheme="minorHAnsi" w:cstheme="minorHAnsi"/>
          <w:sz w:val="20"/>
          <w:szCs w:val="20"/>
        </w:rPr>
        <w:br/>
        <w:t xml:space="preserve">da </w:t>
      </w:r>
      <w:r w:rsidR="00610C91" w:rsidRPr="00252D7B">
        <w:rPr>
          <w:rFonts w:asciiTheme="minorHAnsi" w:hAnsiTheme="minorHAnsi" w:cstheme="minorHAnsi"/>
          <w:sz w:val="20"/>
          <w:szCs w:val="20"/>
        </w:rPr>
        <w:t>Valec</w:t>
      </w:r>
      <w:r w:rsidRPr="00252D7B">
        <w:rPr>
          <w:rFonts w:asciiTheme="minorHAnsi" w:hAnsiTheme="minorHAnsi" w:cstheme="minorHAnsi"/>
          <w:sz w:val="20"/>
          <w:szCs w:val="20"/>
        </w:rPr>
        <w:t xml:space="preserve"> entre os anos de 2018 </w:t>
      </w:r>
      <w:r w:rsidR="000E3545" w:rsidRPr="00252D7B">
        <w:rPr>
          <w:rFonts w:asciiTheme="minorHAnsi" w:hAnsiTheme="minorHAnsi" w:cstheme="minorHAnsi"/>
          <w:sz w:val="20"/>
          <w:szCs w:val="20"/>
        </w:rPr>
        <w:t>a</w:t>
      </w:r>
      <w:r w:rsidRPr="00252D7B">
        <w:rPr>
          <w:rFonts w:asciiTheme="minorHAnsi" w:hAnsiTheme="minorHAnsi" w:cstheme="minorHAnsi"/>
          <w:sz w:val="20"/>
          <w:szCs w:val="20"/>
        </w:rPr>
        <w:t xml:space="preserve"> 2021.</w:t>
      </w:r>
      <w:bookmarkEnd w:id="521"/>
      <w:bookmarkEnd w:id="522"/>
    </w:p>
    <w:tbl>
      <w:tblPr>
        <w:tblStyle w:val="TabeladeLista4"/>
        <w:tblW w:w="9653"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1139"/>
        <w:gridCol w:w="1133"/>
        <w:gridCol w:w="991"/>
        <w:gridCol w:w="1134"/>
        <w:gridCol w:w="993"/>
        <w:gridCol w:w="1134"/>
        <w:gridCol w:w="1131"/>
        <w:gridCol w:w="993"/>
        <w:gridCol w:w="1005"/>
      </w:tblGrid>
      <w:tr w:rsidR="005A0411" w:rsidRPr="00252D7B" w14:paraId="366BB0C5" w14:textId="77777777" w:rsidTr="00185B1F">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139" w:type="dxa"/>
            <w:tcBorders>
              <w:top w:val="none" w:sz="0" w:space="0" w:color="auto"/>
              <w:left w:val="nil"/>
              <w:bottom w:val="none" w:sz="0" w:space="0" w:color="auto"/>
            </w:tcBorders>
            <w:shd w:val="clear" w:color="auto" w:fill="D9D9D9" w:themeFill="background1" w:themeFillShade="D9"/>
            <w:vAlign w:val="center"/>
          </w:tcPr>
          <w:p w14:paraId="527D3A47" w14:textId="77777777" w:rsidR="005A0411" w:rsidRPr="00252D7B" w:rsidRDefault="005A0411" w:rsidP="00E03684">
            <w:pPr>
              <w:spacing w:after="120"/>
              <w:rPr>
                <w:rFonts w:asciiTheme="minorHAnsi" w:hAnsiTheme="minorHAnsi" w:cstheme="minorHAnsi"/>
                <w:sz w:val="20"/>
                <w:szCs w:val="20"/>
              </w:rPr>
            </w:pPr>
          </w:p>
        </w:tc>
        <w:tc>
          <w:tcPr>
            <w:tcW w:w="2124" w:type="dxa"/>
            <w:gridSpan w:val="2"/>
            <w:tcBorders>
              <w:top w:val="none" w:sz="0" w:space="0" w:color="auto"/>
              <w:bottom w:val="none" w:sz="0" w:space="0" w:color="auto"/>
            </w:tcBorders>
            <w:shd w:val="clear" w:color="auto" w:fill="D9D9D9" w:themeFill="background1" w:themeFillShade="D9"/>
            <w:vAlign w:val="center"/>
          </w:tcPr>
          <w:p w14:paraId="29319CD2" w14:textId="77777777" w:rsidR="005A0411" w:rsidRPr="00252D7B" w:rsidRDefault="005A0411" w:rsidP="00680D4E">
            <w:pPr>
              <w:spacing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252D7B">
              <w:rPr>
                <w:rFonts w:asciiTheme="minorHAnsi" w:hAnsiTheme="minorHAnsi" w:cstheme="minorHAnsi"/>
                <w:color w:val="auto"/>
                <w:sz w:val="20"/>
                <w:szCs w:val="20"/>
              </w:rPr>
              <w:t>2018</w:t>
            </w:r>
          </w:p>
        </w:tc>
        <w:tc>
          <w:tcPr>
            <w:tcW w:w="2127" w:type="dxa"/>
            <w:gridSpan w:val="2"/>
            <w:tcBorders>
              <w:top w:val="none" w:sz="0" w:space="0" w:color="auto"/>
              <w:bottom w:val="none" w:sz="0" w:space="0" w:color="auto"/>
            </w:tcBorders>
            <w:shd w:val="clear" w:color="auto" w:fill="D9D9D9" w:themeFill="background1" w:themeFillShade="D9"/>
            <w:vAlign w:val="center"/>
          </w:tcPr>
          <w:p w14:paraId="6F59F4C2" w14:textId="77777777" w:rsidR="005A0411" w:rsidRPr="00252D7B" w:rsidRDefault="005A0411" w:rsidP="00680D4E">
            <w:pPr>
              <w:spacing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252D7B">
              <w:rPr>
                <w:rFonts w:asciiTheme="minorHAnsi" w:hAnsiTheme="minorHAnsi" w:cstheme="minorHAnsi"/>
                <w:color w:val="auto"/>
                <w:sz w:val="20"/>
                <w:szCs w:val="20"/>
              </w:rPr>
              <w:t>2019</w:t>
            </w:r>
          </w:p>
        </w:tc>
        <w:tc>
          <w:tcPr>
            <w:tcW w:w="2265" w:type="dxa"/>
            <w:gridSpan w:val="2"/>
            <w:tcBorders>
              <w:top w:val="none" w:sz="0" w:space="0" w:color="auto"/>
              <w:bottom w:val="none" w:sz="0" w:space="0" w:color="auto"/>
            </w:tcBorders>
            <w:shd w:val="clear" w:color="auto" w:fill="D9D9D9" w:themeFill="background1" w:themeFillShade="D9"/>
            <w:vAlign w:val="center"/>
          </w:tcPr>
          <w:p w14:paraId="690FB9D3" w14:textId="77777777" w:rsidR="005A0411" w:rsidRPr="00252D7B" w:rsidRDefault="005A0411" w:rsidP="00680D4E">
            <w:pPr>
              <w:spacing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252D7B">
              <w:rPr>
                <w:rFonts w:asciiTheme="minorHAnsi" w:hAnsiTheme="minorHAnsi" w:cstheme="minorHAnsi"/>
                <w:color w:val="auto"/>
                <w:sz w:val="20"/>
                <w:szCs w:val="20"/>
              </w:rPr>
              <w:t>2020</w:t>
            </w:r>
          </w:p>
        </w:tc>
        <w:tc>
          <w:tcPr>
            <w:tcW w:w="1998" w:type="dxa"/>
            <w:gridSpan w:val="2"/>
            <w:tcBorders>
              <w:top w:val="none" w:sz="0" w:space="0" w:color="auto"/>
              <w:bottom w:val="none" w:sz="0" w:space="0" w:color="auto"/>
              <w:right w:val="nil"/>
            </w:tcBorders>
            <w:shd w:val="clear" w:color="auto" w:fill="D9D9D9" w:themeFill="background1" w:themeFillShade="D9"/>
            <w:vAlign w:val="center"/>
          </w:tcPr>
          <w:p w14:paraId="1B58BD87" w14:textId="77777777" w:rsidR="005A0411" w:rsidRPr="00252D7B" w:rsidRDefault="005A0411" w:rsidP="00680D4E">
            <w:pPr>
              <w:spacing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252D7B">
              <w:rPr>
                <w:rFonts w:asciiTheme="minorHAnsi" w:hAnsiTheme="minorHAnsi" w:cstheme="minorHAnsi"/>
                <w:color w:val="auto"/>
                <w:sz w:val="20"/>
                <w:szCs w:val="20"/>
              </w:rPr>
              <w:t>2021</w:t>
            </w:r>
          </w:p>
        </w:tc>
      </w:tr>
      <w:tr w:rsidR="00101738" w:rsidRPr="00252D7B" w14:paraId="7427DA74" w14:textId="77777777" w:rsidTr="00185B1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139" w:type="dxa"/>
            <w:tcBorders>
              <w:left w:val="nil"/>
            </w:tcBorders>
            <w:shd w:val="clear" w:color="auto" w:fill="D9D9D9" w:themeFill="background1" w:themeFillShade="D9"/>
            <w:vAlign w:val="center"/>
          </w:tcPr>
          <w:p w14:paraId="5C694F67" w14:textId="77777777" w:rsidR="005A0411" w:rsidRPr="00252D7B" w:rsidRDefault="005A0411" w:rsidP="00E03684">
            <w:pPr>
              <w:spacing w:after="120"/>
              <w:rPr>
                <w:rFonts w:asciiTheme="minorHAnsi" w:hAnsiTheme="minorHAnsi" w:cstheme="minorHAnsi"/>
                <w:sz w:val="20"/>
                <w:szCs w:val="20"/>
              </w:rPr>
            </w:pPr>
          </w:p>
        </w:tc>
        <w:tc>
          <w:tcPr>
            <w:tcW w:w="1133" w:type="dxa"/>
            <w:shd w:val="clear" w:color="auto" w:fill="D9D9D9" w:themeFill="background1" w:themeFillShade="D9"/>
            <w:vAlign w:val="center"/>
          </w:tcPr>
          <w:p w14:paraId="4F181A74" w14:textId="77777777" w:rsidR="005A0411" w:rsidRPr="00252D7B" w:rsidRDefault="005A0411" w:rsidP="00E03684">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 w:val="20"/>
                <w:szCs w:val="20"/>
              </w:rPr>
            </w:pPr>
            <w:r w:rsidRPr="00252D7B">
              <w:rPr>
                <w:rFonts w:asciiTheme="minorHAnsi" w:hAnsiTheme="minorHAnsi" w:cstheme="minorHAnsi"/>
                <w:b/>
                <w:sz w:val="20"/>
                <w:szCs w:val="20"/>
              </w:rPr>
              <w:t>Manifes-tações</w:t>
            </w:r>
          </w:p>
        </w:tc>
        <w:tc>
          <w:tcPr>
            <w:tcW w:w="991" w:type="dxa"/>
            <w:shd w:val="clear" w:color="auto" w:fill="D9D9D9" w:themeFill="background1" w:themeFillShade="D9"/>
            <w:vAlign w:val="center"/>
          </w:tcPr>
          <w:p w14:paraId="6ABBAD87" w14:textId="77777777" w:rsidR="005A0411" w:rsidRPr="00252D7B" w:rsidRDefault="005A0411" w:rsidP="00E03684">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52D7B">
              <w:rPr>
                <w:rFonts w:asciiTheme="minorHAnsi" w:hAnsiTheme="minorHAnsi" w:cstheme="minorHAnsi"/>
                <w:b/>
                <w:sz w:val="20"/>
                <w:szCs w:val="20"/>
              </w:rPr>
              <w:t>Ranking</w:t>
            </w:r>
          </w:p>
        </w:tc>
        <w:tc>
          <w:tcPr>
            <w:tcW w:w="1134" w:type="dxa"/>
            <w:shd w:val="clear" w:color="auto" w:fill="D9D9D9" w:themeFill="background1" w:themeFillShade="D9"/>
            <w:vAlign w:val="center"/>
          </w:tcPr>
          <w:p w14:paraId="3CFD08A2" w14:textId="77777777" w:rsidR="005A0411" w:rsidRPr="00252D7B" w:rsidRDefault="005A0411" w:rsidP="00E03684">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52D7B">
              <w:rPr>
                <w:rFonts w:asciiTheme="minorHAnsi" w:hAnsiTheme="minorHAnsi" w:cstheme="minorHAnsi"/>
                <w:b/>
                <w:sz w:val="20"/>
                <w:szCs w:val="20"/>
              </w:rPr>
              <w:t>Manifes-tações</w:t>
            </w:r>
          </w:p>
        </w:tc>
        <w:tc>
          <w:tcPr>
            <w:tcW w:w="993" w:type="dxa"/>
            <w:shd w:val="clear" w:color="auto" w:fill="D9D9D9" w:themeFill="background1" w:themeFillShade="D9"/>
            <w:vAlign w:val="center"/>
          </w:tcPr>
          <w:p w14:paraId="5240FA9A" w14:textId="77777777" w:rsidR="005A0411" w:rsidRPr="00252D7B" w:rsidRDefault="005A0411" w:rsidP="00E03684">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52D7B">
              <w:rPr>
                <w:rFonts w:asciiTheme="minorHAnsi" w:hAnsiTheme="minorHAnsi" w:cstheme="minorHAnsi"/>
                <w:b/>
                <w:sz w:val="20"/>
                <w:szCs w:val="20"/>
              </w:rPr>
              <w:t>Ranking</w:t>
            </w:r>
          </w:p>
        </w:tc>
        <w:tc>
          <w:tcPr>
            <w:tcW w:w="1134" w:type="dxa"/>
            <w:shd w:val="clear" w:color="auto" w:fill="D9D9D9" w:themeFill="background1" w:themeFillShade="D9"/>
            <w:vAlign w:val="center"/>
          </w:tcPr>
          <w:p w14:paraId="21DAD84A" w14:textId="77777777" w:rsidR="005A0411" w:rsidRPr="00252D7B" w:rsidRDefault="005A0411" w:rsidP="00E03684">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52D7B">
              <w:rPr>
                <w:rFonts w:asciiTheme="minorHAnsi" w:hAnsiTheme="minorHAnsi" w:cstheme="minorHAnsi"/>
                <w:b/>
                <w:sz w:val="20"/>
                <w:szCs w:val="20"/>
              </w:rPr>
              <w:t>Manifes-tações</w:t>
            </w:r>
          </w:p>
        </w:tc>
        <w:tc>
          <w:tcPr>
            <w:tcW w:w="1131" w:type="dxa"/>
            <w:shd w:val="clear" w:color="auto" w:fill="D9D9D9" w:themeFill="background1" w:themeFillShade="D9"/>
            <w:vAlign w:val="center"/>
          </w:tcPr>
          <w:p w14:paraId="63A84966" w14:textId="77777777" w:rsidR="005A0411" w:rsidRPr="00252D7B" w:rsidRDefault="005A0411" w:rsidP="00E03684">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52D7B">
              <w:rPr>
                <w:rFonts w:asciiTheme="minorHAnsi" w:hAnsiTheme="minorHAnsi" w:cstheme="minorHAnsi"/>
                <w:b/>
                <w:sz w:val="20"/>
                <w:szCs w:val="20"/>
              </w:rPr>
              <w:t>Ranking</w:t>
            </w:r>
          </w:p>
        </w:tc>
        <w:tc>
          <w:tcPr>
            <w:tcW w:w="993" w:type="dxa"/>
            <w:shd w:val="clear" w:color="auto" w:fill="D9D9D9" w:themeFill="background1" w:themeFillShade="D9"/>
            <w:vAlign w:val="center"/>
          </w:tcPr>
          <w:p w14:paraId="4A14C8F0" w14:textId="77777777" w:rsidR="005A0411" w:rsidRPr="00252D7B" w:rsidRDefault="005A0411" w:rsidP="00E03684">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52D7B">
              <w:rPr>
                <w:rFonts w:asciiTheme="minorHAnsi" w:hAnsiTheme="minorHAnsi" w:cstheme="minorHAnsi"/>
                <w:b/>
                <w:sz w:val="20"/>
                <w:szCs w:val="20"/>
              </w:rPr>
              <w:t>Manifes-tações</w:t>
            </w:r>
          </w:p>
        </w:tc>
        <w:tc>
          <w:tcPr>
            <w:tcW w:w="1005" w:type="dxa"/>
            <w:tcBorders>
              <w:right w:val="nil"/>
            </w:tcBorders>
            <w:shd w:val="clear" w:color="auto" w:fill="D9D9D9" w:themeFill="background1" w:themeFillShade="D9"/>
            <w:vAlign w:val="center"/>
          </w:tcPr>
          <w:p w14:paraId="1A6D74D5" w14:textId="77777777" w:rsidR="005A0411" w:rsidRPr="00252D7B" w:rsidRDefault="005A0411" w:rsidP="00E03684">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52D7B">
              <w:rPr>
                <w:rFonts w:asciiTheme="minorHAnsi" w:hAnsiTheme="minorHAnsi" w:cstheme="minorHAnsi"/>
                <w:b/>
                <w:sz w:val="20"/>
                <w:szCs w:val="20"/>
              </w:rPr>
              <w:t>Ranking</w:t>
            </w:r>
          </w:p>
        </w:tc>
      </w:tr>
      <w:tr w:rsidR="00101738" w:rsidRPr="00252D7B" w14:paraId="527B8264" w14:textId="77777777" w:rsidTr="00185B1F">
        <w:trPr>
          <w:trHeight w:val="340"/>
          <w:jc w:val="center"/>
        </w:trPr>
        <w:tc>
          <w:tcPr>
            <w:cnfStyle w:val="001000000000" w:firstRow="0" w:lastRow="0" w:firstColumn="1" w:lastColumn="0" w:oddVBand="0" w:evenVBand="0" w:oddHBand="0" w:evenHBand="0" w:firstRowFirstColumn="0" w:firstRowLastColumn="0" w:lastRowFirstColumn="0" w:lastRowLastColumn="0"/>
            <w:tcW w:w="1139" w:type="dxa"/>
            <w:tcBorders>
              <w:left w:val="nil"/>
            </w:tcBorders>
            <w:shd w:val="clear" w:color="auto" w:fill="FFFFFF" w:themeFill="background1"/>
            <w:vAlign w:val="center"/>
          </w:tcPr>
          <w:p w14:paraId="37F4947E" w14:textId="0DC25D4B" w:rsidR="005A0411" w:rsidRPr="00252D7B" w:rsidRDefault="005A0411" w:rsidP="00E03684">
            <w:pPr>
              <w:spacing w:after="120"/>
              <w:rPr>
                <w:rFonts w:asciiTheme="minorHAnsi" w:hAnsiTheme="minorHAnsi" w:cstheme="minorHAnsi"/>
                <w:b w:val="0"/>
                <w:sz w:val="20"/>
                <w:szCs w:val="20"/>
              </w:rPr>
            </w:pPr>
            <w:r w:rsidRPr="00252D7B">
              <w:rPr>
                <w:rFonts w:asciiTheme="minorHAnsi" w:hAnsiTheme="minorHAnsi" w:cstheme="minorHAnsi"/>
                <w:b w:val="0"/>
                <w:sz w:val="20"/>
                <w:szCs w:val="20"/>
              </w:rPr>
              <w:t>SIC/</w:t>
            </w:r>
            <w:r w:rsidRPr="00252D7B">
              <w:rPr>
                <w:rFonts w:asciiTheme="minorHAnsi" w:hAnsiTheme="minorHAnsi" w:cstheme="minorHAnsi"/>
                <w:b w:val="0"/>
                <w:sz w:val="20"/>
                <w:szCs w:val="20"/>
              </w:rPr>
              <w:br/>
            </w:r>
            <w:r w:rsidR="00610C91" w:rsidRPr="00252D7B">
              <w:rPr>
                <w:rFonts w:asciiTheme="minorHAnsi" w:hAnsiTheme="minorHAnsi" w:cstheme="minorHAnsi"/>
                <w:b w:val="0"/>
                <w:sz w:val="20"/>
                <w:szCs w:val="20"/>
              </w:rPr>
              <w:t>Valec</w:t>
            </w:r>
          </w:p>
        </w:tc>
        <w:tc>
          <w:tcPr>
            <w:tcW w:w="1133" w:type="dxa"/>
            <w:shd w:val="clear" w:color="auto" w:fill="FFFFFF" w:themeFill="background1"/>
            <w:vAlign w:val="center"/>
          </w:tcPr>
          <w:p w14:paraId="3CF18575" w14:textId="77777777" w:rsidR="005A0411" w:rsidRPr="00252D7B" w:rsidRDefault="005A0411" w:rsidP="00747954">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252D7B">
              <w:rPr>
                <w:rFonts w:asciiTheme="minorHAnsi" w:hAnsiTheme="minorHAnsi" w:cstheme="minorHAnsi"/>
                <w:b/>
                <w:sz w:val="20"/>
                <w:szCs w:val="20"/>
              </w:rPr>
              <w:t>168</w:t>
            </w:r>
          </w:p>
        </w:tc>
        <w:tc>
          <w:tcPr>
            <w:tcW w:w="991" w:type="dxa"/>
            <w:shd w:val="clear" w:color="auto" w:fill="FFFFFF" w:themeFill="background1"/>
            <w:vAlign w:val="center"/>
          </w:tcPr>
          <w:p w14:paraId="1899B19F" w14:textId="77777777" w:rsidR="005A0411" w:rsidRPr="00252D7B" w:rsidRDefault="005A0411" w:rsidP="00E03684">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52D7B">
              <w:rPr>
                <w:rFonts w:asciiTheme="minorHAnsi" w:hAnsiTheme="minorHAnsi" w:cstheme="minorHAnsi"/>
                <w:sz w:val="20"/>
                <w:szCs w:val="20"/>
              </w:rPr>
              <w:t>144º/289</w:t>
            </w:r>
          </w:p>
        </w:tc>
        <w:tc>
          <w:tcPr>
            <w:tcW w:w="1134" w:type="dxa"/>
            <w:shd w:val="clear" w:color="auto" w:fill="FFFFFF" w:themeFill="background1"/>
            <w:vAlign w:val="center"/>
          </w:tcPr>
          <w:p w14:paraId="5B3FEB9D" w14:textId="77777777" w:rsidR="005A0411" w:rsidRPr="00252D7B" w:rsidRDefault="005A0411" w:rsidP="00747954">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252D7B">
              <w:rPr>
                <w:rFonts w:asciiTheme="minorHAnsi" w:hAnsiTheme="minorHAnsi" w:cstheme="minorHAnsi"/>
                <w:b/>
                <w:sz w:val="20"/>
                <w:szCs w:val="20"/>
              </w:rPr>
              <w:t>211</w:t>
            </w:r>
          </w:p>
        </w:tc>
        <w:tc>
          <w:tcPr>
            <w:tcW w:w="993" w:type="dxa"/>
            <w:shd w:val="clear" w:color="auto" w:fill="FFFFFF" w:themeFill="background1"/>
            <w:vAlign w:val="center"/>
          </w:tcPr>
          <w:p w14:paraId="3E3ED17C" w14:textId="77777777" w:rsidR="005A0411" w:rsidRPr="00252D7B" w:rsidRDefault="005A0411" w:rsidP="00E03684">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52D7B">
              <w:rPr>
                <w:rFonts w:asciiTheme="minorHAnsi" w:hAnsiTheme="minorHAnsi" w:cstheme="minorHAnsi"/>
                <w:sz w:val="20"/>
                <w:szCs w:val="20"/>
              </w:rPr>
              <w:t>112º/295</w:t>
            </w:r>
          </w:p>
        </w:tc>
        <w:tc>
          <w:tcPr>
            <w:tcW w:w="1134" w:type="dxa"/>
            <w:shd w:val="clear" w:color="auto" w:fill="FFFFFF" w:themeFill="background1"/>
            <w:vAlign w:val="center"/>
          </w:tcPr>
          <w:p w14:paraId="0AF747A9" w14:textId="77777777" w:rsidR="005A0411" w:rsidRPr="00252D7B" w:rsidRDefault="005A0411" w:rsidP="00747954">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252D7B">
              <w:rPr>
                <w:rFonts w:asciiTheme="minorHAnsi" w:hAnsiTheme="minorHAnsi" w:cstheme="minorHAnsi"/>
                <w:b/>
                <w:sz w:val="20"/>
                <w:szCs w:val="20"/>
              </w:rPr>
              <w:t>246</w:t>
            </w:r>
          </w:p>
        </w:tc>
        <w:tc>
          <w:tcPr>
            <w:tcW w:w="1131" w:type="dxa"/>
            <w:shd w:val="clear" w:color="auto" w:fill="FFFFFF" w:themeFill="background1"/>
            <w:vAlign w:val="center"/>
          </w:tcPr>
          <w:p w14:paraId="4B84C80E" w14:textId="77777777" w:rsidR="005A0411" w:rsidRPr="00252D7B" w:rsidRDefault="005A0411" w:rsidP="00E03684">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52D7B">
              <w:rPr>
                <w:rFonts w:asciiTheme="minorHAnsi" w:hAnsiTheme="minorHAnsi" w:cstheme="minorHAnsi"/>
                <w:sz w:val="20"/>
                <w:szCs w:val="20"/>
              </w:rPr>
              <w:t>100º/296</w:t>
            </w:r>
          </w:p>
        </w:tc>
        <w:tc>
          <w:tcPr>
            <w:tcW w:w="993" w:type="dxa"/>
            <w:shd w:val="clear" w:color="auto" w:fill="FFFFFF" w:themeFill="background1"/>
            <w:vAlign w:val="center"/>
          </w:tcPr>
          <w:p w14:paraId="3FFB9AA0" w14:textId="77777777" w:rsidR="005A0411" w:rsidRPr="00252D7B" w:rsidRDefault="005A0411" w:rsidP="00747954">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52D7B">
              <w:rPr>
                <w:rFonts w:asciiTheme="minorHAnsi" w:hAnsiTheme="minorHAnsi" w:cstheme="minorHAnsi"/>
                <w:sz w:val="20"/>
                <w:szCs w:val="20"/>
              </w:rPr>
              <w:t>102</w:t>
            </w:r>
          </w:p>
        </w:tc>
        <w:tc>
          <w:tcPr>
            <w:tcW w:w="1005" w:type="dxa"/>
            <w:tcBorders>
              <w:right w:val="nil"/>
            </w:tcBorders>
            <w:shd w:val="clear" w:color="auto" w:fill="FFFFFF" w:themeFill="background1"/>
            <w:vAlign w:val="center"/>
          </w:tcPr>
          <w:p w14:paraId="3267C84A" w14:textId="77777777" w:rsidR="005A0411" w:rsidRPr="00252D7B" w:rsidRDefault="005A0411" w:rsidP="00E03684">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52D7B">
              <w:rPr>
                <w:rFonts w:asciiTheme="minorHAnsi" w:hAnsiTheme="minorHAnsi" w:cstheme="minorHAnsi"/>
                <w:sz w:val="20"/>
                <w:szCs w:val="20"/>
              </w:rPr>
              <w:t>170°/306</w:t>
            </w:r>
          </w:p>
        </w:tc>
      </w:tr>
      <w:tr w:rsidR="00101738" w:rsidRPr="00252D7B" w14:paraId="51AB3E16" w14:textId="77777777" w:rsidTr="00185B1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139" w:type="dxa"/>
            <w:tcBorders>
              <w:left w:val="nil"/>
            </w:tcBorders>
            <w:shd w:val="clear" w:color="auto" w:fill="FFFFFF" w:themeFill="background1"/>
            <w:vAlign w:val="center"/>
          </w:tcPr>
          <w:p w14:paraId="6746296A" w14:textId="30E9B26E" w:rsidR="005A0411" w:rsidRPr="00252D7B" w:rsidRDefault="005A0411" w:rsidP="00E03684">
            <w:pPr>
              <w:spacing w:after="120"/>
              <w:rPr>
                <w:rFonts w:asciiTheme="minorHAnsi" w:hAnsiTheme="minorHAnsi" w:cstheme="minorHAnsi"/>
                <w:b w:val="0"/>
                <w:sz w:val="20"/>
                <w:szCs w:val="20"/>
              </w:rPr>
            </w:pPr>
            <w:r w:rsidRPr="00252D7B">
              <w:rPr>
                <w:rFonts w:asciiTheme="minorHAnsi" w:hAnsiTheme="minorHAnsi" w:cstheme="minorHAnsi"/>
                <w:b w:val="0"/>
                <w:sz w:val="20"/>
                <w:szCs w:val="20"/>
              </w:rPr>
              <w:t>Ouvidoria/</w:t>
            </w:r>
            <w:r w:rsidRPr="00252D7B">
              <w:rPr>
                <w:rFonts w:asciiTheme="minorHAnsi" w:hAnsiTheme="minorHAnsi" w:cstheme="minorHAnsi"/>
                <w:b w:val="0"/>
                <w:sz w:val="20"/>
                <w:szCs w:val="20"/>
              </w:rPr>
              <w:br/>
            </w:r>
            <w:r w:rsidR="00610C91" w:rsidRPr="00252D7B">
              <w:rPr>
                <w:rFonts w:asciiTheme="minorHAnsi" w:hAnsiTheme="minorHAnsi" w:cstheme="minorHAnsi"/>
                <w:b w:val="0"/>
                <w:sz w:val="20"/>
                <w:szCs w:val="20"/>
              </w:rPr>
              <w:t>Valec</w:t>
            </w:r>
          </w:p>
        </w:tc>
        <w:tc>
          <w:tcPr>
            <w:tcW w:w="1133" w:type="dxa"/>
            <w:shd w:val="clear" w:color="auto" w:fill="FFFFFF" w:themeFill="background1"/>
            <w:vAlign w:val="center"/>
          </w:tcPr>
          <w:p w14:paraId="09AFC7B7" w14:textId="77777777" w:rsidR="005A0411" w:rsidRPr="00252D7B" w:rsidRDefault="005A0411" w:rsidP="00747954">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52D7B">
              <w:rPr>
                <w:rFonts w:asciiTheme="minorHAnsi" w:hAnsiTheme="minorHAnsi" w:cstheme="minorHAnsi"/>
                <w:b/>
                <w:sz w:val="20"/>
                <w:szCs w:val="20"/>
              </w:rPr>
              <w:t>76</w:t>
            </w:r>
          </w:p>
        </w:tc>
        <w:tc>
          <w:tcPr>
            <w:tcW w:w="991" w:type="dxa"/>
            <w:shd w:val="clear" w:color="auto" w:fill="FFFFFF" w:themeFill="background1"/>
            <w:vAlign w:val="center"/>
          </w:tcPr>
          <w:p w14:paraId="378D62CA" w14:textId="77777777" w:rsidR="005A0411" w:rsidRPr="00252D7B" w:rsidRDefault="005A0411" w:rsidP="00747954">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0"/>
                <w:szCs w:val="20"/>
              </w:rPr>
            </w:pPr>
            <w:r w:rsidRPr="00252D7B">
              <w:rPr>
                <w:rFonts w:asciiTheme="minorHAnsi" w:hAnsiTheme="minorHAnsi" w:cstheme="minorHAnsi"/>
                <w:sz w:val="20"/>
                <w:szCs w:val="20"/>
              </w:rPr>
              <w:t>*</w:t>
            </w:r>
          </w:p>
        </w:tc>
        <w:tc>
          <w:tcPr>
            <w:tcW w:w="1134" w:type="dxa"/>
            <w:shd w:val="clear" w:color="auto" w:fill="FFFFFF" w:themeFill="background1"/>
            <w:vAlign w:val="center"/>
          </w:tcPr>
          <w:p w14:paraId="4613B8C6" w14:textId="77777777" w:rsidR="005A0411" w:rsidRPr="00252D7B" w:rsidRDefault="005A0411" w:rsidP="00747954">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52D7B">
              <w:rPr>
                <w:rFonts w:asciiTheme="minorHAnsi" w:hAnsiTheme="minorHAnsi" w:cstheme="minorHAnsi"/>
                <w:b/>
                <w:sz w:val="20"/>
                <w:szCs w:val="20"/>
              </w:rPr>
              <w:t>93</w:t>
            </w:r>
          </w:p>
        </w:tc>
        <w:tc>
          <w:tcPr>
            <w:tcW w:w="993" w:type="dxa"/>
            <w:shd w:val="clear" w:color="auto" w:fill="FFFFFF" w:themeFill="background1"/>
            <w:vAlign w:val="center"/>
          </w:tcPr>
          <w:p w14:paraId="7DA45227" w14:textId="77777777" w:rsidR="005A0411" w:rsidRPr="00252D7B" w:rsidRDefault="005A0411" w:rsidP="00747954">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52D7B">
              <w:rPr>
                <w:rFonts w:asciiTheme="minorHAnsi" w:hAnsiTheme="minorHAnsi" w:cstheme="minorHAnsi"/>
                <w:sz w:val="20"/>
                <w:szCs w:val="20"/>
              </w:rPr>
              <w:t>*</w:t>
            </w:r>
          </w:p>
        </w:tc>
        <w:tc>
          <w:tcPr>
            <w:tcW w:w="1134" w:type="dxa"/>
            <w:shd w:val="clear" w:color="auto" w:fill="FFFFFF" w:themeFill="background1"/>
            <w:vAlign w:val="center"/>
          </w:tcPr>
          <w:p w14:paraId="23F09449" w14:textId="77777777" w:rsidR="005A0411" w:rsidRPr="00252D7B" w:rsidRDefault="005A0411" w:rsidP="00747954">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52D7B">
              <w:rPr>
                <w:rFonts w:asciiTheme="minorHAnsi" w:hAnsiTheme="minorHAnsi" w:cstheme="minorHAnsi"/>
                <w:b/>
                <w:sz w:val="20"/>
                <w:szCs w:val="20"/>
              </w:rPr>
              <w:t>119</w:t>
            </w:r>
          </w:p>
        </w:tc>
        <w:tc>
          <w:tcPr>
            <w:tcW w:w="1131" w:type="dxa"/>
            <w:shd w:val="clear" w:color="auto" w:fill="FFFFFF" w:themeFill="background1"/>
            <w:vAlign w:val="center"/>
          </w:tcPr>
          <w:p w14:paraId="5F758092" w14:textId="77777777" w:rsidR="005A0411" w:rsidRPr="00252D7B" w:rsidRDefault="005A0411" w:rsidP="00747954">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52D7B">
              <w:rPr>
                <w:rFonts w:asciiTheme="minorHAnsi" w:hAnsiTheme="minorHAnsi" w:cstheme="minorHAnsi"/>
                <w:sz w:val="20"/>
                <w:szCs w:val="20"/>
              </w:rPr>
              <w:t>*</w:t>
            </w:r>
          </w:p>
        </w:tc>
        <w:tc>
          <w:tcPr>
            <w:tcW w:w="993" w:type="dxa"/>
            <w:shd w:val="clear" w:color="auto" w:fill="FFFFFF" w:themeFill="background1"/>
            <w:vAlign w:val="center"/>
          </w:tcPr>
          <w:p w14:paraId="39D248E4" w14:textId="77777777" w:rsidR="005A0411" w:rsidRPr="00252D7B" w:rsidRDefault="005A0411" w:rsidP="00747954">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0"/>
                <w:szCs w:val="20"/>
              </w:rPr>
            </w:pPr>
            <w:r w:rsidRPr="00252D7B">
              <w:rPr>
                <w:rFonts w:asciiTheme="minorHAnsi" w:hAnsiTheme="minorHAnsi" w:cstheme="minorHAnsi"/>
                <w:sz w:val="20"/>
                <w:szCs w:val="20"/>
              </w:rPr>
              <w:t>72</w:t>
            </w:r>
          </w:p>
        </w:tc>
        <w:tc>
          <w:tcPr>
            <w:tcW w:w="1005" w:type="dxa"/>
            <w:tcBorders>
              <w:right w:val="nil"/>
            </w:tcBorders>
            <w:shd w:val="clear" w:color="auto" w:fill="FFFFFF" w:themeFill="background1"/>
            <w:vAlign w:val="center"/>
          </w:tcPr>
          <w:p w14:paraId="5343233A" w14:textId="77777777" w:rsidR="005A0411" w:rsidRPr="00252D7B" w:rsidRDefault="005A0411" w:rsidP="00747954">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52D7B">
              <w:rPr>
                <w:rFonts w:asciiTheme="minorHAnsi" w:hAnsiTheme="minorHAnsi" w:cstheme="minorHAnsi"/>
                <w:sz w:val="20"/>
                <w:szCs w:val="20"/>
              </w:rPr>
              <w:t>*</w:t>
            </w:r>
          </w:p>
        </w:tc>
      </w:tr>
      <w:tr w:rsidR="00101738" w:rsidRPr="00252D7B" w14:paraId="542F9A75" w14:textId="77777777" w:rsidTr="00185B1F">
        <w:trPr>
          <w:cnfStyle w:val="010000000000" w:firstRow="0" w:lastRow="1"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139" w:type="dxa"/>
            <w:tcBorders>
              <w:left w:val="nil"/>
            </w:tcBorders>
            <w:shd w:val="clear" w:color="auto" w:fill="D9D9D9" w:themeFill="background1" w:themeFillShade="D9"/>
            <w:vAlign w:val="center"/>
          </w:tcPr>
          <w:p w14:paraId="3179BFEA" w14:textId="77777777" w:rsidR="005A0411" w:rsidRPr="00252D7B" w:rsidRDefault="005A0411" w:rsidP="00E03684">
            <w:pPr>
              <w:spacing w:after="120"/>
              <w:rPr>
                <w:rFonts w:asciiTheme="minorHAnsi" w:hAnsiTheme="minorHAnsi" w:cstheme="minorHAnsi"/>
                <w:sz w:val="20"/>
                <w:szCs w:val="20"/>
              </w:rPr>
            </w:pPr>
            <w:r w:rsidRPr="00252D7B">
              <w:rPr>
                <w:rFonts w:asciiTheme="minorHAnsi" w:hAnsiTheme="minorHAnsi" w:cstheme="minorHAnsi"/>
                <w:sz w:val="20"/>
                <w:szCs w:val="20"/>
              </w:rPr>
              <w:t>TOTAL</w:t>
            </w:r>
          </w:p>
        </w:tc>
        <w:tc>
          <w:tcPr>
            <w:tcW w:w="1133" w:type="dxa"/>
            <w:shd w:val="clear" w:color="auto" w:fill="D9D9D9" w:themeFill="background1" w:themeFillShade="D9"/>
            <w:vAlign w:val="center"/>
          </w:tcPr>
          <w:p w14:paraId="26C43965" w14:textId="77777777" w:rsidR="005A0411" w:rsidRPr="00252D7B" w:rsidRDefault="005A0411" w:rsidP="00747954">
            <w:pPr>
              <w:spacing w:after="12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52D7B">
              <w:rPr>
                <w:rFonts w:asciiTheme="minorHAnsi" w:hAnsiTheme="minorHAnsi" w:cstheme="minorHAnsi"/>
                <w:sz w:val="20"/>
                <w:szCs w:val="20"/>
              </w:rPr>
              <w:t>244</w:t>
            </w:r>
          </w:p>
        </w:tc>
        <w:tc>
          <w:tcPr>
            <w:tcW w:w="991" w:type="dxa"/>
            <w:shd w:val="clear" w:color="auto" w:fill="D9D9D9" w:themeFill="background1" w:themeFillShade="D9"/>
            <w:vAlign w:val="center"/>
          </w:tcPr>
          <w:p w14:paraId="50DA92CF" w14:textId="77777777" w:rsidR="005A0411" w:rsidRPr="00252D7B" w:rsidRDefault="005A0411" w:rsidP="00747954">
            <w:pPr>
              <w:spacing w:after="12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52D7B">
              <w:rPr>
                <w:rFonts w:asciiTheme="minorHAnsi" w:hAnsiTheme="minorHAnsi" w:cstheme="minorHAnsi"/>
                <w:sz w:val="20"/>
                <w:szCs w:val="20"/>
              </w:rPr>
              <w:t>-</w:t>
            </w:r>
          </w:p>
        </w:tc>
        <w:tc>
          <w:tcPr>
            <w:tcW w:w="1134" w:type="dxa"/>
            <w:shd w:val="clear" w:color="auto" w:fill="D9D9D9" w:themeFill="background1" w:themeFillShade="D9"/>
            <w:vAlign w:val="center"/>
          </w:tcPr>
          <w:p w14:paraId="6C3EF519" w14:textId="77777777" w:rsidR="005A0411" w:rsidRPr="00252D7B" w:rsidRDefault="005A0411" w:rsidP="00747954">
            <w:pPr>
              <w:spacing w:after="12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52D7B">
              <w:rPr>
                <w:rFonts w:asciiTheme="minorHAnsi" w:hAnsiTheme="minorHAnsi" w:cstheme="minorHAnsi"/>
                <w:sz w:val="20"/>
                <w:szCs w:val="20"/>
              </w:rPr>
              <w:t>304</w:t>
            </w:r>
          </w:p>
        </w:tc>
        <w:tc>
          <w:tcPr>
            <w:tcW w:w="993" w:type="dxa"/>
            <w:shd w:val="clear" w:color="auto" w:fill="D9D9D9" w:themeFill="background1" w:themeFillShade="D9"/>
            <w:vAlign w:val="center"/>
          </w:tcPr>
          <w:p w14:paraId="464DC17C" w14:textId="77777777" w:rsidR="005A0411" w:rsidRPr="00252D7B" w:rsidRDefault="005A0411" w:rsidP="00747954">
            <w:pPr>
              <w:spacing w:after="12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52D7B">
              <w:rPr>
                <w:rFonts w:asciiTheme="minorHAnsi" w:hAnsiTheme="minorHAnsi" w:cstheme="minorHAnsi"/>
                <w:sz w:val="20"/>
                <w:szCs w:val="20"/>
              </w:rPr>
              <w:t>-</w:t>
            </w:r>
          </w:p>
        </w:tc>
        <w:tc>
          <w:tcPr>
            <w:tcW w:w="1134" w:type="dxa"/>
            <w:shd w:val="clear" w:color="auto" w:fill="D9D9D9" w:themeFill="background1" w:themeFillShade="D9"/>
            <w:vAlign w:val="center"/>
          </w:tcPr>
          <w:p w14:paraId="30048033" w14:textId="77777777" w:rsidR="005A0411" w:rsidRPr="00252D7B" w:rsidRDefault="005A0411" w:rsidP="00747954">
            <w:pPr>
              <w:spacing w:after="12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52D7B">
              <w:rPr>
                <w:rFonts w:asciiTheme="minorHAnsi" w:hAnsiTheme="minorHAnsi" w:cstheme="minorHAnsi"/>
                <w:sz w:val="20"/>
                <w:szCs w:val="20"/>
              </w:rPr>
              <w:t>365</w:t>
            </w:r>
          </w:p>
        </w:tc>
        <w:tc>
          <w:tcPr>
            <w:tcW w:w="1131" w:type="dxa"/>
            <w:shd w:val="clear" w:color="auto" w:fill="D9D9D9" w:themeFill="background1" w:themeFillShade="D9"/>
            <w:vAlign w:val="center"/>
          </w:tcPr>
          <w:p w14:paraId="37B6E950" w14:textId="77777777" w:rsidR="005A0411" w:rsidRPr="00252D7B" w:rsidRDefault="005A0411" w:rsidP="00747954">
            <w:pPr>
              <w:spacing w:after="12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252D7B">
              <w:rPr>
                <w:rFonts w:asciiTheme="minorHAnsi" w:hAnsiTheme="minorHAnsi" w:cstheme="minorHAnsi"/>
                <w:sz w:val="20"/>
                <w:szCs w:val="20"/>
              </w:rPr>
              <w:t>-</w:t>
            </w:r>
          </w:p>
        </w:tc>
        <w:tc>
          <w:tcPr>
            <w:tcW w:w="993" w:type="dxa"/>
            <w:shd w:val="clear" w:color="auto" w:fill="D9D9D9" w:themeFill="background1" w:themeFillShade="D9"/>
            <w:vAlign w:val="center"/>
          </w:tcPr>
          <w:p w14:paraId="7F217228" w14:textId="77777777" w:rsidR="005A0411" w:rsidRPr="00252D7B" w:rsidRDefault="005A0411" w:rsidP="00747954">
            <w:pPr>
              <w:spacing w:after="12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color w:val="FF0000"/>
                <w:sz w:val="20"/>
                <w:szCs w:val="20"/>
              </w:rPr>
            </w:pPr>
            <w:r w:rsidRPr="00252D7B">
              <w:rPr>
                <w:rFonts w:asciiTheme="minorHAnsi" w:hAnsiTheme="minorHAnsi" w:cstheme="minorHAnsi"/>
                <w:b w:val="0"/>
                <w:bCs w:val="0"/>
                <w:sz w:val="20"/>
                <w:szCs w:val="20"/>
              </w:rPr>
              <w:t>174</w:t>
            </w:r>
          </w:p>
        </w:tc>
        <w:tc>
          <w:tcPr>
            <w:tcW w:w="1005" w:type="dxa"/>
            <w:tcBorders>
              <w:right w:val="nil"/>
            </w:tcBorders>
            <w:shd w:val="clear" w:color="auto" w:fill="D9D9D9" w:themeFill="background1" w:themeFillShade="D9"/>
            <w:vAlign w:val="center"/>
          </w:tcPr>
          <w:p w14:paraId="41256F67" w14:textId="77777777" w:rsidR="005A0411" w:rsidRPr="00252D7B" w:rsidRDefault="005A0411" w:rsidP="00747954">
            <w:pPr>
              <w:spacing w:after="12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52D7B">
              <w:rPr>
                <w:rFonts w:asciiTheme="minorHAnsi" w:hAnsiTheme="minorHAnsi" w:cstheme="minorHAnsi"/>
                <w:sz w:val="20"/>
                <w:szCs w:val="20"/>
              </w:rPr>
              <w:t>-</w:t>
            </w:r>
          </w:p>
        </w:tc>
      </w:tr>
    </w:tbl>
    <w:p w14:paraId="7C4D6394" w14:textId="77777777" w:rsidR="00454C96" w:rsidRPr="00252D7B" w:rsidRDefault="00454C96" w:rsidP="00454C96">
      <w:pPr>
        <w:jc w:val="center"/>
        <w:rPr>
          <w:rFonts w:asciiTheme="minorHAnsi" w:eastAsia="Times New Roman" w:hAnsiTheme="minorHAnsi" w:cstheme="minorHAnsi"/>
          <w:i/>
          <w:iCs/>
          <w:color w:val="1F3864" w:themeColor="accent1" w:themeShade="80"/>
          <w:sz w:val="20"/>
          <w:szCs w:val="20"/>
          <w:lang w:eastAsia="pt-BR"/>
        </w:rPr>
      </w:pPr>
      <w:r w:rsidRPr="00252D7B">
        <w:rPr>
          <w:rFonts w:asciiTheme="minorHAnsi" w:eastAsia="Times New Roman" w:hAnsiTheme="minorHAnsi" w:cstheme="minorHAnsi"/>
          <w:i/>
          <w:iCs/>
          <w:color w:val="1F3864" w:themeColor="accent1" w:themeShade="80"/>
          <w:sz w:val="20"/>
          <w:szCs w:val="20"/>
          <w:lang w:eastAsia="pt-BR"/>
        </w:rPr>
        <w:t>Fonte: Painel Resolveu e Painel SIC da CGU.</w:t>
      </w:r>
    </w:p>
    <w:p w14:paraId="1D3FD478" w14:textId="3FF227AA" w:rsidR="006D2450" w:rsidRPr="00252D7B" w:rsidRDefault="00454C96" w:rsidP="00880438">
      <w:pPr>
        <w:ind w:right="-45"/>
        <w:jc w:val="center"/>
        <w:rPr>
          <w:rStyle w:val="jsgrdq"/>
          <w:rFonts w:asciiTheme="minorHAnsi" w:hAnsiTheme="minorHAnsi" w:cstheme="minorHAnsi"/>
        </w:rPr>
      </w:pPr>
      <w:r w:rsidRPr="00252D7B">
        <w:rPr>
          <w:rFonts w:asciiTheme="minorHAnsi" w:eastAsia="Times New Roman" w:hAnsiTheme="minorHAnsi" w:cstheme="minorHAnsi"/>
          <w:i/>
          <w:iCs/>
          <w:color w:val="1F3864" w:themeColor="accent1" w:themeShade="80"/>
          <w:sz w:val="20"/>
          <w:szCs w:val="20"/>
          <w:lang w:eastAsia="pt-BR"/>
        </w:rPr>
        <w:t>* Dados não informados no Painel Resolveu (dados do SisOuv).</w:t>
      </w:r>
    </w:p>
    <w:p w14:paraId="41914816" w14:textId="77777777" w:rsidR="00880438" w:rsidRPr="00252D7B" w:rsidRDefault="00880438" w:rsidP="006547C9">
      <w:pPr>
        <w:ind w:right="-45"/>
        <w:jc w:val="both"/>
        <w:rPr>
          <w:rFonts w:asciiTheme="minorHAnsi" w:hAnsiTheme="minorHAnsi" w:cstheme="minorHAnsi"/>
          <w:sz w:val="20"/>
          <w:szCs w:val="20"/>
        </w:rPr>
      </w:pPr>
      <w:bookmarkStart w:id="523" w:name="_Toc96706003"/>
      <w:bookmarkStart w:id="524" w:name="_Toc97189145"/>
    </w:p>
    <w:p w14:paraId="3D3D3DBA" w14:textId="613C0ADB" w:rsidR="005A0411" w:rsidRPr="00252D7B" w:rsidRDefault="005A0411" w:rsidP="006D2450">
      <w:pPr>
        <w:pStyle w:val="Legenda"/>
        <w:spacing w:after="0"/>
        <w:jc w:val="center"/>
        <w:rPr>
          <w:rFonts w:asciiTheme="minorHAnsi" w:hAnsiTheme="minorHAnsi" w:cstheme="minorHAnsi"/>
          <w:sz w:val="20"/>
          <w:szCs w:val="20"/>
        </w:rPr>
      </w:pPr>
      <w:bookmarkStart w:id="525" w:name="_Toc103680784"/>
      <w:r w:rsidRPr="00252D7B">
        <w:rPr>
          <w:rFonts w:asciiTheme="minorHAnsi" w:hAnsiTheme="minorHAnsi" w:cstheme="minorHAnsi"/>
          <w:sz w:val="20"/>
          <w:szCs w:val="20"/>
        </w:rPr>
        <w:t xml:space="preserve">Gráfico </w:t>
      </w:r>
      <w:r w:rsidR="004328AC" w:rsidRPr="00252D7B">
        <w:rPr>
          <w:rFonts w:asciiTheme="minorHAnsi" w:hAnsiTheme="minorHAnsi" w:cstheme="minorHAnsi"/>
          <w:sz w:val="20"/>
          <w:szCs w:val="20"/>
        </w:rPr>
        <w:fldChar w:fldCharType="begin"/>
      </w:r>
      <w:r w:rsidR="004328AC" w:rsidRPr="00252D7B">
        <w:rPr>
          <w:rFonts w:asciiTheme="minorHAnsi" w:hAnsiTheme="minorHAnsi" w:cstheme="minorHAnsi"/>
          <w:sz w:val="20"/>
          <w:szCs w:val="20"/>
        </w:rPr>
        <w:instrText xml:space="preserve"> SEQ Gráfico \* ARABIC </w:instrText>
      </w:r>
      <w:r w:rsidR="004328AC"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19</w:t>
      </w:r>
      <w:r w:rsidR="004328AC" w:rsidRPr="00252D7B">
        <w:rPr>
          <w:rFonts w:asciiTheme="minorHAnsi" w:hAnsiTheme="minorHAnsi" w:cstheme="minorHAnsi"/>
          <w:sz w:val="20"/>
          <w:szCs w:val="20"/>
        </w:rPr>
        <w:fldChar w:fldCharType="end"/>
      </w:r>
      <w:r w:rsidRPr="00252D7B">
        <w:rPr>
          <w:rFonts w:asciiTheme="minorHAnsi" w:hAnsiTheme="minorHAnsi" w:cstheme="minorHAnsi"/>
          <w:sz w:val="20"/>
          <w:szCs w:val="20"/>
        </w:rPr>
        <w:t xml:space="preserve"> – Evolução mês a mês da quantidade de manifestações de SIC e de Ouvidoria </w:t>
      </w:r>
      <w:r w:rsidRPr="00252D7B">
        <w:rPr>
          <w:rFonts w:asciiTheme="minorHAnsi" w:hAnsiTheme="minorHAnsi" w:cstheme="minorHAnsi"/>
          <w:sz w:val="20"/>
          <w:szCs w:val="20"/>
        </w:rPr>
        <w:br/>
        <w:t xml:space="preserve">da </w:t>
      </w:r>
      <w:r w:rsidR="00610C91" w:rsidRPr="00252D7B">
        <w:rPr>
          <w:rFonts w:asciiTheme="minorHAnsi" w:hAnsiTheme="minorHAnsi" w:cstheme="minorHAnsi"/>
          <w:sz w:val="20"/>
          <w:szCs w:val="20"/>
        </w:rPr>
        <w:t>Valec</w:t>
      </w:r>
      <w:r w:rsidRPr="00252D7B">
        <w:rPr>
          <w:rFonts w:asciiTheme="minorHAnsi" w:hAnsiTheme="minorHAnsi" w:cstheme="minorHAnsi"/>
          <w:sz w:val="20"/>
          <w:szCs w:val="20"/>
        </w:rPr>
        <w:t xml:space="preserve"> em 2021.</w:t>
      </w:r>
      <w:bookmarkEnd w:id="523"/>
      <w:bookmarkEnd w:id="524"/>
      <w:bookmarkEnd w:id="525"/>
    </w:p>
    <w:p w14:paraId="362EC040" w14:textId="158CE91F" w:rsidR="006D2450" w:rsidRPr="00252D7B" w:rsidRDefault="006D2450" w:rsidP="006D2450">
      <w:pPr>
        <w:jc w:val="center"/>
        <w:rPr>
          <w:rFonts w:asciiTheme="minorHAnsi" w:hAnsiTheme="minorHAnsi" w:cstheme="minorHAnsi"/>
        </w:rPr>
      </w:pPr>
      <w:r w:rsidRPr="00252D7B">
        <w:rPr>
          <w:rFonts w:asciiTheme="minorHAnsi" w:hAnsiTheme="minorHAnsi" w:cstheme="minorHAnsi"/>
          <w:noProof/>
        </w:rPr>
        <w:drawing>
          <wp:inline distT="0" distB="0" distL="0" distR="0" wp14:anchorId="12F9AD7B" wp14:editId="1B7B58B6">
            <wp:extent cx="3825461" cy="2235200"/>
            <wp:effectExtent l="0" t="0" r="381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99842" cy="2278661"/>
                    </a:xfrm>
                    <a:prstGeom prst="rect">
                      <a:avLst/>
                    </a:prstGeom>
                    <a:noFill/>
                  </pic:spPr>
                </pic:pic>
              </a:graphicData>
            </a:graphic>
          </wp:inline>
        </w:drawing>
      </w:r>
    </w:p>
    <w:p w14:paraId="6128FFF6" w14:textId="77777777" w:rsidR="005A0411" w:rsidRPr="00252D7B" w:rsidRDefault="005A0411" w:rsidP="005A0411">
      <w:pPr>
        <w:pStyle w:val="Ttulo4"/>
        <w:spacing w:before="120"/>
        <w:rPr>
          <w:rFonts w:asciiTheme="minorHAnsi" w:hAnsiTheme="minorHAnsi" w:cstheme="minorHAnsi"/>
        </w:rPr>
      </w:pPr>
      <w:bookmarkStart w:id="526" w:name="_Toc103680608"/>
      <w:r w:rsidRPr="00252D7B">
        <w:rPr>
          <w:rFonts w:asciiTheme="minorHAnsi" w:hAnsiTheme="minorHAnsi" w:cstheme="minorHAnsi"/>
        </w:rPr>
        <w:lastRenderedPageBreak/>
        <w:t>Diminuição do tempo de resposta e ranking da CGU</w:t>
      </w:r>
      <w:bookmarkEnd w:id="526"/>
    </w:p>
    <w:p w14:paraId="52F3F19A" w14:textId="77777777" w:rsidR="006D2450" w:rsidRPr="00252D7B" w:rsidRDefault="006D2450" w:rsidP="006D2450">
      <w:pPr>
        <w:ind w:right="-45"/>
        <w:jc w:val="both"/>
        <w:rPr>
          <w:rStyle w:val="jsgrdq"/>
          <w:rFonts w:asciiTheme="minorHAnsi" w:hAnsiTheme="minorHAnsi" w:cstheme="minorHAnsi"/>
        </w:rPr>
      </w:pPr>
    </w:p>
    <w:p w14:paraId="7CF066A4" w14:textId="00DEC86B" w:rsidR="005A0411" w:rsidRPr="00252D7B" w:rsidRDefault="005A0411" w:rsidP="006D2450">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Em 2021, houve a redução do tempo médio de atendimento em Ouvidoria e no SIC</w:t>
      </w:r>
      <w:r w:rsidR="00607E4F" w:rsidRPr="00252D7B">
        <w:rPr>
          <w:rFonts w:asciiTheme="minorHAnsi" w:hAnsiTheme="minorHAnsi" w:cstheme="minorHAnsi"/>
          <w:sz w:val="24"/>
          <w:szCs w:val="24"/>
        </w:rPr>
        <w:t xml:space="preserve"> (</w:t>
      </w:r>
      <w:r w:rsidR="00607E4F" w:rsidRPr="00252D7B">
        <w:rPr>
          <w:rFonts w:asciiTheme="minorHAnsi" w:hAnsiTheme="minorHAnsi" w:cstheme="minorHAnsi"/>
          <w:sz w:val="24"/>
          <w:szCs w:val="24"/>
        </w:rPr>
        <w:fldChar w:fldCharType="begin"/>
      </w:r>
      <w:r w:rsidR="00607E4F" w:rsidRPr="00252D7B">
        <w:rPr>
          <w:rFonts w:asciiTheme="minorHAnsi" w:hAnsiTheme="minorHAnsi" w:cstheme="minorHAnsi"/>
          <w:sz w:val="24"/>
          <w:szCs w:val="24"/>
        </w:rPr>
        <w:instrText xml:space="preserve"> REF _Ref97569602 \h  \* MERGEFORMAT </w:instrText>
      </w:r>
      <w:r w:rsidR="00607E4F" w:rsidRPr="00252D7B">
        <w:rPr>
          <w:rFonts w:asciiTheme="minorHAnsi" w:hAnsiTheme="minorHAnsi" w:cstheme="minorHAnsi"/>
          <w:sz w:val="24"/>
          <w:szCs w:val="24"/>
        </w:rPr>
      </w:r>
      <w:r w:rsidR="00607E4F" w:rsidRPr="00252D7B">
        <w:rPr>
          <w:rFonts w:asciiTheme="minorHAnsi" w:hAnsiTheme="minorHAnsi" w:cstheme="minorHAnsi"/>
          <w:sz w:val="24"/>
          <w:szCs w:val="24"/>
        </w:rPr>
        <w:fldChar w:fldCharType="separate"/>
      </w:r>
      <w:r w:rsidR="00C12888" w:rsidRPr="00C12888">
        <w:rPr>
          <w:rFonts w:asciiTheme="minorHAnsi" w:hAnsiTheme="minorHAnsi" w:cstheme="minorHAnsi"/>
          <w:sz w:val="24"/>
          <w:szCs w:val="24"/>
        </w:rPr>
        <w:t>Tabela 26</w:t>
      </w:r>
      <w:r w:rsidR="00607E4F" w:rsidRPr="00252D7B">
        <w:rPr>
          <w:rFonts w:asciiTheme="minorHAnsi" w:hAnsiTheme="minorHAnsi" w:cstheme="minorHAnsi"/>
          <w:sz w:val="24"/>
          <w:szCs w:val="24"/>
        </w:rPr>
        <w:fldChar w:fldCharType="end"/>
      </w:r>
      <w:r w:rsidR="00607E4F" w:rsidRPr="00252D7B">
        <w:rPr>
          <w:rFonts w:asciiTheme="minorHAnsi" w:hAnsiTheme="minorHAnsi" w:cstheme="minorHAnsi"/>
          <w:sz w:val="24"/>
          <w:szCs w:val="24"/>
        </w:rPr>
        <w:t>).</w:t>
      </w:r>
    </w:p>
    <w:p w14:paraId="2D9E9F76" w14:textId="77777777" w:rsidR="005A0411" w:rsidRPr="00252D7B" w:rsidRDefault="005A0411" w:rsidP="006D2450">
      <w:pPr>
        <w:ind w:right="-45"/>
        <w:jc w:val="both"/>
        <w:rPr>
          <w:rStyle w:val="jsgrdq"/>
          <w:rFonts w:asciiTheme="minorHAnsi" w:hAnsiTheme="minorHAnsi" w:cstheme="minorHAnsi"/>
        </w:rPr>
      </w:pPr>
    </w:p>
    <w:p w14:paraId="39582B57" w14:textId="36297B92" w:rsidR="005A0411" w:rsidRPr="00252D7B" w:rsidRDefault="005A0411" w:rsidP="000E3545">
      <w:pPr>
        <w:pStyle w:val="Legenda"/>
        <w:keepNext/>
        <w:jc w:val="center"/>
        <w:rPr>
          <w:rFonts w:asciiTheme="minorHAnsi" w:hAnsiTheme="minorHAnsi" w:cstheme="minorHAnsi"/>
          <w:sz w:val="20"/>
          <w:szCs w:val="20"/>
        </w:rPr>
      </w:pPr>
      <w:bookmarkStart w:id="527" w:name="_Ref97569602"/>
      <w:bookmarkStart w:id="528" w:name="_Toc96706064"/>
      <w:bookmarkStart w:id="529" w:name="_Toc103680688"/>
      <w:r w:rsidRPr="00252D7B">
        <w:rPr>
          <w:rFonts w:asciiTheme="minorHAnsi" w:hAnsiTheme="minorHAnsi" w:cstheme="minorHAnsi"/>
          <w:sz w:val="20"/>
          <w:szCs w:val="20"/>
        </w:rPr>
        <w:t xml:space="preserve">Tabela </w:t>
      </w:r>
      <w:r w:rsidR="00FA416F" w:rsidRPr="00252D7B">
        <w:rPr>
          <w:rFonts w:asciiTheme="minorHAnsi" w:hAnsiTheme="minorHAnsi" w:cstheme="minorHAnsi"/>
          <w:sz w:val="20"/>
          <w:szCs w:val="20"/>
        </w:rPr>
        <w:fldChar w:fldCharType="begin"/>
      </w:r>
      <w:r w:rsidR="00FA416F" w:rsidRPr="00252D7B">
        <w:rPr>
          <w:rFonts w:asciiTheme="minorHAnsi" w:hAnsiTheme="minorHAnsi" w:cstheme="minorHAnsi"/>
          <w:sz w:val="20"/>
          <w:szCs w:val="20"/>
        </w:rPr>
        <w:instrText xml:space="preserve"> SEQ Tabela \* ARABIC </w:instrText>
      </w:r>
      <w:r w:rsidR="00FA416F"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26</w:t>
      </w:r>
      <w:r w:rsidR="00FA416F" w:rsidRPr="00252D7B">
        <w:rPr>
          <w:rFonts w:asciiTheme="minorHAnsi" w:hAnsiTheme="minorHAnsi" w:cstheme="minorHAnsi"/>
          <w:sz w:val="20"/>
          <w:szCs w:val="20"/>
        </w:rPr>
        <w:fldChar w:fldCharType="end"/>
      </w:r>
      <w:bookmarkEnd w:id="527"/>
      <w:r w:rsidRPr="00252D7B">
        <w:rPr>
          <w:rFonts w:asciiTheme="minorHAnsi" w:hAnsiTheme="minorHAnsi" w:cstheme="minorHAnsi"/>
          <w:sz w:val="20"/>
          <w:szCs w:val="20"/>
        </w:rPr>
        <w:t xml:space="preserve"> </w:t>
      </w:r>
      <w:r w:rsidR="0019050A" w:rsidRPr="00252D7B">
        <w:rPr>
          <w:rFonts w:asciiTheme="minorHAnsi" w:hAnsiTheme="minorHAnsi" w:cstheme="minorHAnsi"/>
          <w:sz w:val="20"/>
          <w:szCs w:val="20"/>
        </w:rPr>
        <w:t>–</w:t>
      </w:r>
      <w:r w:rsidRPr="00252D7B">
        <w:rPr>
          <w:rFonts w:asciiTheme="minorHAnsi" w:hAnsiTheme="minorHAnsi" w:cstheme="minorHAnsi"/>
          <w:sz w:val="20"/>
          <w:szCs w:val="20"/>
        </w:rPr>
        <w:t xml:space="preserve"> Variação do tempo de resposta nas manifestações de Ouvidoria </w:t>
      </w:r>
      <w:r w:rsidRPr="00252D7B">
        <w:rPr>
          <w:rFonts w:asciiTheme="minorHAnsi" w:hAnsiTheme="minorHAnsi" w:cstheme="minorHAnsi"/>
          <w:sz w:val="20"/>
          <w:szCs w:val="20"/>
        </w:rPr>
        <w:br/>
        <w:t xml:space="preserve">da </w:t>
      </w:r>
      <w:r w:rsidR="00610C91" w:rsidRPr="00252D7B">
        <w:rPr>
          <w:rFonts w:asciiTheme="minorHAnsi" w:hAnsiTheme="minorHAnsi" w:cstheme="minorHAnsi"/>
          <w:sz w:val="20"/>
          <w:szCs w:val="20"/>
        </w:rPr>
        <w:t>Valec</w:t>
      </w:r>
      <w:r w:rsidRPr="00252D7B">
        <w:rPr>
          <w:rFonts w:asciiTheme="minorHAnsi" w:hAnsiTheme="minorHAnsi" w:cstheme="minorHAnsi"/>
          <w:sz w:val="20"/>
          <w:szCs w:val="20"/>
        </w:rPr>
        <w:t xml:space="preserve"> entre os anos de 2020 e 2021.</w:t>
      </w:r>
      <w:bookmarkEnd w:id="528"/>
      <w:bookmarkEnd w:id="529"/>
    </w:p>
    <w:tbl>
      <w:tblPr>
        <w:tblStyle w:val="SimplesTabela1"/>
        <w:tblW w:w="0" w:type="auto"/>
        <w:jc w:val="center"/>
        <w:tblInd w:w="0" w:type="dxa"/>
        <w:tblLook w:val="04A0" w:firstRow="1" w:lastRow="0" w:firstColumn="1" w:lastColumn="0" w:noHBand="0" w:noVBand="1"/>
      </w:tblPr>
      <w:tblGrid>
        <w:gridCol w:w="1985"/>
        <w:gridCol w:w="1322"/>
        <w:gridCol w:w="1318"/>
        <w:gridCol w:w="1750"/>
        <w:gridCol w:w="1449"/>
      </w:tblGrid>
      <w:tr w:rsidR="005A0411" w:rsidRPr="00252D7B" w14:paraId="60FA3A32" w14:textId="77777777" w:rsidTr="00185B1F">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il"/>
            </w:tcBorders>
            <w:shd w:val="clear" w:color="auto" w:fill="E7E6E6" w:themeFill="background2"/>
          </w:tcPr>
          <w:p w14:paraId="0683684C" w14:textId="77777777" w:rsidR="005A0411" w:rsidRPr="00252D7B" w:rsidRDefault="005A0411" w:rsidP="00E03684">
            <w:pPr>
              <w:spacing w:after="120"/>
              <w:rPr>
                <w:rFonts w:asciiTheme="minorHAnsi" w:hAnsiTheme="minorHAnsi" w:cstheme="minorHAnsi"/>
                <w:sz w:val="20"/>
                <w:szCs w:val="20"/>
              </w:rPr>
            </w:pPr>
          </w:p>
        </w:tc>
        <w:tc>
          <w:tcPr>
            <w:tcW w:w="1322" w:type="dxa"/>
            <w:shd w:val="clear" w:color="auto" w:fill="E7E6E6" w:themeFill="background2"/>
          </w:tcPr>
          <w:p w14:paraId="7A44EE38" w14:textId="77777777" w:rsidR="005A0411" w:rsidRPr="00252D7B" w:rsidRDefault="005A0411" w:rsidP="00673517">
            <w:pPr>
              <w:spacing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52D7B">
              <w:rPr>
                <w:rFonts w:asciiTheme="minorHAnsi" w:hAnsiTheme="minorHAnsi" w:cstheme="minorHAnsi"/>
                <w:sz w:val="20"/>
                <w:szCs w:val="20"/>
              </w:rPr>
              <w:t xml:space="preserve">2020 </w:t>
            </w:r>
            <w:r w:rsidRPr="00252D7B">
              <w:rPr>
                <w:rFonts w:asciiTheme="minorHAnsi" w:hAnsiTheme="minorHAnsi" w:cstheme="minorHAnsi"/>
                <w:sz w:val="20"/>
                <w:szCs w:val="20"/>
              </w:rPr>
              <w:br/>
              <w:t>(dias)</w:t>
            </w:r>
          </w:p>
        </w:tc>
        <w:tc>
          <w:tcPr>
            <w:tcW w:w="1318" w:type="dxa"/>
            <w:shd w:val="clear" w:color="auto" w:fill="E7E6E6" w:themeFill="background2"/>
          </w:tcPr>
          <w:p w14:paraId="4173C68A" w14:textId="77777777" w:rsidR="005A0411" w:rsidRPr="00252D7B" w:rsidRDefault="005A0411" w:rsidP="00673517">
            <w:pPr>
              <w:spacing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52D7B">
              <w:rPr>
                <w:rFonts w:asciiTheme="minorHAnsi" w:hAnsiTheme="minorHAnsi" w:cstheme="minorHAnsi"/>
                <w:sz w:val="20"/>
                <w:szCs w:val="20"/>
              </w:rPr>
              <w:t xml:space="preserve">2021 </w:t>
            </w:r>
            <w:r w:rsidRPr="00252D7B">
              <w:rPr>
                <w:rFonts w:asciiTheme="minorHAnsi" w:hAnsiTheme="minorHAnsi" w:cstheme="minorHAnsi"/>
                <w:sz w:val="20"/>
                <w:szCs w:val="20"/>
              </w:rPr>
              <w:br/>
              <w:t>(dias)</w:t>
            </w:r>
          </w:p>
        </w:tc>
        <w:tc>
          <w:tcPr>
            <w:tcW w:w="1750" w:type="dxa"/>
            <w:shd w:val="clear" w:color="auto" w:fill="E7E6E6" w:themeFill="background2"/>
          </w:tcPr>
          <w:p w14:paraId="11948110" w14:textId="77777777" w:rsidR="005A0411" w:rsidRPr="00252D7B" w:rsidRDefault="005A0411" w:rsidP="00673517">
            <w:pPr>
              <w:spacing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52D7B">
              <w:rPr>
                <w:rFonts w:asciiTheme="minorHAnsi" w:hAnsiTheme="minorHAnsi" w:cstheme="minorHAnsi"/>
                <w:sz w:val="20"/>
                <w:szCs w:val="20"/>
              </w:rPr>
              <w:t xml:space="preserve">Redução </w:t>
            </w:r>
            <w:r w:rsidRPr="00252D7B">
              <w:rPr>
                <w:rFonts w:asciiTheme="minorHAnsi" w:hAnsiTheme="minorHAnsi" w:cstheme="minorHAnsi"/>
                <w:sz w:val="20"/>
                <w:szCs w:val="20"/>
              </w:rPr>
              <w:br/>
              <w:t>(dias)</w:t>
            </w:r>
          </w:p>
        </w:tc>
        <w:tc>
          <w:tcPr>
            <w:tcW w:w="1449" w:type="dxa"/>
            <w:tcBorders>
              <w:right w:val="nil"/>
            </w:tcBorders>
            <w:shd w:val="clear" w:color="auto" w:fill="E7E6E6" w:themeFill="background2"/>
          </w:tcPr>
          <w:p w14:paraId="09280FFE" w14:textId="77777777" w:rsidR="005A0411" w:rsidRPr="00252D7B" w:rsidRDefault="005A0411" w:rsidP="00673517">
            <w:pPr>
              <w:spacing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52D7B">
              <w:rPr>
                <w:rFonts w:asciiTheme="minorHAnsi" w:hAnsiTheme="minorHAnsi" w:cstheme="minorHAnsi"/>
                <w:sz w:val="20"/>
                <w:szCs w:val="20"/>
              </w:rPr>
              <w:t>Variação (%)</w:t>
            </w:r>
          </w:p>
        </w:tc>
      </w:tr>
      <w:tr w:rsidR="005A0411" w:rsidRPr="00252D7B" w14:paraId="038AF80C" w14:textId="77777777" w:rsidTr="00185B1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il"/>
            </w:tcBorders>
            <w:shd w:val="clear" w:color="auto" w:fill="auto"/>
          </w:tcPr>
          <w:p w14:paraId="7A976F78" w14:textId="7D8F4665" w:rsidR="005A0411" w:rsidRPr="00252D7B" w:rsidRDefault="005A0411" w:rsidP="00E03684">
            <w:pPr>
              <w:spacing w:after="120"/>
              <w:rPr>
                <w:rFonts w:asciiTheme="minorHAnsi" w:hAnsiTheme="minorHAnsi" w:cstheme="minorHAnsi"/>
                <w:b w:val="0"/>
                <w:sz w:val="20"/>
                <w:szCs w:val="20"/>
              </w:rPr>
            </w:pPr>
            <w:r w:rsidRPr="00252D7B">
              <w:rPr>
                <w:rFonts w:asciiTheme="minorHAnsi" w:hAnsiTheme="minorHAnsi" w:cstheme="minorHAnsi"/>
                <w:b w:val="0"/>
                <w:sz w:val="20"/>
                <w:szCs w:val="20"/>
              </w:rPr>
              <w:t>SIC/</w:t>
            </w:r>
            <w:r w:rsidR="00610C91" w:rsidRPr="00252D7B">
              <w:rPr>
                <w:rFonts w:asciiTheme="minorHAnsi" w:hAnsiTheme="minorHAnsi" w:cstheme="minorHAnsi"/>
                <w:b w:val="0"/>
                <w:sz w:val="20"/>
                <w:szCs w:val="20"/>
              </w:rPr>
              <w:t>Valec</w:t>
            </w:r>
          </w:p>
        </w:tc>
        <w:tc>
          <w:tcPr>
            <w:tcW w:w="1322" w:type="dxa"/>
            <w:shd w:val="clear" w:color="auto" w:fill="auto"/>
          </w:tcPr>
          <w:p w14:paraId="1E9C5099" w14:textId="77777777" w:rsidR="005A0411" w:rsidRPr="00252D7B" w:rsidRDefault="005A0411" w:rsidP="0067351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52D7B">
              <w:rPr>
                <w:rFonts w:asciiTheme="minorHAnsi" w:hAnsiTheme="minorHAnsi" w:cstheme="minorHAnsi"/>
                <w:sz w:val="20"/>
                <w:szCs w:val="20"/>
              </w:rPr>
              <w:t>17,00</w:t>
            </w:r>
          </w:p>
        </w:tc>
        <w:tc>
          <w:tcPr>
            <w:tcW w:w="1318" w:type="dxa"/>
            <w:shd w:val="clear" w:color="auto" w:fill="auto"/>
          </w:tcPr>
          <w:p w14:paraId="6DCCB6C0" w14:textId="77777777" w:rsidR="005A0411" w:rsidRPr="00252D7B" w:rsidRDefault="005A0411" w:rsidP="0067351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52D7B">
              <w:rPr>
                <w:rFonts w:asciiTheme="minorHAnsi" w:hAnsiTheme="minorHAnsi" w:cstheme="minorHAnsi"/>
                <w:sz w:val="20"/>
                <w:szCs w:val="20"/>
              </w:rPr>
              <w:t>8,82</w:t>
            </w:r>
          </w:p>
        </w:tc>
        <w:tc>
          <w:tcPr>
            <w:tcW w:w="1750" w:type="dxa"/>
            <w:shd w:val="clear" w:color="auto" w:fill="auto"/>
          </w:tcPr>
          <w:p w14:paraId="618BD44A" w14:textId="77777777" w:rsidR="005A0411" w:rsidRPr="00252D7B" w:rsidRDefault="005A0411" w:rsidP="0067351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52D7B">
              <w:rPr>
                <w:rFonts w:asciiTheme="minorHAnsi" w:hAnsiTheme="minorHAnsi" w:cstheme="minorHAnsi"/>
                <w:sz w:val="20"/>
                <w:szCs w:val="20"/>
              </w:rPr>
              <w:t>8,18</w:t>
            </w:r>
          </w:p>
        </w:tc>
        <w:tc>
          <w:tcPr>
            <w:tcW w:w="1449" w:type="dxa"/>
            <w:tcBorders>
              <w:right w:val="nil"/>
            </w:tcBorders>
            <w:shd w:val="clear" w:color="auto" w:fill="auto"/>
          </w:tcPr>
          <w:p w14:paraId="4C5C147E" w14:textId="77777777" w:rsidR="005A0411" w:rsidRPr="00252D7B" w:rsidRDefault="005A0411" w:rsidP="0067351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52D7B">
              <w:rPr>
                <w:rFonts w:asciiTheme="minorHAnsi" w:eastAsia="Times New Roman" w:hAnsiTheme="minorHAnsi" w:cstheme="minorHAnsi"/>
                <w:b/>
                <w:color w:val="00B050"/>
                <w:sz w:val="20"/>
                <w:szCs w:val="20"/>
              </w:rPr>
              <w:t xml:space="preserve">- </w:t>
            </w:r>
            <w:r w:rsidRPr="00252D7B">
              <w:rPr>
                <w:rFonts w:asciiTheme="minorHAnsi" w:hAnsiTheme="minorHAnsi" w:cstheme="minorHAnsi"/>
                <w:b/>
                <w:color w:val="00B050"/>
                <w:sz w:val="20"/>
                <w:szCs w:val="20"/>
              </w:rPr>
              <w:t>51,89</w:t>
            </w:r>
          </w:p>
        </w:tc>
      </w:tr>
      <w:tr w:rsidR="005A0411" w:rsidRPr="00252D7B" w14:paraId="50E93746" w14:textId="77777777" w:rsidTr="00185B1F">
        <w:trPr>
          <w:trHeight w:val="397"/>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il"/>
            </w:tcBorders>
          </w:tcPr>
          <w:p w14:paraId="055AA8C6" w14:textId="35D9475F" w:rsidR="005A0411" w:rsidRPr="00252D7B" w:rsidRDefault="005A0411" w:rsidP="00E03684">
            <w:pPr>
              <w:spacing w:after="120"/>
              <w:rPr>
                <w:rFonts w:asciiTheme="minorHAnsi" w:hAnsiTheme="minorHAnsi" w:cstheme="minorHAnsi"/>
                <w:sz w:val="20"/>
                <w:szCs w:val="20"/>
              </w:rPr>
            </w:pPr>
            <w:r w:rsidRPr="00252D7B">
              <w:rPr>
                <w:rFonts w:asciiTheme="minorHAnsi" w:hAnsiTheme="minorHAnsi" w:cstheme="minorHAnsi"/>
                <w:b w:val="0"/>
                <w:sz w:val="20"/>
                <w:szCs w:val="20"/>
              </w:rPr>
              <w:t>Ouvidoria/</w:t>
            </w:r>
            <w:r w:rsidR="00610C91" w:rsidRPr="00252D7B">
              <w:rPr>
                <w:rFonts w:asciiTheme="minorHAnsi" w:hAnsiTheme="minorHAnsi" w:cstheme="minorHAnsi"/>
                <w:b w:val="0"/>
                <w:sz w:val="20"/>
                <w:szCs w:val="20"/>
              </w:rPr>
              <w:t>Valec</w:t>
            </w:r>
          </w:p>
        </w:tc>
        <w:tc>
          <w:tcPr>
            <w:tcW w:w="1322" w:type="dxa"/>
          </w:tcPr>
          <w:p w14:paraId="02096131" w14:textId="77777777" w:rsidR="005A0411" w:rsidRPr="00252D7B" w:rsidRDefault="005A0411" w:rsidP="0067351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52D7B">
              <w:rPr>
                <w:rFonts w:asciiTheme="minorHAnsi" w:hAnsiTheme="minorHAnsi" w:cstheme="minorHAnsi"/>
                <w:sz w:val="20"/>
                <w:szCs w:val="20"/>
              </w:rPr>
              <w:t>20,66</w:t>
            </w:r>
          </w:p>
        </w:tc>
        <w:tc>
          <w:tcPr>
            <w:tcW w:w="1318" w:type="dxa"/>
          </w:tcPr>
          <w:p w14:paraId="3CE23D30" w14:textId="77777777" w:rsidR="005A0411" w:rsidRPr="00252D7B" w:rsidRDefault="005A0411" w:rsidP="0067351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52D7B">
              <w:rPr>
                <w:rFonts w:asciiTheme="minorHAnsi" w:hAnsiTheme="minorHAnsi" w:cstheme="minorHAnsi"/>
                <w:sz w:val="20"/>
                <w:szCs w:val="20"/>
              </w:rPr>
              <w:t>10,53</w:t>
            </w:r>
          </w:p>
        </w:tc>
        <w:tc>
          <w:tcPr>
            <w:tcW w:w="1750" w:type="dxa"/>
          </w:tcPr>
          <w:p w14:paraId="4E52309B" w14:textId="77777777" w:rsidR="005A0411" w:rsidRPr="00252D7B" w:rsidRDefault="005A0411" w:rsidP="0067351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52D7B">
              <w:rPr>
                <w:rFonts w:asciiTheme="minorHAnsi" w:hAnsiTheme="minorHAnsi" w:cstheme="minorHAnsi"/>
                <w:sz w:val="20"/>
                <w:szCs w:val="20"/>
              </w:rPr>
              <w:t>10,13</w:t>
            </w:r>
          </w:p>
        </w:tc>
        <w:tc>
          <w:tcPr>
            <w:tcW w:w="1449" w:type="dxa"/>
            <w:tcBorders>
              <w:right w:val="nil"/>
            </w:tcBorders>
          </w:tcPr>
          <w:p w14:paraId="421F96CE" w14:textId="77777777" w:rsidR="005A0411" w:rsidRPr="00252D7B" w:rsidRDefault="005A0411" w:rsidP="0067351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B050"/>
                <w:sz w:val="20"/>
                <w:szCs w:val="20"/>
              </w:rPr>
            </w:pPr>
            <w:r w:rsidRPr="00252D7B">
              <w:rPr>
                <w:rFonts w:asciiTheme="minorHAnsi" w:eastAsia="Times New Roman" w:hAnsiTheme="minorHAnsi" w:cstheme="minorHAnsi"/>
                <w:b/>
                <w:color w:val="00B050"/>
                <w:sz w:val="20"/>
                <w:szCs w:val="20"/>
              </w:rPr>
              <w:t>- 50,97</w:t>
            </w:r>
          </w:p>
        </w:tc>
      </w:tr>
    </w:tbl>
    <w:p w14:paraId="289482D5" w14:textId="77777777" w:rsidR="005A0411" w:rsidRPr="00252D7B" w:rsidRDefault="005A0411" w:rsidP="00673517">
      <w:pPr>
        <w:ind w:right="-45"/>
        <w:jc w:val="both"/>
        <w:rPr>
          <w:rFonts w:asciiTheme="minorHAnsi" w:hAnsiTheme="minorHAnsi" w:cstheme="minorHAnsi"/>
        </w:rPr>
      </w:pPr>
    </w:p>
    <w:p w14:paraId="646BF699" w14:textId="77777777" w:rsidR="005A0411" w:rsidRPr="00252D7B" w:rsidRDefault="005A0411" w:rsidP="005A0411">
      <w:pPr>
        <w:pStyle w:val="Ttulo4"/>
        <w:spacing w:before="120"/>
        <w:rPr>
          <w:rFonts w:asciiTheme="minorHAnsi" w:hAnsiTheme="minorHAnsi" w:cstheme="minorHAnsi"/>
        </w:rPr>
      </w:pPr>
      <w:bookmarkStart w:id="530" w:name="_Toc103680609"/>
      <w:r w:rsidRPr="00252D7B">
        <w:rPr>
          <w:rFonts w:asciiTheme="minorHAnsi" w:hAnsiTheme="minorHAnsi" w:cstheme="minorHAnsi"/>
        </w:rPr>
        <w:t>Resultados do SIC e da Ouvidoria</w:t>
      </w:r>
      <w:bookmarkEnd w:id="530"/>
    </w:p>
    <w:p w14:paraId="04BE4BFA" w14:textId="77777777" w:rsidR="00673517" w:rsidRPr="00252D7B" w:rsidRDefault="00673517" w:rsidP="00673517">
      <w:pPr>
        <w:ind w:right="-45"/>
        <w:jc w:val="both"/>
        <w:rPr>
          <w:rFonts w:asciiTheme="minorHAnsi" w:hAnsiTheme="minorHAnsi" w:cstheme="minorHAnsi"/>
        </w:rPr>
      </w:pPr>
    </w:p>
    <w:p w14:paraId="1CE047E4" w14:textId="540DBAD9" w:rsidR="005A0411" w:rsidRPr="00252D7B" w:rsidRDefault="005A0411" w:rsidP="005A0411">
      <w:pPr>
        <w:spacing w:before="120" w:after="120"/>
        <w:jc w:val="both"/>
        <w:rPr>
          <w:rFonts w:asciiTheme="minorHAnsi" w:hAnsiTheme="minorHAnsi" w:cstheme="minorHAnsi"/>
          <w:bCs/>
          <w:sz w:val="24"/>
          <w:szCs w:val="24"/>
        </w:rPr>
      </w:pPr>
      <w:r w:rsidRPr="00252D7B">
        <w:rPr>
          <w:rFonts w:asciiTheme="minorHAnsi" w:hAnsiTheme="minorHAnsi" w:cstheme="minorHAnsi"/>
          <w:bCs/>
          <w:sz w:val="24"/>
          <w:szCs w:val="24"/>
        </w:rPr>
        <w:t xml:space="preserve">Em 2021, todas as manifestações de ouvidoria foram respondidas dentro do prazo. O comparativo percentual de manifestações de ouvidoria na </w:t>
      </w:r>
      <w:r w:rsidR="00610C91" w:rsidRPr="00252D7B">
        <w:rPr>
          <w:rFonts w:asciiTheme="minorHAnsi" w:hAnsiTheme="minorHAnsi" w:cstheme="minorHAnsi"/>
          <w:bCs/>
          <w:sz w:val="24"/>
          <w:szCs w:val="24"/>
        </w:rPr>
        <w:t>Valec</w:t>
      </w:r>
      <w:r w:rsidRPr="00252D7B">
        <w:rPr>
          <w:rFonts w:asciiTheme="minorHAnsi" w:hAnsiTheme="minorHAnsi" w:cstheme="minorHAnsi"/>
          <w:bCs/>
          <w:sz w:val="24"/>
          <w:szCs w:val="24"/>
        </w:rPr>
        <w:t xml:space="preserve"> dentro e fora do prazo entre os anos de 2018 a 2021 é representado no</w:t>
      </w:r>
      <w:r w:rsidR="005D0A07" w:rsidRPr="00252D7B">
        <w:rPr>
          <w:rFonts w:asciiTheme="minorHAnsi" w:hAnsiTheme="minorHAnsi" w:cstheme="minorHAnsi"/>
          <w:bCs/>
          <w:sz w:val="24"/>
          <w:szCs w:val="24"/>
        </w:rPr>
        <w:t xml:space="preserve"> </w:t>
      </w:r>
      <w:r w:rsidR="005D0A07" w:rsidRPr="00252D7B">
        <w:rPr>
          <w:rFonts w:asciiTheme="minorHAnsi" w:hAnsiTheme="minorHAnsi" w:cstheme="minorHAnsi"/>
          <w:bCs/>
          <w:sz w:val="24"/>
          <w:szCs w:val="24"/>
        </w:rPr>
        <w:fldChar w:fldCharType="begin"/>
      </w:r>
      <w:r w:rsidR="005D0A07" w:rsidRPr="00252D7B">
        <w:rPr>
          <w:rFonts w:asciiTheme="minorHAnsi" w:hAnsiTheme="minorHAnsi" w:cstheme="minorHAnsi"/>
          <w:bCs/>
          <w:sz w:val="24"/>
          <w:szCs w:val="24"/>
        </w:rPr>
        <w:instrText xml:space="preserve"> REF _Ref97569962 \h  \* MERGEFORMAT </w:instrText>
      </w:r>
      <w:r w:rsidR="005D0A07" w:rsidRPr="00252D7B">
        <w:rPr>
          <w:rFonts w:asciiTheme="minorHAnsi" w:hAnsiTheme="minorHAnsi" w:cstheme="minorHAnsi"/>
          <w:bCs/>
          <w:sz w:val="24"/>
          <w:szCs w:val="24"/>
        </w:rPr>
      </w:r>
      <w:r w:rsidR="005D0A07" w:rsidRPr="00252D7B">
        <w:rPr>
          <w:rFonts w:asciiTheme="minorHAnsi" w:hAnsiTheme="minorHAnsi" w:cstheme="minorHAnsi"/>
          <w:bCs/>
          <w:sz w:val="24"/>
          <w:szCs w:val="24"/>
        </w:rPr>
        <w:fldChar w:fldCharType="separate"/>
      </w:r>
      <w:r w:rsidR="00C12888" w:rsidRPr="00C12888">
        <w:rPr>
          <w:rFonts w:asciiTheme="minorHAnsi" w:hAnsiTheme="minorHAnsi" w:cstheme="minorHAnsi"/>
          <w:bCs/>
          <w:sz w:val="24"/>
          <w:szCs w:val="24"/>
        </w:rPr>
        <w:t>Gráfico 20</w:t>
      </w:r>
      <w:r w:rsidR="005D0A07" w:rsidRPr="00252D7B">
        <w:rPr>
          <w:rFonts w:asciiTheme="minorHAnsi" w:hAnsiTheme="minorHAnsi" w:cstheme="minorHAnsi"/>
          <w:bCs/>
          <w:sz w:val="24"/>
          <w:szCs w:val="24"/>
        </w:rPr>
        <w:fldChar w:fldCharType="end"/>
      </w:r>
      <w:r w:rsidR="00607E4F" w:rsidRPr="00252D7B">
        <w:rPr>
          <w:rFonts w:asciiTheme="minorHAnsi" w:hAnsiTheme="minorHAnsi" w:cstheme="minorHAnsi"/>
          <w:bCs/>
          <w:sz w:val="24"/>
          <w:szCs w:val="24"/>
        </w:rPr>
        <w:t>.</w:t>
      </w:r>
    </w:p>
    <w:p w14:paraId="6332B66A" w14:textId="77777777" w:rsidR="005A0411" w:rsidRPr="00252D7B" w:rsidRDefault="005A0411" w:rsidP="006618AD">
      <w:pPr>
        <w:spacing w:before="120"/>
        <w:jc w:val="both"/>
        <w:rPr>
          <w:rFonts w:asciiTheme="minorHAnsi" w:hAnsiTheme="minorHAnsi" w:cstheme="minorHAnsi"/>
          <w:bCs/>
        </w:rPr>
      </w:pPr>
    </w:p>
    <w:p w14:paraId="2B8CF061" w14:textId="4AF9F043" w:rsidR="005A0411" w:rsidRPr="00252D7B" w:rsidRDefault="005A0411" w:rsidP="005A0411">
      <w:pPr>
        <w:pStyle w:val="Legenda"/>
        <w:jc w:val="center"/>
        <w:rPr>
          <w:rFonts w:asciiTheme="minorHAnsi" w:hAnsiTheme="minorHAnsi" w:cstheme="minorHAnsi"/>
          <w:sz w:val="20"/>
          <w:szCs w:val="20"/>
        </w:rPr>
      </w:pPr>
      <w:bookmarkStart w:id="531" w:name="_Ref97569962"/>
      <w:bookmarkStart w:id="532" w:name="_Toc96706004"/>
      <w:bookmarkStart w:id="533" w:name="_Toc97189146"/>
      <w:bookmarkStart w:id="534" w:name="_Toc103680785"/>
      <w:r w:rsidRPr="00252D7B">
        <w:rPr>
          <w:rFonts w:asciiTheme="minorHAnsi" w:hAnsiTheme="minorHAnsi" w:cstheme="minorHAnsi"/>
          <w:sz w:val="20"/>
          <w:szCs w:val="20"/>
        </w:rPr>
        <w:t xml:space="preserve">Gráfico </w:t>
      </w:r>
      <w:r w:rsidR="004328AC" w:rsidRPr="00252D7B">
        <w:rPr>
          <w:rFonts w:asciiTheme="minorHAnsi" w:hAnsiTheme="minorHAnsi" w:cstheme="minorHAnsi"/>
          <w:sz w:val="20"/>
          <w:szCs w:val="20"/>
        </w:rPr>
        <w:fldChar w:fldCharType="begin"/>
      </w:r>
      <w:r w:rsidR="004328AC" w:rsidRPr="00252D7B">
        <w:rPr>
          <w:rFonts w:asciiTheme="minorHAnsi" w:hAnsiTheme="minorHAnsi" w:cstheme="minorHAnsi"/>
          <w:sz w:val="20"/>
          <w:szCs w:val="20"/>
        </w:rPr>
        <w:instrText xml:space="preserve"> SEQ Gráfico \* ARABIC </w:instrText>
      </w:r>
      <w:r w:rsidR="004328AC"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20</w:t>
      </w:r>
      <w:r w:rsidR="004328AC" w:rsidRPr="00252D7B">
        <w:rPr>
          <w:rFonts w:asciiTheme="minorHAnsi" w:hAnsiTheme="minorHAnsi" w:cstheme="minorHAnsi"/>
          <w:sz w:val="20"/>
          <w:szCs w:val="20"/>
        </w:rPr>
        <w:fldChar w:fldCharType="end"/>
      </w:r>
      <w:bookmarkEnd w:id="531"/>
      <w:r w:rsidRPr="00252D7B">
        <w:rPr>
          <w:rFonts w:asciiTheme="minorHAnsi" w:hAnsiTheme="minorHAnsi" w:cstheme="minorHAnsi"/>
          <w:sz w:val="20"/>
          <w:szCs w:val="20"/>
        </w:rPr>
        <w:t xml:space="preserve"> – Porcentagem de respostas dentro do prazo da Ouvidoria</w:t>
      </w:r>
      <w:bookmarkEnd w:id="532"/>
      <w:bookmarkEnd w:id="533"/>
      <w:bookmarkEnd w:id="534"/>
    </w:p>
    <w:p w14:paraId="58EE73FB" w14:textId="2699BD3B" w:rsidR="005A0411" w:rsidRPr="00252D7B" w:rsidRDefault="006618AD" w:rsidP="006618AD">
      <w:pPr>
        <w:spacing w:before="120" w:after="120"/>
        <w:jc w:val="center"/>
        <w:rPr>
          <w:rStyle w:val="Forte"/>
          <w:rFonts w:asciiTheme="minorHAnsi" w:hAnsiTheme="minorHAnsi" w:cstheme="minorHAnsi"/>
          <w:sz w:val="32"/>
          <w:szCs w:val="32"/>
        </w:rPr>
      </w:pPr>
      <w:r w:rsidRPr="00252D7B">
        <w:rPr>
          <w:rStyle w:val="Forte"/>
          <w:rFonts w:asciiTheme="minorHAnsi" w:hAnsiTheme="minorHAnsi" w:cstheme="minorHAnsi"/>
          <w:noProof/>
          <w:sz w:val="32"/>
          <w:szCs w:val="32"/>
        </w:rPr>
        <w:drawing>
          <wp:inline distT="0" distB="0" distL="0" distR="0" wp14:anchorId="64CAB835" wp14:editId="113B2F7E">
            <wp:extent cx="5414010" cy="3164205"/>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14010" cy="3164205"/>
                    </a:xfrm>
                    <a:prstGeom prst="rect">
                      <a:avLst/>
                    </a:prstGeom>
                    <a:noFill/>
                  </pic:spPr>
                </pic:pic>
              </a:graphicData>
            </a:graphic>
          </wp:inline>
        </w:drawing>
      </w:r>
    </w:p>
    <w:p w14:paraId="4EE44D9B" w14:textId="77777777" w:rsidR="005A0411" w:rsidRPr="00252D7B" w:rsidRDefault="005A0411" w:rsidP="006618AD">
      <w:pPr>
        <w:spacing w:before="120"/>
        <w:jc w:val="both"/>
        <w:rPr>
          <w:rFonts w:asciiTheme="minorHAnsi" w:hAnsiTheme="minorHAnsi" w:cstheme="minorHAnsi"/>
          <w:bCs/>
        </w:rPr>
      </w:pPr>
    </w:p>
    <w:p w14:paraId="4683B6D8" w14:textId="3902C453" w:rsidR="005A0411" w:rsidRPr="00252D7B" w:rsidRDefault="005A0411" w:rsidP="005A0411">
      <w:pPr>
        <w:spacing w:before="120" w:after="120"/>
        <w:jc w:val="both"/>
        <w:rPr>
          <w:rFonts w:asciiTheme="minorHAnsi" w:hAnsiTheme="minorHAnsi" w:cstheme="minorHAnsi"/>
          <w:sz w:val="24"/>
          <w:szCs w:val="24"/>
        </w:rPr>
      </w:pPr>
      <w:r w:rsidRPr="00252D7B">
        <w:rPr>
          <w:rFonts w:asciiTheme="minorHAnsi" w:hAnsiTheme="minorHAnsi" w:cstheme="minorHAnsi"/>
          <w:bCs/>
          <w:sz w:val="24"/>
          <w:szCs w:val="24"/>
        </w:rPr>
        <w:t xml:space="preserve">Em 2021, para os casos de SIC na </w:t>
      </w:r>
      <w:r w:rsidR="00610C91" w:rsidRPr="00252D7B">
        <w:rPr>
          <w:rFonts w:asciiTheme="minorHAnsi" w:hAnsiTheme="minorHAnsi" w:cstheme="minorHAnsi"/>
          <w:bCs/>
          <w:sz w:val="24"/>
          <w:szCs w:val="24"/>
        </w:rPr>
        <w:t>Valec</w:t>
      </w:r>
      <w:r w:rsidRPr="00252D7B">
        <w:rPr>
          <w:rFonts w:asciiTheme="minorHAnsi" w:hAnsiTheme="minorHAnsi" w:cstheme="minorHAnsi"/>
          <w:bCs/>
          <w:sz w:val="24"/>
          <w:szCs w:val="24"/>
        </w:rPr>
        <w:t xml:space="preserve">, foram respondidos fora do prazo: 2,94% dos pedidos de Acesso à Informação registrados neste período.  Destes, 1,96% usaram o tempo de prorrogação e apenas 0,98% dos pedidos foram respondidos além do prazo de prorrogação especificado na legislação. </w:t>
      </w:r>
      <w:r w:rsidR="00CF6DA7" w:rsidRPr="00252D7B">
        <w:rPr>
          <w:rFonts w:asciiTheme="minorHAnsi" w:hAnsiTheme="minorHAnsi" w:cstheme="minorHAnsi"/>
          <w:sz w:val="24"/>
          <w:szCs w:val="24"/>
        </w:rPr>
        <w:t>No</w:t>
      </w:r>
      <w:r w:rsidR="005D0A07" w:rsidRPr="00252D7B">
        <w:rPr>
          <w:rFonts w:asciiTheme="minorHAnsi" w:hAnsiTheme="minorHAnsi" w:cstheme="minorHAnsi"/>
          <w:sz w:val="24"/>
          <w:szCs w:val="24"/>
        </w:rPr>
        <w:t xml:space="preserve"> </w:t>
      </w:r>
      <w:r w:rsidR="005D0A07" w:rsidRPr="00252D7B">
        <w:rPr>
          <w:rFonts w:asciiTheme="minorHAnsi" w:hAnsiTheme="minorHAnsi" w:cstheme="minorHAnsi"/>
          <w:sz w:val="24"/>
          <w:szCs w:val="24"/>
        </w:rPr>
        <w:fldChar w:fldCharType="begin"/>
      </w:r>
      <w:r w:rsidR="005D0A07" w:rsidRPr="00252D7B">
        <w:rPr>
          <w:rFonts w:asciiTheme="minorHAnsi" w:hAnsiTheme="minorHAnsi" w:cstheme="minorHAnsi"/>
          <w:sz w:val="24"/>
          <w:szCs w:val="24"/>
        </w:rPr>
        <w:instrText xml:space="preserve"> REF _Ref97569963 \h  \* MERGEFORMAT </w:instrText>
      </w:r>
      <w:r w:rsidR="005D0A07" w:rsidRPr="00252D7B">
        <w:rPr>
          <w:rFonts w:asciiTheme="minorHAnsi" w:hAnsiTheme="minorHAnsi" w:cstheme="minorHAnsi"/>
          <w:sz w:val="24"/>
          <w:szCs w:val="24"/>
        </w:rPr>
      </w:r>
      <w:r w:rsidR="005D0A07" w:rsidRPr="00252D7B">
        <w:rPr>
          <w:rFonts w:asciiTheme="minorHAnsi" w:hAnsiTheme="minorHAnsi" w:cstheme="minorHAnsi"/>
          <w:sz w:val="24"/>
          <w:szCs w:val="24"/>
        </w:rPr>
        <w:fldChar w:fldCharType="separate"/>
      </w:r>
      <w:r w:rsidR="00C12888" w:rsidRPr="00C12888">
        <w:rPr>
          <w:rFonts w:asciiTheme="minorHAnsi" w:hAnsiTheme="minorHAnsi" w:cstheme="minorHAnsi"/>
          <w:sz w:val="24"/>
          <w:szCs w:val="24"/>
        </w:rPr>
        <w:t>Gráfico 21</w:t>
      </w:r>
      <w:r w:rsidR="005D0A07" w:rsidRPr="00252D7B">
        <w:rPr>
          <w:rFonts w:asciiTheme="minorHAnsi" w:hAnsiTheme="minorHAnsi" w:cstheme="minorHAnsi"/>
          <w:sz w:val="24"/>
          <w:szCs w:val="24"/>
        </w:rPr>
        <w:fldChar w:fldCharType="end"/>
      </w:r>
      <w:r w:rsidR="00CF6DA7" w:rsidRPr="00252D7B">
        <w:rPr>
          <w:rFonts w:asciiTheme="minorHAnsi" w:hAnsiTheme="minorHAnsi" w:cstheme="minorHAnsi"/>
          <w:sz w:val="24"/>
          <w:szCs w:val="24"/>
        </w:rPr>
        <w:t xml:space="preserve"> </w:t>
      </w:r>
      <w:r w:rsidRPr="00252D7B">
        <w:rPr>
          <w:rFonts w:asciiTheme="minorHAnsi" w:hAnsiTheme="minorHAnsi" w:cstheme="minorHAnsi"/>
          <w:sz w:val="24"/>
          <w:szCs w:val="24"/>
        </w:rPr>
        <w:t>seguem os assuntos abordados por Tipo de Manifestação de Ouvidoria, em 2021.</w:t>
      </w:r>
    </w:p>
    <w:p w14:paraId="140E585A" w14:textId="041B31D7" w:rsidR="005A0411" w:rsidRPr="00252D7B" w:rsidRDefault="005A0411" w:rsidP="005A0411">
      <w:pPr>
        <w:pStyle w:val="Legenda"/>
        <w:jc w:val="center"/>
        <w:rPr>
          <w:rFonts w:asciiTheme="minorHAnsi" w:hAnsiTheme="minorHAnsi" w:cstheme="minorHAnsi"/>
          <w:sz w:val="20"/>
          <w:szCs w:val="20"/>
        </w:rPr>
      </w:pPr>
      <w:bookmarkStart w:id="535" w:name="_Ref97569963"/>
      <w:bookmarkStart w:id="536" w:name="_Toc96706005"/>
      <w:bookmarkStart w:id="537" w:name="_Toc97189147"/>
      <w:bookmarkStart w:id="538" w:name="_Toc103680786"/>
      <w:r w:rsidRPr="00252D7B">
        <w:rPr>
          <w:rFonts w:asciiTheme="minorHAnsi" w:hAnsiTheme="minorHAnsi" w:cstheme="minorHAnsi"/>
          <w:sz w:val="20"/>
          <w:szCs w:val="20"/>
        </w:rPr>
        <w:lastRenderedPageBreak/>
        <w:t xml:space="preserve">Gráfico </w:t>
      </w:r>
      <w:r w:rsidR="004328AC" w:rsidRPr="00252D7B">
        <w:rPr>
          <w:rFonts w:asciiTheme="minorHAnsi" w:hAnsiTheme="minorHAnsi" w:cstheme="minorHAnsi"/>
          <w:sz w:val="20"/>
          <w:szCs w:val="20"/>
        </w:rPr>
        <w:fldChar w:fldCharType="begin"/>
      </w:r>
      <w:r w:rsidR="004328AC" w:rsidRPr="00252D7B">
        <w:rPr>
          <w:rFonts w:asciiTheme="minorHAnsi" w:hAnsiTheme="minorHAnsi" w:cstheme="minorHAnsi"/>
          <w:sz w:val="20"/>
          <w:szCs w:val="20"/>
        </w:rPr>
        <w:instrText xml:space="preserve"> SEQ Gráfico \* ARABIC </w:instrText>
      </w:r>
      <w:r w:rsidR="004328AC"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21</w:t>
      </w:r>
      <w:r w:rsidR="004328AC" w:rsidRPr="00252D7B">
        <w:rPr>
          <w:rFonts w:asciiTheme="minorHAnsi" w:hAnsiTheme="minorHAnsi" w:cstheme="minorHAnsi"/>
          <w:sz w:val="20"/>
          <w:szCs w:val="20"/>
        </w:rPr>
        <w:fldChar w:fldCharType="end"/>
      </w:r>
      <w:bookmarkEnd w:id="535"/>
      <w:r w:rsidRPr="00252D7B">
        <w:rPr>
          <w:rFonts w:asciiTheme="minorHAnsi" w:hAnsiTheme="minorHAnsi" w:cstheme="minorHAnsi"/>
          <w:sz w:val="20"/>
          <w:szCs w:val="20"/>
        </w:rPr>
        <w:t xml:space="preserve"> – Assuntos das Manifestações de Ouvidoria da </w:t>
      </w:r>
      <w:r w:rsidR="00610C91" w:rsidRPr="00252D7B">
        <w:rPr>
          <w:rFonts w:asciiTheme="minorHAnsi" w:hAnsiTheme="minorHAnsi" w:cstheme="minorHAnsi"/>
          <w:sz w:val="20"/>
          <w:szCs w:val="20"/>
        </w:rPr>
        <w:t>Valec</w:t>
      </w:r>
      <w:r w:rsidRPr="00252D7B">
        <w:rPr>
          <w:rFonts w:asciiTheme="minorHAnsi" w:hAnsiTheme="minorHAnsi" w:cstheme="minorHAnsi"/>
          <w:sz w:val="20"/>
          <w:szCs w:val="20"/>
        </w:rPr>
        <w:t xml:space="preserve"> em 2021.</w:t>
      </w:r>
      <w:bookmarkEnd w:id="536"/>
      <w:bookmarkEnd w:id="537"/>
      <w:bookmarkEnd w:id="538"/>
    </w:p>
    <w:p w14:paraId="0560251A" w14:textId="101302F4" w:rsidR="005A0411" w:rsidRPr="00252D7B" w:rsidRDefault="00D6051C" w:rsidP="00D6051C">
      <w:pPr>
        <w:spacing w:before="120" w:after="120"/>
        <w:jc w:val="center"/>
        <w:rPr>
          <w:rFonts w:asciiTheme="minorHAnsi" w:hAnsiTheme="minorHAnsi" w:cstheme="minorHAnsi"/>
        </w:rPr>
      </w:pPr>
      <w:r w:rsidRPr="00252D7B">
        <w:rPr>
          <w:rFonts w:asciiTheme="minorHAnsi" w:hAnsiTheme="minorHAnsi" w:cstheme="minorHAnsi"/>
          <w:noProof/>
        </w:rPr>
        <w:drawing>
          <wp:inline distT="0" distB="0" distL="0" distR="0" wp14:anchorId="544ADFD8" wp14:editId="0E4F378E">
            <wp:extent cx="5206365" cy="3255645"/>
            <wp:effectExtent l="0" t="0" r="0" b="190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06365" cy="3255645"/>
                    </a:xfrm>
                    <a:prstGeom prst="rect">
                      <a:avLst/>
                    </a:prstGeom>
                    <a:noFill/>
                  </pic:spPr>
                </pic:pic>
              </a:graphicData>
            </a:graphic>
          </wp:inline>
        </w:drawing>
      </w:r>
    </w:p>
    <w:p w14:paraId="547C16F5" w14:textId="77777777" w:rsidR="005A0411" w:rsidRPr="00252D7B" w:rsidRDefault="005A0411" w:rsidP="00D6051C">
      <w:pPr>
        <w:spacing w:before="120"/>
        <w:jc w:val="both"/>
        <w:rPr>
          <w:rStyle w:val="nfase"/>
          <w:rFonts w:asciiTheme="minorHAnsi" w:hAnsiTheme="minorHAnsi" w:cstheme="minorHAnsi"/>
        </w:rPr>
      </w:pPr>
    </w:p>
    <w:p w14:paraId="37899DE8" w14:textId="24599F9F" w:rsidR="005A0411" w:rsidRPr="00252D7B" w:rsidRDefault="005A0411" w:rsidP="00D6051C">
      <w:pPr>
        <w:spacing w:before="120" w:after="120"/>
        <w:jc w:val="both"/>
        <w:rPr>
          <w:rStyle w:val="nfase"/>
          <w:rFonts w:asciiTheme="minorHAnsi" w:hAnsiTheme="minorHAnsi" w:cstheme="minorHAnsi"/>
          <w:i w:val="0"/>
          <w:iCs w:val="0"/>
          <w:sz w:val="24"/>
          <w:szCs w:val="24"/>
        </w:rPr>
      </w:pPr>
      <w:r w:rsidRPr="00252D7B">
        <w:rPr>
          <w:rStyle w:val="nfase"/>
          <w:rFonts w:asciiTheme="minorHAnsi" w:hAnsiTheme="minorHAnsi" w:cstheme="minorHAnsi"/>
          <w:i w:val="0"/>
          <w:iCs w:val="0"/>
          <w:sz w:val="24"/>
          <w:szCs w:val="24"/>
        </w:rPr>
        <w:t xml:space="preserve">Já no </w:t>
      </w:r>
      <w:r w:rsidR="00D6051C" w:rsidRPr="00252D7B">
        <w:rPr>
          <w:rStyle w:val="nfase"/>
          <w:rFonts w:asciiTheme="minorHAnsi" w:hAnsiTheme="minorHAnsi" w:cstheme="minorHAnsi"/>
          <w:i w:val="0"/>
          <w:iCs w:val="0"/>
          <w:sz w:val="24"/>
          <w:szCs w:val="24"/>
          <w:highlight w:val="yellow"/>
        </w:rPr>
        <w:fldChar w:fldCharType="begin"/>
      </w:r>
      <w:r w:rsidR="00D6051C" w:rsidRPr="00252D7B">
        <w:rPr>
          <w:rStyle w:val="nfase"/>
          <w:rFonts w:asciiTheme="minorHAnsi" w:hAnsiTheme="minorHAnsi" w:cstheme="minorHAnsi"/>
          <w:i w:val="0"/>
          <w:iCs w:val="0"/>
          <w:sz w:val="24"/>
          <w:szCs w:val="24"/>
          <w:highlight w:val="yellow"/>
        </w:rPr>
        <w:instrText xml:space="preserve"> REF  x__Toc95830298  \* MERGEFORMAT </w:instrText>
      </w:r>
      <w:r w:rsidR="00D6051C" w:rsidRPr="00252D7B">
        <w:rPr>
          <w:rStyle w:val="nfase"/>
          <w:rFonts w:asciiTheme="minorHAnsi" w:hAnsiTheme="minorHAnsi" w:cstheme="minorHAnsi"/>
          <w:i w:val="0"/>
          <w:iCs w:val="0"/>
          <w:sz w:val="24"/>
          <w:szCs w:val="24"/>
          <w:highlight w:val="yellow"/>
        </w:rPr>
        <w:fldChar w:fldCharType="separate"/>
      </w:r>
      <w:r w:rsidR="00C12888" w:rsidRPr="00C12888">
        <w:rPr>
          <w:rFonts w:asciiTheme="minorHAnsi" w:hAnsiTheme="minorHAnsi" w:cstheme="minorHAnsi"/>
          <w:sz w:val="24"/>
          <w:szCs w:val="24"/>
        </w:rPr>
        <w:t xml:space="preserve">Gráfico </w:t>
      </w:r>
      <w:r w:rsidR="00C12888" w:rsidRPr="00C12888">
        <w:rPr>
          <w:rFonts w:asciiTheme="minorHAnsi" w:hAnsiTheme="minorHAnsi" w:cstheme="minorHAnsi"/>
          <w:noProof/>
          <w:sz w:val="24"/>
          <w:szCs w:val="24"/>
        </w:rPr>
        <w:t>22</w:t>
      </w:r>
      <w:r w:rsidR="00D6051C" w:rsidRPr="00252D7B">
        <w:rPr>
          <w:rStyle w:val="nfase"/>
          <w:rFonts w:asciiTheme="minorHAnsi" w:hAnsiTheme="minorHAnsi" w:cstheme="minorHAnsi"/>
          <w:i w:val="0"/>
          <w:iCs w:val="0"/>
          <w:sz w:val="24"/>
          <w:szCs w:val="24"/>
          <w:highlight w:val="yellow"/>
        </w:rPr>
        <w:fldChar w:fldCharType="end"/>
      </w:r>
      <w:r w:rsidR="00D6051C" w:rsidRPr="00252D7B">
        <w:rPr>
          <w:rStyle w:val="nfase"/>
          <w:rFonts w:asciiTheme="minorHAnsi" w:hAnsiTheme="minorHAnsi" w:cstheme="minorHAnsi"/>
          <w:i w:val="0"/>
          <w:iCs w:val="0"/>
          <w:sz w:val="24"/>
          <w:szCs w:val="24"/>
        </w:rPr>
        <w:t xml:space="preserve"> </w:t>
      </w:r>
      <w:r w:rsidRPr="00252D7B">
        <w:rPr>
          <w:rStyle w:val="nfase"/>
          <w:rFonts w:asciiTheme="minorHAnsi" w:hAnsiTheme="minorHAnsi" w:cstheme="minorHAnsi"/>
          <w:i w:val="0"/>
          <w:iCs w:val="0"/>
          <w:sz w:val="24"/>
          <w:szCs w:val="24"/>
        </w:rPr>
        <w:t>estão listados os assuntos dos pedidos de acesso à informação do SIC em 2021.</w:t>
      </w:r>
    </w:p>
    <w:p w14:paraId="357B8C26" w14:textId="77777777" w:rsidR="005A0411" w:rsidRPr="00252D7B" w:rsidRDefault="005A0411" w:rsidP="00D6051C">
      <w:pPr>
        <w:spacing w:before="120"/>
        <w:jc w:val="both"/>
        <w:rPr>
          <w:rStyle w:val="nfase"/>
          <w:rFonts w:asciiTheme="minorHAnsi" w:hAnsiTheme="minorHAnsi" w:cstheme="minorHAnsi"/>
          <w:i w:val="0"/>
          <w:iCs w:val="0"/>
        </w:rPr>
      </w:pPr>
    </w:p>
    <w:p w14:paraId="5FBC507D" w14:textId="7B42A9BA" w:rsidR="005A0411" w:rsidRPr="00252D7B" w:rsidRDefault="005A0411" w:rsidP="005A0411">
      <w:pPr>
        <w:pStyle w:val="Legenda"/>
        <w:jc w:val="center"/>
        <w:rPr>
          <w:rFonts w:asciiTheme="minorHAnsi" w:hAnsiTheme="minorHAnsi" w:cstheme="minorHAnsi"/>
          <w:sz w:val="20"/>
          <w:szCs w:val="20"/>
        </w:rPr>
      </w:pPr>
      <w:bookmarkStart w:id="539" w:name="x__Toc95830298"/>
      <w:bookmarkStart w:id="540" w:name="_Toc96706006"/>
      <w:bookmarkStart w:id="541" w:name="_Toc97189148"/>
      <w:bookmarkStart w:id="542" w:name="_Toc103680787"/>
      <w:r w:rsidRPr="00252D7B">
        <w:rPr>
          <w:rFonts w:asciiTheme="minorHAnsi" w:hAnsiTheme="minorHAnsi" w:cstheme="minorHAnsi"/>
          <w:sz w:val="20"/>
          <w:szCs w:val="20"/>
        </w:rPr>
        <w:t xml:space="preserve">Gráfico </w:t>
      </w:r>
      <w:r w:rsidR="004328AC" w:rsidRPr="00252D7B">
        <w:rPr>
          <w:rFonts w:asciiTheme="minorHAnsi" w:hAnsiTheme="minorHAnsi" w:cstheme="minorHAnsi"/>
          <w:sz w:val="20"/>
          <w:szCs w:val="20"/>
        </w:rPr>
        <w:fldChar w:fldCharType="begin"/>
      </w:r>
      <w:r w:rsidR="004328AC" w:rsidRPr="00252D7B">
        <w:rPr>
          <w:rFonts w:asciiTheme="minorHAnsi" w:hAnsiTheme="minorHAnsi" w:cstheme="minorHAnsi"/>
          <w:sz w:val="20"/>
          <w:szCs w:val="20"/>
        </w:rPr>
        <w:instrText xml:space="preserve"> SEQ Gráfico \* ARABIC </w:instrText>
      </w:r>
      <w:r w:rsidR="004328AC"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22</w:t>
      </w:r>
      <w:r w:rsidR="004328AC" w:rsidRPr="00252D7B">
        <w:rPr>
          <w:rFonts w:asciiTheme="minorHAnsi" w:hAnsiTheme="minorHAnsi" w:cstheme="minorHAnsi"/>
          <w:sz w:val="20"/>
          <w:szCs w:val="20"/>
        </w:rPr>
        <w:fldChar w:fldCharType="end"/>
      </w:r>
      <w:bookmarkEnd w:id="539"/>
      <w:r w:rsidRPr="00252D7B">
        <w:rPr>
          <w:rFonts w:asciiTheme="minorHAnsi" w:hAnsiTheme="minorHAnsi" w:cstheme="minorHAnsi"/>
          <w:sz w:val="20"/>
          <w:szCs w:val="20"/>
        </w:rPr>
        <w:t xml:space="preserve"> – Assuntos do Pedidos de Acesso à Informação da </w:t>
      </w:r>
      <w:r w:rsidR="00610C91" w:rsidRPr="00252D7B">
        <w:rPr>
          <w:rFonts w:asciiTheme="minorHAnsi" w:hAnsiTheme="minorHAnsi" w:cstheme="minorHAnsi"/>
          <w:sz w:val="20"/>
          <w:szCs w:val="20"/>
        </w:rPr>
        <w:t>Valec</w:t>
      </w:r>
      <w:r w:rsidRPr="00252D7B">
        <w:rPr>
          <w:rFonts w:asciiTheme="minorHAnsi" w:hAnsiTheme="minorHAnsi" w:cstheme="minorHAnsi"/>
          <w:sz w:val="20"/>
          <w:szCs w:val="20"/>
        </w:rPr>
        <w:t xml:space="preserve"> em 2021.</w:t>
      </w:r>
      <w:bookmarkEnd w:id="540"/>
      <w:bookmarkEnd w:id="541"/>
      <w:bookmarkEnd w:id="542"/>
    </w:p>
    <w:p w14:paraId="5668BE93" w14:textId="3F652F92" w:rsidR="005A0411" w:rsidRPr="00252D7B" w:rsidRDefault="00D6051C" w:rsidP="00D6051C">
      <w:pPr>
        <w:spacing w:before="120" w:after="120"/>
        <w:jc w:val="center"/>
        <w:rPr>
          <w:rFonts w:asciiTheme="minorHAnsi" w:hAnsiTheme="minorHAnsi" w:cstheme="minorHAnsi"/>
        </w:rPr>
      </w:pPr>
      <w:r w:rsidRPr="00252D7B">
        <w:rPr>
          <w:rFonts w:asciiTheme="minorHAnsi" w:hAnsiTheme="minorHAnsi" w:cstheme="minorHAnsi"/>
          <w:noProof/>
        </w:rPr>
        <w:drawing>
          <wp:inline distT="0" distB="0" distL="0" distR="0" wp14:anchorId="04316A41" wp14:editId="1CF35DE1">
            <wp:extent cx="5517515" cy="2944495"/>
            <wp:effectExtent l="0" t="0" r="6985" b="825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17515" cy="2944495"/>
                    </a:xfrm>
                    <a:prstGeom prst="rect">
                      <a:avLst/>
                    </a:prstGeom>
                    <a:noFill/>
                  </pic:spPr>
                </pic:pic>
              </a:graphicData>
            </a:graphic>
          </wp:inline>
        </w:drawing>
      </w:r>
      <w:r w:rsidR="005A0411" w:rsidRPr="00252D7B">
        <w:rPr>
          <w:rFonts w:asciiTheme="minorHAnsi" w:hAnsiTheme="minorHAnsi" w:cstheme="minorHAnsi"/>
        </w:rPr>
        <w:br w:type="page"/>
      </w:r>
    </w:p>
    <w:p w14:paraId="0B63EE37" w14:textId="77777777" w:rsidR="005A0411" w:rsidRPr="00252D7B" w:rsidRDefault="005A0411" w:rsidP="005A0411">
      <w:pPr>
        <w:pStyle w:val="Ttulo4"/>
        <w:spacing w:before="120"/>
        <w:rPr>
          <w:rFonts w:asciiTheme="minorHAnsi" w:hAnsiTheme="minorHAnsi" w:cstheme="minorHAnsi"/>
        </w:rPr>
      </w:pPr>
      <w:bookmarkStart w:id="543" w:name="_Toc103680610"/>
      <w:r w:rsidRPr="00252D7B">
        <w:rPr>
          <w:rFonts w:asciiTheme="minorHAnsi" w:hAnsiTheme="minorHAnsi" w:cstheme="minorHAnsi"/>
        </w:rPr>
        <w:lastRenderedPageBreak/>
        <w:t>Resultados qualitativos</w:t>
      </w:r>
      <w:bookmarkEnd w:id="543"/>
    </w:p>
    <w:p w14:paraId="13B65B2C" w14:textId="27DEBBAC" w:rsidR="005A0411" w:rsidRPr="00252D7B" w:rsidRDefault="005A0411" w:rsidP="004C4229">
      <w:pPr>
        <w:spacing w:before="120" w:after="120"/>
        <w:jc w:val="both"/>
        <w:rPr>
          <w:rFonts w:asciiTheme="minorHAnsi" w:hAnsiTheme="minorHAnsi" w:cstheme="minorHAnsi"/>
          <w:bCs/>
          <w:sz w:val="24"/>
          <w:szCs w:val="24"/>
        </w:rPr>
      </w:pPr>
      <w:r w:rsidRPr="00252D7B">
        <w:rPr>
          <w:rFonts w:asciiTheme="minorHAnsi" w:hAnsiTheme="minorHAnsi" w:cstheme="minorHAnsi"/>
          <w:bCs/>
          <w:sz w:val="24"/>
          <w:szCs w:val="24"/>
        </w:rPr>
        <w:t>Ao longo dos últimos anos</w:t>
      </w:r>
      <w:r w:rsidRPr="00252D7B">
        <w:rPr>
          <w:rFonts w:asciiTheme="minorHAnsi" w:hAnsiTheme="minorHAnsi" w:cstheme="minorHAnsi"/>
          <w:b/>
          <w:bCs/>
          <w:sz w:val="24"/>
          <w:szCs w:val="24"/>
        </w:rPr>
        <w:t xml:space="preserve">, </w:t>
      </w:r>
      <w:r w:rsidRPr="00252D7B">
        <w:rPr>
          <w:rFonts w:asciiTheme="minorHAnsi" w:hAnsiTheme="minorHAnsi" w:cstheme="minorHAnsi"/>
          <w:sz w:val="24"/>
          <w:szCs w:val="24"/>
        </w:rPr>
        <w:t>houve um fortalecimento da legislação do SisOuv no país, com processos e fluxos de trabalho específicos para cada tipologia de manifestação,</w:t>
      </w:r>
      <w:r w:rsidRPr="00252D7B">
        <w:rPr>
          <w:rFonts w:asciiTheme="minorHAnsi" w:hAnsiTheme="minorHAnsi" w:cstheme="minorHAnsi"/>
          <w:bCs/>
          <w:sz w:val="24"/>
          <w:szCs w:val="24"/>
        </w:rPr>
        <w:t xml:space="preserve"> os quais são rigorosamente observados pela Ouvidoria desta empresa pública, com especial atenção às Denúncias e Comunicações de Irregularidades, cujas normativas de tratamento interno estão em fase de remodelação, refletindo o compromisso robusto e real da Alta Administração e demais atores corporativos com um sistema de governança íntegro e transparente, que contemple não só o alcance de bons resultados, como também o direito de participação da sociedade na dinâmica que envolve as atividades da empresa, a utilização de recursos públicos e a probidade de seus agentes.</w:t>
      </w:r>
    </w:p>
    <w:p w14:paraId="55D45A62" w14:textId="77777777" w:rsidR="005A0411" w:rsidRPr="00252D7B" w:rsidRDefault="005A0411" w:rsidP="005F7B79">
      <w:pPr>
        <w:spacing w:before="120"/>
        <w:jc w:val="both"/>
        <w:rPr>
          <w:rFonts w:asciiTheme="minorHAnsi" w:hAnsiTheme="minorHAnsi" w:cstheme="minorHAnsi"/>
        </w:rPr>
      </w:pPr>
    </w:p>
    <w:p w14:paraId="4E9C52AB" w14:textId="77777777" w:rsidR="005A0411" w:rsidRPr="00252D7B" w:rsidRDefault="005A0411" w:rsidP="005A0411">
      <w:pPr>
        <w:pStyle w:val="Ttulo4"/>
        <w:spacing w:before="120"/>
        <w:rPr>
          <w:rFonts w:asciiTheme="minorHAnsi" w:hAnsiTheme="minorHAnsi" w:cstheme="minorHAnsi"/>
        </w:rPr>
      </w:pPr>
      <w:bookmarkStart w:id="544" w:name="_Toc103680611"/>
      <w:r w:rsidRPr="00252D7B">
        <w:rPr>
          <w:rFonts w:asciiTheme="minorHAnsi" w:hAnsiTheme="minorHAnsi" w:cstheme="minorHAnsi"/>
        </w:rPr>
        <w:t>Denúncias e comunicações (denúncias anônimas)</w:t>
      </w:r>
      <w:bookmarkEnd w:id="544"/>
    </w:p>
    <w:p w14:paraId="5E1C47A1" w14:textId="74CBCC1A" w:rsidR="005A0411" w:rsidRPr="00252D7B" w:rsidRDefault="005A0411" w:rsidP="00FD1695">
      <w:pPr>
        <w:spacing w:before="120" w:after="120"/>
        <w:jc w:val="both"/>
        <w:rPr>
          <w:rFonts w:asciiTheme="minorHAnsi" w:hAnsiTheme="minorHAnsi" w:cstheme="minorHAnsi"/>
          <w:bCs/>
          <w:sz w:val="24"/>
          <w:szCs w:val="24"/>
        </w:rPr>
      </w:pPr>
      <w:r w:rsidRPr="00252D7B">
        <w:rPr>
          <w:rFonts w:asciiTheme="minorHAnsi" w:hAnsiTheme="minorHAnsi" w:cstheme="minorHAnsi"/>
          <w:bCs/>
          <w:sz w:val="24"/>
          <w:szCs w:val="24"/>
        </w:rPr>
        <w:t xml:space="preserve">Em 2021 houve uma redução expressiva no número de denúncias e comunicações, além da diminuição do número de manifestações de ouvidoria e os pedidos de acesso da LAI em relação ao ano anterior: </w:t>
      </w:r>
    </w:p>
    <w:p w14:paraId="7DF4DFB3" w14:textId="77777777" w:rsidR="005A0411" w:rsidRPr="00252D7B" w:rsidRDefault="005A0411" w:rsidP="00FD1695">
      <w:pPr>
        <w:spacing w:before="120" w:after="120"/>
        <w:jc w:val="both"/>
        <w:rPr>
          <w:rFonts w:asciiTheme="minorHAnsi" w:hAnsiTheme="minorHAnsi" w:cstheme="minorHAnsi"/>
          <w:b/>
          <w:sz w:val="24"/>
          <w:szCs w:val="24"/>
        </w:rPr>
      </w:pPr>
      <w:r w:rsidRPr="00252D7B">
        <w:rPr>
          <w:rFonts w:asciiTheme="minorHAnsi" w:hAnsiTheme="minorHAnsi" w:cstheme="minorHAnsi"/>
          <w:b/>
          <w:sz w:val="24"/>
          <w:szCs w:val="24"/>
        </w:rPr>
        <w:t xml:space="preserve">2020 - 119 Manifestações de Ouvidoria + 246 pedidos de Acesso à Informação, distribuídas da seguinte forma: </w:t>
      </w:r>
    </w:p>
    <w:p w14:paraId="3636CBAA" w14:textId="77777777" w:rsidR="005A0411" w:rsidRPr="00252D7B" w:rsidRDefault="005A0411" w:rsidP="00FD1695">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Sendo 16 reclamações, 63 solicitações, 10 denúncias, 9 sugestões, 1 elogio, 19 comunicações, 0 simplifique e 246 </w:t>
      </w:r>
      <w:r w:rsidRPr="00252D7B">
        <w:rPr>
          <w:rFonts w:asciiTheme="minorHAnsi" w:hAnsiTheme="minorHAnsi" w:cstheme="minorHAnsi"/>
          <w:bCs/>
          <w:sz w:val="24"/>
          <w:szCs w:val="24"/>
        </w:rPr>
        <w:t>pedidos</w:t>
      </w:r>
      <w:r w:rsidRPr="00252D7B">
        <w:rPr>
          <w:rFonts w:asciiTheme="minorHAnsi" w:hAnsiTheme="minorHAnsi" w:cstheme="minorHAnsi"/>
          <w:sz w:val="24"/>
          <w:szCs w:val="24"/>
        </w:rPr>
        <w:t xml:space="preserve"> de acesso à informação.</w:t>
      </w:r>
    </w:p>
    <w:p w14:paraId="6F30197D" w14:textId="77777777" w:rsidR="005A0411" w:rsidRPr="00252D7B" w:rsidRDefault="005A0411" w:rsidP="00FD1695">
      <w:pPr>
        <w:spacing w:before="120" w:after="120"/>
        <w:jc w:val="both"/>
        <w:rPr>
          <w:rFonts w:asciiTheme="minorHAnsi" w:hAnsiTheme="minorHAnsi" w:cstheme="minorHAnsi"/>
          <w:b/>
          <w:sz w:val="24"/>
          <w:szCs w:val="24"/>
        </w:rPr>
      </w:pPr>
      <w:r w:rsidRPr="00252D7B">
        <w:rPr>
          <w:rFonts w:asciiTheme="minorHAnsi" w:hAnsiTheme="minorHAnsi" w:cstheme="minorHAnsi"/>
          <w:b/>
          <w:sz w:val="24"/>
          <w:szCs w:val="24"/>
        </w:rPr>
        <w:t>2021 -   72 Manifestações de Ouvidoria + 102 pedidos de Acesso à Informação distribuídas da seguinte forma:</w:t>
      </w:r>
    </w:p>
    <w:p w14:paraId="234EBD5C" w14:textId="77777777" w:rsidR="005A0411" w:rsidRPr="00252D7B" w:rsidRDefault="005A0411" w:rsidP="00FD1695">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Sendo 21 reclamações, 30 solicitações, 4 denúncias, 7 sugestões, 1 elogio, 0 simplifique e 10 comunicações.</w:t>
      </w:r>
    </w:p>
    <w:p w14:paraId="4032B2FC" w14:textId="77777777" w:rsidR="005A0411" w:rsidRPr="00252D7B" w:rsidRDefault="005A0411" w:rsidP="005A0411">
      <w:pPr>
        <w:spacing w:before="120" w:after="120"/>
        <w:jc w:val="both"/>
        <w:rPr>
          <w:rFonts w:asciiTheme="minorHAnsi" w:hAnsiTheme="minorHAnsi" w:cstheme="minorHAnsi"/>
          <w:bCs/>
          <w:sz w:val="24"/>
          <w:szCs w:val="24"/>
        </w:rPr>
      </w:pPr>
      <w:r w:rsidRPr="00252D7B">
        <w:rPr>
          <w:rFonts w:asciiTheme="minorHAnsi" w:hAnsiTheme="minorHAnsi" w:cstheme="minorHAnsi"/>
          <w:bCs/>
          <w:sz w:val="24"/>
          <w:szCs w:val="24"/>
        </w:rPr>
        <w:t xml:space="preserve">Essa redução pode ser considerado sob duas perspectivas: Primeiro, a empresa melhorou a disponibilização de informações públicas em sistema de transparência ativa, diminuindo assim a busca de forma passiva (pedidos de acesso à informação junto ao SIC), bem como, de manifestações típicas de Ouvidoria, sem olvidar que a pandemia do Coronavírus (COVID-19) potencializou a busca de canais das Organizações envolvidas diretamente e indiretamente no enfrentamento das demandas decorrentes do cenário de emergência de saúde pública instalada e diminui o fluxo de pronunciamentos do usuário relacionados aos demais segmentos.   </w:t>
      </w:r>
    </w:p>
    <w:p w14:paraId="74094656" w14:textId="77777777" w:rsidR="005A0411" w:rsidRPr="00252D7B" w:rsidRDefault="005A0411" w:rsidP="00FD1695">
      <w:pPr>
        <w:spacing w:before="120"/>
        <w:jc w:val="both"/>
        <w:rPr>
          <w:rFonts w:asciiTheme="minorHAnsi" w:hAnsiTheme="minorHAnsi" w:cstheme="minorHAnsi"/>
          <w:bCs/>
          <w:sz w:val="24"/>
          <w:szCs w:val="24"/>
        </w:rPr>
      </w:pPr>
    </w:p>
    <w:p w14:paraId="22DC3473" w14:textId="77777777" w:rsidR="005A0411" w:rsidRPr="00252D7B" w:rsidRDefault="005A0411" w:rsidP="005A0411">
      <w:pPr>
        <w:pStyle w:val="Ttulo4"/>
        <w:spacing w:before="120"/>
        <w:rPr>
          <w:rFonts w:asciiTheme="minorHAnsi" w:hAnsiTheme="minorHAnsi" w:cstheme="minorHAnsi"/>
        </w:rPr>
      </w:pPr>
      <w:bookmarkStart w:id="545" w:name="_Toc103680612"/>
      <w:r w:rsidRPr="00252D7B">
        <w:rPr>
          <w:rFonts w:asciiTheme="minorHAnsi" w:hAnsiTheme="minorHAnsi" w:cstheme="minorHAnsi"/>
        </w:rPr>
        <w:t>Serviço de informação ao cidadão – SIC</w:t>
      </w:r>
      <w:bookmarkEnd w:id="545"/>
    </w:p>
    <w:p w14:paraId="74D4E622" w14:textId="6C2C35B3" w:rsidR="005A0411" w:rsidRPr="00252D7B" w:rsidRDefault="005A0411" w:rsidP="005A0411">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A crescente tendência de atendimento temporâneo e a redução no tempo de respostas das áreas demandadas revelam o nível de maturidade da empresa no que tange ao indicador de transparência passiva, compreendendo que o controle exercido pelo usuário é uma fonte de legitimação de suas decisões e resultados. </w:t>
      </w:r>
    </w:p>
    <w:p w14:paraId="268D95B2" w14:textId="77777777" w:rsidR="005A0411" w:rsidRPr="00252D7B" w:rsidRDefault="005A0411" w:rsidP="005A0411">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No tocante às respostas extemporâneas, há que se levar em conta a complexidade que envolve alguns casos concretos, com grande volume de informações e documentos públicos a serem disponibilizados em formatos editáveis e com observância das regras de sigilo e proteção de dados pessoais impostas pelas Leis nº 12.527/2011 e n° 13.709/2018. </w:t>
      </w:r>
    </w:p>
    <w:p w14:paraId="20B4A482" w14:textId="77777777" w:rsidR="005A0411" w:rsidRPr="00252D7B" w:rsidRDefault="005A0411" w:rsidP="005A0411">
      <w:pPr>
        <w:spacing w:before="120" w:after="120"/>
        <w:jc w:val="both"/>
        <w:rPr>
          <w:rFonts w:asciiTheme="minorHAnsi" w:hAnsiTheme="minorHAnsi" w:cstheme="minorHAnsi"/>
          <w:bCs/>
          <w:sz w:val="24"/>
          <w:szCs w:val="24"/>
        </w:rPr>
      </w:pPr>
      <w:r w:rsidRPr="00252D7B">
        <w:rPr>
          <w:rFonts w:asciiTheme="minorHAnsi" w:hAnsiTheme="minorHAnsi" w:cstheme="minorHAnsi"/>
          <w:sz w:val="24"/>
          <w:szCs w:val="24"/>
        </w:rPr>
        <w:t xml:space="preserve">Com relação à brusca diminuição do número de pedidos de acesso em comparação aos anos anteriores, além da constatação referida no tópico acima, no sentido de que a </w:t>
      </w:r>
      <w:r w:rsidRPr="00252D7B">
        <w:rPr>
          <w:rFonts w:asciiTheme="minorHAnsi" w:hAnsiTheme="minorHAnsi" w:cstheme="minorHAnsi"/>
          <w:bCs/>
          <w:sz w:val="24"/>
          <w:szCs w:val="24"/>
        </w:rPr>
        <w:t xml:space="preserve"> empresa vem num </w:t>
      </w:r>
      <w:r w:rsidRPr="00252D7B">
        <w:rPr>
          <w:rFonts w:asciiTheme="minorHAnsi" w:hAnsiTheme="minorHAnsi" w:cstheme="minorHAnsi"/>
          <w:bCs/>
          <w:sz w:val="24"/>
          <w:szCs w:val="24"/>
        </w:rPr>
        <w:lastRenderedPageBreak/>
        <w:t>processo contínuo de aprimoramento de seu sistema de transparência ativa, o que consequentemente reflete uma retração na utilização de mecanismos que de obtenção passiva de informações de interesse público, há que se ressaltar, mais uma vez, que um dos efeitos da pandemia foi o deslocamento do foco do controle social para as áreas de saúde, que experimentaram um aumento vertiginoso nos atendimentos de ouvidoria e de serviço de informação ao cidadão.</w:t>
      </w:r>
    </w:p>
    <w:p w14:paraId="2694C289" w14:textId="1E414923" w:rsidR="005A0411" w:rsidRPr="00252D7B" w:rsidRDefault="005A0411" w:rsidP="00F86C28">
      <w:pPr>
        <w:spacing w:before="120"/>
        <w:jc w:val="both"/>
        <w:rPr>
          <w:rFonts w:asciiTheme="minorHAnsi" w:hAnsiTheme="minorHAnsi" w:cstheme="minorHAnsi"/>
          <w:bCs/>
          <w:sz w:val="24"/>
          <w:szCs w:val="24"/>
        </w:rPr>
      </w:pPr>
    </w:p>
    <w:p w14:paraId="499F782A" w14:textId="77777777" w:rsidR="00CF6DA7" w:rsidRPr="00252D7B" w:rsidRDefault="00CF6DA7" w:rsidP="00F86C28">
      <w:pPr>
        <w:spacing w:before="120"/>
        <w:jc w:val="both"/>
        <w:rPr>
          <w:rFonts w:asciiTheme="minorHAnsi" w:hAnsiTheme="minorHAnsi" w:cstheme="minorHAnsi"/>
          <w:bCs/>
          <w:sz w:val="24"/>
          <w:szCs w:val="24"/>
        </w:rPr>
      </w:pPr>
    </w:p>
    <w:p w14:paraId="33F7C103" w14:textId="77777777" w:rsidR="005A0411" w:rsidRPr="00252D7B" w:rsidRDefault="005A0411" w:rsidP="005A0411">
      <w:pPr>
        <w:pStyle w:val="Ttulo3"/>
        <w:spacing w:before="120" w:after="120"/>
        <w:rPr>
          <w:rFonts w:asciiTheme="minorHAnsi" w:hAnsiTheme="minorHAnsi" w:cstheme="minorHAnsi"/>
        </w:rPr>
      </w:pPr>
      <w:bookmarkStart w:id="546" w:name="_Toc96705980"/>
      <w:bookmarkStart w:id="547" w:name="_Toc103680613"/>
      <w:r w:rsidRPr="00252D7B">
        <w:rPr>
          <w:rFonts w:asciiTheme="minorHAnsi" w:hAnsiTheme="minorHAnsi" w:cstheme="minorHAnsi"/>
        </w:rPr>
        <w:t>Observações de Contexto</w:t>
      </w:r>
      <w:bookmarkEnd w:id="546"/>
      <w:bookmarkEnd w:id="547"/>
    </w:p>
    <w:p w14:paraId="42B44F41" w14:textId="53F36F7A" w:rsidR="005A0411" w:rsidRPr="00252D7B" w:rsidRDefault="005A0411" w:rsidP="005A0411">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Em razão da natureza das suas atribuições, a equipe da Ouvidoria mantém contínuo diálogo com as demais unidades que integram a Valec com o objetivo precípuo de prestar um atendimento de excelência para os públicos que buscam os canais de atendimento disponibilizados pelo setor e, </w:t>
      </w:r>
      <w:r w:rsidR="00610C91" w:rsidRPr="00252D7B">
        <w:rPr>
          <w:rFonts w:asciiTheme="minorHAnsi" w:hAnsiTheme="minorHAnsi" w:cstheme="minorHAnsi"/>
          <w:sz w:val="24"/>
          <w:szCs w:val="24"/>
        </w:rPr>
        <w:t>por meio</w:t>
      </w:r>
      <w:r w:rsidRPr="00252D7B">
        <w:rPr>
          <w:rFonts w:asciiTheme="minorHAnsi" w:hAnsiTheme="minorHAnsi" w:cstheme="minorHAnsi"/>
          <w:sz w:val="24"/>
          <w:szCs w:val="24"/>
        </w:rPr>
        <w:t xml:space="preserve"> destas percepções contribuir para o aprimoramento das atividades da empresa.</w:t>
      </w:r>
    </w:p>
    <w:p w14:paraId="1A514F2D" w14:textId="19173443" w:rsidR="005A0411" w:rsidRPr="00252D7B" w:rsidRDefault="005A0411" w:rsidP="005A0411">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Nesse desiderato, no último trimestre integrantes da Ouvidoria passaram a compor o Grupo de Estudos instituído com vistas a adequar a Valec às diretrizes da Lei Geral de Proteção de Dados, revisitando todos os processos de trabalho da empresa que envolvam tratamento de dados pessoais em ambiente virtual e físico. (PORTARIA </w:t>
      </w:r>
      <w:r w:rsidR="00610C91" w:rsidRPr="00252D7B">
        <w:rPr>
          <w:rFonts w:asciiTheme="minorHAnsi" w:hAnsiTheme="minorHAnsi" w:cstheme="minorHAnsi"/>
          <w:sz w:val="24"/>
          <w:szCs w:val="24"/>
        </w:rPr>
        <w:t>Valec</w:t>
      </w:r>
      <w:r w:rsidRPr="00252D7B">
        <w:rPr>
          <w:rFonts w:asciiTheme="minorHAnsi" w:hAnsiTheme="minorHAnsi" w:cstheme="minorHAnsi"/>
          <w:sz w:val="24"/>
          <w:szCs w:val="24"/>
        </w:rPr>
        <w:t xml:space="preserve"> Nº 228/2021/ADMIN-</w:t>
      </w:r>
      <w:r w:rsidR="00610C91" w:rsidRPr="00252D7B">
        <w:rPr>
          <w:rFonts w:asciiTheme="minorHAnsi" w:hAnsiTheme="minorHAnsi" w:cstheme="minorHAnsi"/>
          <w:sz w:val="24"/>
          <w:szCs w:val="24"/>
        </w:rPr>
        <w:t>Valec</w:t>
      </w:r>
      <w:r w:rsidRPr="00252D7B">
        <w:rPr>
          <w:rFonts w:asciiTheme="minorHAnsi" w:hAnsiTheme="minorHAnsi" w:cstheme="minorHAnsi"/>
          <w:sz w:val="24"/>
          <w:szCs w:val="24"/>
        </w:rPr>
        <w:t>/GAB-</w:t>
      </w:r>
      <w:r w:rsidR="00610C91" w:rsidRPr="00252D7B">
        <w:rPr>
          <w:rFonts w:asciiTheme="minorHAnsi" w:hAnsiTheme="minorHAnsi" w:cstheme="minorHAnsi"/>
          <w:sz w:val="24"/>
          <w:szCs w:val="24"/>
        </w:rPr>
        <w:t>Valec</w:t>
      </w:r>
      <w:r w:rsidRPr="00252D7B">
        <w:rPr>
          <w:rFonts w:asciiTheme="minorHAnsi" w:hAnsiTheme="minorHAnsi" w:cstheme="minorHAnsi"/>
          <w:sz w:val="24"/>
          <w:szCs w:val="24"/>
        </w:rPr>
        <w:t>/PRESI-</w:t>
      </w:r>
      <w:r w:rsidR="00610C91" w:rsidRPr="00252D7B">
        <w:rPr>
          <w:rFonts w:asciiTheme="minorHAnsi" w:hAnsiTheme="minorHAnsi" w:cstheme="minorHAnsi"/>
          <w:sz w:val="24"/>
          <w:szCs w:val="24"/>
        </w:rPr>
        <w:t>Valec</w:t>
      </w:r>
      <w:r w:rsidRPr="00252D7B">
        <w:rPr>
          <w:rFonts w:asciiTheme="minorHAnsi" w:hAnsiTheme="minorHAnsi" w:cstheme="minorHAnsi"/>
          <w:sz w:val="24"/>
          <w:szCs w:val="24"/>
        </w:rPr>
        <w:t xml:space="preserve">, de 08 de dezembro de 2021).  </w:t>
      </w:r>
    </w:p>
    <w:p w14:paraId="3C572DAA" w14:textId="77777777" w:rsidR="005A0411" w:rsidRPr="00252D7B" w:rsidRDefault="005A0411" w:rsidP="005A0411">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De igual a sorte, a Ouvidora participou, com direito a voz, das Reuniões Ordinárias do CONSAD (mensais) e das Reuniões de Alinhamento da Presidência (quinzenais), além de outras com a ASGOV e a AUDIN, com a finalidade de aperfeiçoar os processos e fluxos de manifestações do setor.</w:t>
      </w:r>
    </w:p>
    <w:p w14:paraId="777FB510" w14:textId="66FAA8C9" w:rsidR="005A0411" w:rsidRPr="00252D7B" w:rsidRDefault="005A0411" w:rsidP="00F86C28">
      <w:pPr>
        <w:spacing w:before="120"/>
        <w:jc w:val="both"/>
        <w:rPr>
          <w:rFonts w:asciiTheme="minorHAnsi" w:hAnsiTheme="minorHAnsi" w:cstheme="minorHAnsi"/>
          <w:bCs/>
          <w:sz w:val="24"/>
          <w:szCs w:val="24"/>
        </w:rPr>
      </w:pPr>
    </w:p>
    <w:p w14:paraId="392A13AB" w14:textId="77777777" w:rsidR="00CF6DA7" w:rsidRPr="00252D7B" w:rsidRDefault="00CF6DA7" w:rsidP="00F86C28">
      <w:pPr>
        <w:spacing w:before="120"/>
        <w:jc w:val="both"/>
        <w:rPr>
          <w:rFonts w:asciiTheme="minorHAnsi" w:hAnsiTheme="minorHAnsi" w:cstheme="minorHAnsi"/>
          <w:bCs/>
          <w:sz w:val="24"/>
          <w:szCs w:val="24"/>
        </w:rPr>
      </w:pPr>
    </w:p>
    <w:p w14:paraId="79520CA3" w14:textId="77777777" w:rsidR="005A0411" w:rsidRPr="00252D7B" w:rsidRDefault="005A0411" w:rsidP="005A0411">
      <w:pPr>
        <w:pStyle w:val="Ttulo3"/>
        <w:spacing w:before="120" w:after="120"/>
        <w:rPr>
          <w:rFonts w:asciiTheme="minorHAnsi" w:hAnsiTheme="minorHAnsi" w:cstheme="minorHAnsi"/>
        </w:rPr>
      </w:pPr>
      <w:bookmarkStart w:id="548" w:name="_Toc96705981"/>
      <w:bookmarkStart w:id="549" w:name="_Toc103680614"/>
      <w:r w:rsidRPr="00252D7B">
        <w:rPr>
          <w:rFonts w:asciiTheme="minorHAnsi" w:hAnsiTheme="minorHAnsi" w:cstheme="minorHAnsi"/>
        </w:rPr>
        <w:t>Providências adotadas pela Alta Gestão ao longo do período</w:t>
      </w:r>
      <w:bookmarkEnd w:id="548"/>
      <w:bookmarkEnd w:id="549"/>
    </w:p>
    <w:p w14:paraId="5BBBC3B9" w14:textId="750B0244" w:rsidR="005A0411" w:rsidRPr="00252D7B" w:rsidRDefault="005A0411" w:rsidP="005A0411">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Instituída em 2016, a Ouvidoria da Valec  está em processo de estruturação e ganho interno de musculatura, nas perspectivas política, normativa e administrativa, numa construção paulatina de sentidos, significados e resultados a partir do apoio da Alta Administração, que compreendeu a importância de fomentar uma cultura dialógica, baseada na escuta dos seus stakeholders, a fim de qualificar tais conexões, procurando entender, compreender e, na medida do possível, atender as demandas e os anseios desses públicos, pois é justamente essa teia comunicacional que calibra e torna a organização dinâmica e mais aberta à inovação.    </w:t>
      </w:r>
    </w:p>
    <w:p w14:paraId="4D506972" w14:textId="77777777" w:rsidR="005A0411" w:rsidRPr="00252D7B" w:rsidRDefault="005A0411" w:rsidP="005A0411">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Nesta ótica, num grau de maturidade institucional, considerando-se os cinco potenciais pilares de atuação de uma Ouvidoria efetiva (canal de comunicação, instância de controle e participação, área estratégica de gestão e produção de conhecimento, espaço privilegiado de resolução de conflitos, agente de governança – de integridade, de privacidade e de proteção de dados pessoais), tem-se que o setor caminha para alcançar os níveis três, quatro e cinco de maturidade institucional, já com passos importantes e consistentes</w:t>
      </w:r>
      <w:r w:rsidRPr="00252D7B">
        <w:rPr>
          <w:rFonts w:asciiTheme="minorHAnsi" w:hAnsiTheme="minorHAnsi" w:cstheme="minorHAnsi"/>
          <w:b/>
          <w:sz w:val="24"/>
          <w:szCs w:val="24"/>
        </w:rPr>
        <w:t>.</w:t>
      </w:r>
      <w:r w:rsidRPr="00252D7B">
        <w:rPr>
          <w:rFonts w:asciiTheme="minorHAnsi" w:hAnsiTheme="minorHAnsi" w:cstheme="minorHAnsi"/>
          <w:sz w:val="24"/>
          <w:szCs w:val="24"/>
        </w:rPr>
        <w:t xml:space="preserve"> </w:t>
      </w:r>
    </w:p>
    <w:p w14:paraId="20EA2111" w14:textId="77777777" w:rsidR="005A0411" w:rsidRPr="00252D7B" w:rsidRDefault="005A0411" w:rsidP="005A0411">
      <w:pPr>
        <w:spacing w:before="120" w:after="120"/>
        <w:jc w:val="both"/>
        <w:rPr>
          <w:rFonts w:asciiTheme="minorHAnsi" w:hAnsiTheme="minorHAnsi" w:cstheme="minorHAnsi"/>
        </w:rPr>
      </w:pPr>
    </w:p>
    <w:p w14:paraId="16B33B54" w14:textId="77777777" w:rsidR="00FE4F79" w:rsidRPr="00252D7B" w:rsidRDefault="00FE4F79" w:rsidP="005A0411">
      <w:pPr>
        <w:spacing w:before="120" w:after="120"/>
        <w:jc w:val="both"/>
        <w:rPr>
          <w:rFonts w:asciiTheme="minorHAnsi" w:hAnsiTheme="minorHAnsi" w:cstheme="minorHAnsi"/>
        </w:rPr>
      </w:pPr>
    </w:p>
    <w:p w14:paraId="51035D2B" w14:textId="77777777" w:rsidR="005A0411" w:rsidRPr="00252D7B" w:rsidRDefault="005A0411" w:rsidP="005A0411">
      <w:pPr>
        <w:pStyle w:val="Ttulo3"/>
        <w:spacing w:before="120" w:after="120"/>
        <w:rPr>
          <w:rFonts w:asciiTheme="minorHAnsi" w:hAnsiTheme="minorHAnsi" w:cstheme="minorHAnsi"/>
        </w:rPr>
      </w:pPr>
      <w:bookmarkStart w:id="550" w:name="_Toc96705982"/>
      <w:bookmarkStart w:id="551" w:name="_Toc103680615"/>
      <w:r w:rsidRPr="00252D7B">
        <w:rPr>
          <w:rFonts w:asciiTheme="minorHAnsi" w:hAnsiTheme="minorHAnsi" w:cstheme="minorHAnsi"/>
        </w:rPr>
        <w:t>Recomendações e Sugestões</w:t>
      </w:r>
      <w:bookmarkEnd w:id="550"/>
      <w:bookmarkEnd w:id="551"/>
    </w:p>
    <w:p w14:paraId="091A2C37" w14:textId="74F7C520" w:rsidR="005A0411" w:rsidRPr="00252D7B" w:rsidRDefault="005A0411" w:rsidP="00FE4F79">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Durante o de 2021, no intuito de contribuir com o aprimoramento dos processos internos da </w:t>
      </w:r>
      <w:r w:rsidRPr="00252D7B">
        <w:rPr>
          <w:rFonts w:asciiTheme="minorHAnsi" w:hAnsiTheme="minorHAnsi" w:cstheme="minorHAnsi"/>
          <w:sz w:val="24"/>
          <w:szCs w:val="24"/>
        </w:rPr>
        <w:lastRenderedPageBreak/>
        <w:t>Empresa, a Ouvidoria fez as seguintes sugestões de melhoria:</w:t>
      </w:r>
    </w:p>
    <w:p w14:paraId="4C1EFB8B" w14:textId="77777777" w:rsidR="005A0411" w:rsidRPr="00252D7B" w:rsidRDefault="005A0411" w:rsidP="00FE4F79">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No âmbito do Processo SEI nº 51402.100589/2021-96, instaurado pela Ouvidoria para aprimoramento das informações relacionadas à Valec no Sistema de Transparência Ativa (STA/​CGU) da Controladoria Geral da União – CGU, foram consolidadas informações sobre os pedidos de acesso à informação (SIC/LAI) mais frequentes e/ou relevantes abertas pelos cidadãos em 2020 e 2021, para que, a partir desses insumos, fossem implementadas melhorias no site da Empresa, com sugestões de inserção de novos assuntos (janelas) e aprimoramento dos já existentes, considerando o perfil, as necessidades e as dificuldades dos usuários em interagir e navegar na página da Valec na Internet.</w:t>
      </w:r>
    </w:p>
    <w:p w14:paraId="5BA4DADC" w14:textId="77777777" w:rsidR="005A0411" w:rsidRPr="00252D7B" w:rsidRDefault="005A0411" w:rsidP="00FE4F79">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Em 24 de novembro de 2021 a Ouvidoria encaminhou à SUINT minutas propondo a normatização da Lei de Acesso à Informação – nº 12.527/2011, sugestão reiterada no Processo SEI nº 51402.107196/2021-11 e a adoção de uma Política de Prevenção e Enfrentamento ao Assédio Sexual, Moral e à Discriminação no âmbito da Empresa, para fins de aprimoramento da governança corporativa e adoção de métricas ESG, formalizada no Processo Sei nº 51402.100.162/2022-79.</w:t>
      </w:r>
    </w:p>
    <w:p w14:paraId="5E6D222E" w14:textId="07F97DC7" w:rsidR="005A0411" w:rsidRPr="00252D7B" w:rsidRDefault="005A0411" w:rsidP="00FE4F79">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Em 1º de dezembro a Ouvidoria encaminhou ao Grupo de Estudos de implementação da LGPD (Lei nº 13.407/2018) sugestão no sentido de inserir no site da Valec uma chamada, um </w:t>
      </w:r>
      <w:r w:rsidRPr="00252D7B">
        <w:rPr>
          <w:rFonts w:asciiTheme="minorHAnsi" w:hAnsiTheme="minorHAnsi" w:cstheme="minorHAnsi"/>
          <w:i/>
          <w:iCs/>
          <w:sz w:val="24"/>
          <w:szCs w:val="24"/>
        </w:rPr>
        <w:t>link</w:t>
      </w:r>
      <w:r w:rsidRPr="00252D7B">
        <w:rPr>
          <w:rFonts w:asciiTheme="minorHAnsi" w:hAnsiTheme="minorHAnsi" w:cstheme="minorHAnsi"/>
          <w:sz w:val="24"/>
          <w:szCs w:val="24"/>
        </w:rPr>
        <w:t xml:space="preserve">, ou um botão para LGPD, contendo esclarecimentos de como a Empresa trata os dados pessoais dos usuários, quem exerce as atribuições de encarregado para o tratamento de tais ativos e o link da Ouvidoria como canal de recebimento dos requerimentos dos titulares dos dados pessoais, com a informação de que para processar as solicitações dos usuários, a unidade, </w:t>
      </w:r>
      <w:r w:rsidR="00610C91" w:rsidRPr="00252D7B">
        <w:rPr>
          <w:rFonts w:asciiTheme="minorHAnsi" w:hAnsiTheme="minorHAnsi" w:cstheme="minorHAnsi"/>
          <w:sz w:val="24"/>
          <w:szCs w:val="24"/>
        </w:rPr>
        <w:t>por meio</w:t>
      </w:r>
      <w:r w:rsidRPr="00252D7B">
        <w:rPr>
          <w:rFonts w:asciiTheme="minorHAnsi" w:hAnsiTheme="minorHAnsi" w:cstheme="minorHAnsi"/>
          <w:sz w:val="24"/>
          <w:szCs w:val="24"/>
        </w:rPr>
        <w:t xml:space="preserve"> do sistema Fala.Br, coleta e armazena os dados pessoais fornecidos no preenchimento do formulário de manifestações (nome, nome social, documento de identificação, gênero, identidade de gênero,  idade,  grau de instrução, etnia, endereço, cidade, UF, CEP, telefone, celular, e-mail, e meio de resposta), sendo que ao prosseguir, o usuário concordará  com a coleta e o armazenamento dos dados descritos.</w:t>
      </w:r>
    </w:p>
    <w:p w14:paraId="1BC52D02" w14:textId="77777777" w:rsidR="005A0411" w:rsidRPr="00252D7B" w:rsidRDefault="005A0411" w:rsidP="00FE4F79">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No Processo SEI nº 51402.107129/2021-99 a Ouvidoria fez sugestão de melhoria na  Minuta do Manual de Gestão de Riscos, no sentido de incluir no item 6 – Categorias de Riscos, a categoria </w:t>
      </w:r>
      <w:r w:rsidRPr="00252D7B">
        <w:rPr>
          <w:rFonts w:asciiTheme="minorHAnsi" w:hAnsiTheme="minorHAnsi" w:cstheme="minorHAnsi"/>
          <w:b/>
          <w:bCs/>
          <w:sz w:val="24"/>
          <w:szCs w:val="24"/>
        </w:rPr>
        <w:t>Riscos no tratamento de dados pessoais</w:t>
      </w:r>
      <w:r w:rsidRPr="00252D7B">
        <w:rPr>
          <w:rFonts w:asciiTheme="minorHAnsi" w:hAnsiTheme="minorHAnsi" w:cstheme="minorHAnsi"/>
          <w:sz w:val="24"/>
          <w:szCs w:val="24"/>
        </w:rPr>
        <w:t xml:space="preserve">, por entender que a categoria incluída no Manual “Risco de Segurança da Informação - Eventos relacionados com a quebra de confidencialidade, integridade, disponibilidade e autenticidade da informação”, não abarca eventos envolvendo a privacidade e a proteção de dados pessoais das pessoas que se relacionam com a Valec, condição </w:t>
      </w:r>
      <w:r w:rsidRPr="00252D7B">
        <w:rPr>
          <w:rFonts w:asciiTheme="minorHAnsi" w:hAnsiTheme="minorHAnsi" w:cstheme="minorHAnsi"/>
          <w:i/>
          <w:iCs/>
          <w:sz w:val="24"/>
          <w:szCs w:val="24"/>
        </w:rPr>
        <w:t>sine qua non</w:t>
      </w:r>
      <w:r w:rsidRPr="00252D7B">
        <w:rPr>
          <w:rFonts w:asciiTheme="minorHAnsi" w:hAnsiTheme="minorHAnsi" w:cstheme="minorHAnsi"/>
          <w:sz w:val="24"/>
          <w:szCs w:val="24"/>
        </w:rPr>
        <w:t xml:space="preserve"> para que sejam implementados mecanismos que possibilitem a análise, o monitoramento, adoção de medidas preventivas (</w:t>
      </w:r>
      <w:r w:rsidRPr="00252D7B">
        <w:rPr>
          <w:rFonts w:asciiTheme="minorHAnsi" w:hAnsiTheme="minorHAnsi" w:cstheme="minorHAnsi"/>
          <w:i/>
          <w:iCs/>
          <w:sz w:val="24"/>
          <w:szCs w:val="24"/>
        </w:rPr>
        <w:t>Privacy by design</w:t>
      </w:r>
      <w:r w:rsidRPr="00252D7B">
        <w:rPr>
          <w:rFonts w:asciiTheme="minorHAnsi" w:hAnsiTheme="minorHAnsi" w:cstheme="minorHAnsi"/>
          <w:sz w:val="24"/>
          <w:szCs w:val="24"/>
        </w:rPr>
        <w:t>, Avaliação de Impacto à Privacidade – PIA e o Relatório de Impacto à Proteção de Dados Pessoais – RIPD) e reativas a incidentes envolvendo processamento de dados pessoais no âmbito da Empresa.</w:t>
      </w:r>
    </w:p>
    <w:p w14:paraId="765C6796" w14:textId="20F29D1A" w:rsidR="005A0411" w:rsidRPr="00252D7B" w:rsidRDefault="005A0411" w:rsidP="00FE4F79">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No Processo SEI nº 51402.107199/2021-47, a Ouvidoria, a título de sugestão de melhoria do desempenho do setor, solicitou à SUPTI o desenvolvimento de uma ferramenta de IA (inteligência artificial), para fins de atendimento das oportunidades de melhoria elencadas no Relatório de Supervisão Ministerial do Ministério da Infraestrutura, bem como a necessidade da unidade em automatizar as tarefas de reporte mensais das ocorrências do SIC e do sistema OUVIR/Fala.B</w:t>
      </w:r>
      <w:r w:rsidR="003E79DC">
        <w:rPr>
          <w:rFonts w:asciiTheme="minorHAnsi" w:hAnsiTheme="minorHAnsi" w:cstheme="minorHAnsi"/>
          <w:sz w:val="24"/>
          <w:szCs w:val="24"/>
        </w:rPr>
        <w:t>r</w:t>
      </w:r>
      <w:r w:rsidRPr="00252D7B">
        <w:rPr>
          <w:rFonts w:asciiTheme="minorHAnsi" w:hAnsiTheme="minorHAnsi" w:cstheme="minorHAnsi"/>
          <w:sz w:val="24"/>
          <w:szCs w:val="24"/>
        </w:rPr>
        <w:t> , na perspectiva quantitativa, de forma que sobre mais tempo para analisar qualitativamente as informações sistematizadas e assim subsidiar a Alta Administração com insumos adequados e importantes para o processo de tomada de decisão.</w:t>
      </w:r>
    </w:p>
    <w:p w14:paraId="31AEC987" w14:textId="0FABEA32" w:rsidR="00CF6DA7" w:rsidRPr="00252D7B" w:rsidRDefault="00CF6DA7">
      <w:pPr>
        <w:widowControl/>
        <w:autoSpaceDE/>
        <w:autoSpaceDN/>
        <w:spacing w:after="160" w:line="259" w:lineRule="auto"/>
        <w:rPr>
          <w:rFonts w:asciiTheme="minorHAnsi" w:hAnsiTheme="minorHAnsi" w:cstheme="minorHAnsi"/>
          <w:sz w:val="24"/>
          <w:szCs w:val="24"/>
        </w:rPr>
      </w:pPr>
      <w:r w:rsidRPr="00252D7B">
        <w:rPr>
          <w:rFonts w:asciiTheme="minorHAnsi" w:hAnsiTheme="minorHAnsi" w:cstheme="minorHAnsi"/>
          <w:sz w:val="24"/>
          <w:szCs w:val="24"/>
        </w:rPr>
        <w:br w:type="page"/>
      </w:r>
    </w:p>
    <w:p w14:paraId="38CD65DC" w14:textId="77777777" w:rsidR="005A0411" w:rsidRPr="00252D7B" w:rsidRDefault="005A0411" w:rsidP="005A0411">
      <w:pPr>
        <w:pStyle w:val="Ttulo3"/>
        <w:spacing w:before="120" w:after="120"/>
        <w:rPr>
          <w:rFonts w:asciiTheme="minorHAnsi" w:hAnsiTheme="minorHAnsi" w:cstheme="minorHAnsi"/>
        </w:rPr>
      </w:pPr>
      <w:bookmarkStart w:id="552" w:name="_Toc96705983"/>
      <w:bookmarkStart w:id="553" w:name="_Toc103680616"/>
      <w:r w:rsidRPr="00252D7B">
        <w:rPr>
          <w:rFonts w:asciiTheme="minorHAnsi" w:hAnsiTheme="minorHAnsi" w:cstheme="minorHAnsi"/>
        </w:rPr>
        <w:lastRenderedPageBreak/>
        <w:t>Avaliação</w:t>
      </w:r>
      <w:bookmarkEnd w:id="552"/>
      <w:bookmarkEnd w:id="553"/>
    </w:p>
    <w:p w14:paraId="3AC9804A" w14:textId="7F03D769" w:rsidR="005A0411" w:rsidRPr="00252D7B" w:rsidRDefault="005A0411" w:rsidP="005A0411">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A plataforma Fala.br oferece uma pesquisa de satisfação do usuário para o SIC e outra para a Ouvidoria, ambas de preenchimento facultativo, que são respondidas pelo solicitante após receber a resposta da Valec. </w:t>
      </w:r>
    </w:p>
    <w:p w14:paraId="5F4B68C7" w14:textId="4C86CACB" w:rsidR="005A0411" w:rsidRPr="00252D7B" w:rsidRDefault="005A0411" w:rsidP="005A0411">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A Pesquisa de Satisfação do SIC – LAI - possui duas perguntas e o solicitantes as respondem em uma escala de 1 a 5. O resultado desta pesquisa para o ano de 2021 pode ser visto na </w:t>
      </w:r>
      <w:r w:rsidRPr="00252D7B">
        <w:rPr>
          <w:rFonts w:asciiTheme="minorHAnsi" w:hAnsiTheme="minorHAnsi" w:cstheme="minorHAnsi"/>
          <w:sz w:val="24"/>
          <w:szCs w:val="24"/>
        </w:rPr>
        <w:fldChar w:fldCharType="begin"/>
      </w:r>
      <w:r w:rsidRPr="00252D7B">
        <w:rPr>
          <w:rFonts w:asciiTheme="minorHAnsi" w:hAnsiTheme="minorHAnsi" w:cstheme="minorHAnsi"/>
          <w:sz w:val="24"/>
          <w:szCs w:val="24"/>
        </w:rPr>
        <w:instrText xml:space="preserve"> REF _Ref96705398  \* MERGEFORMAT </w:instrText>
      </w:r>
      <w:r w:rsidRPr="00252D7B">
        <w:rPr>
          <w:rFonts w:asciiTheme="minorHAnsi" w:hAnsiTheme="minorHAnsi" w:cstheme="minorHAnsi"/>
          <w:sz w:val="24"/>
          <w:szCs w:val="24"/>
        </w:rPr>
        <w:fldChar w:fldCharType="separate"/>
      </w:r>
      <w:r w:rsidR="00C12888" w:rsidRPr="00C12888">
        <w:rPr>
          <w:rFonts w:asciiTheme="minorHAnsi" w:hAnsiTheme="minorHAnsi" w:cstheme="minorHAnsi"/>
          <w:sz w:val="24"/>
          <w:szCs w:val="24"/>
        </w:rPr>
        <w:t>Figura 26</w:t>
      </w:r>
      <w:r w:rsidRPr="00252D7B">
        <w:rPr>
          <w:rFonts w:asciiTheme="minorHAnsi" w:hAnsiTheme="minorHAnsi" w:cstheme="minorHAnsi"/>
          <w:sz w:val="24"/>
          <w:szCs w:val="24"/>
        </w:rPr>
        <w:fldChar w:fldCharType="end"/>
      </w:r>
      <w:r w:rsidRPr="00252D7B">
        <w:rPr>
          <w:rFonts w:asciiTheme="minorHAnsi" w:hAnsiTheme="minorHAnsi" w:cstheme="minorHAnsi"/>
          <w:sz w:val="24"/>
          <w:szCs w:val="24"/>
        </w:rPr>
        <w:t>. A pesquisa de satisfação do SIC da Valec teve 6 respostas de 72 manifestações.</w:t>
      </w:r>
    </w:p>
    <w:p w14:paraId="6AFF8896" w14:textId="77777777" w:rsidR="005A0411" w:rsidRPr="00252D7B" w:rsidRDefault="005A0411" w:rsidP="009C479C">
      <w:pPr>
        <w:spacing w:before="120"/>
        <w:jc w:val="both"/>
        <w:rPr>
          <w:rFonts w:asciiTheme="minorHAnsi" w:hAnsiTheme="minorHAnsi" w:cstheme="minorHAnsi"/>
          <w:sz w:val="24"/>
          <w:szCs w:val="24"/>
        </w:rPr>
      </w:pPr>
    </w:p>
    <w:p w14:paraId="6827CAB7" w14:textId="17F5F19D" w:rsidR="005A0411" w:rsidRPr="00252D7B" w:rsidRDefault="005A0411" w:rsidP="005A0411">
      <w:pPr>
        <w:pStyle w:val="Legenda"/>
        <w:jc w:val="center"/>
        <w:rPr>
          <w:rFonts w:asciiTheme="minorHAnsi" w:hAnsiTheme="minorHAnsi" w:cstheme="minorHAnsi"/>
          <w:sz w:val="22"/>
          <w:szCs w:val="22"/>
        </w:rPr>
      </w:pPr>
      <w:bookmarkStart w:id="554" w:name="_Ref96705398"/>
      <w:bookmarkStart w:id="555" w:name="_Toc96706076"/>
      <w:bookmarkStart w:id="556" w:name="_Toc103680762"/>
      <w:r w:rsidRPr="00252D7B">
        <w:rPr>
          <w:rFonts w:asciiTheme="minorHAnsi" w:hAnsiTheme="minorHAnsi" w:cstheme="minorHAnsi"/>
          <w:sz w:val="20"/>
          <w:szCs w:val="20"/>
        </w:rPr>
        <w:t xml:space="preserve">Figura </w:t>
      </w:r>
      <w:r w:rsidR="00F46BDB" w:rsidRPr="00252D7B">
        <w:rPr>
          <w:rFonts w:asciiTheme="minorHAnsi" w:hAnsiTheme="minorHAnsi" w:cstheme="minorHAnsi"/>
          <w:sz w:val="20"/>
          <w:szCs w:val="20"/>
        </w:rPr>
        <w:fldChar w:fldCharType="begin"/>
      </w:r>
      <w:r w:rsidR="00F46BDB" w:rsidRPr="00252D7B">
        <w:rPr>
          <w:rFonts w:asciiTheme="minorHAnsi" w:hAnsiTheme="minorHAnsi" w:cstheme="minorHAnsi"/>
          <w:sz w:val="20"/>
          <w:szCs w:val="20"/>
        </w:rPr>
        <w:instrText xml:space="preserve"> SEQ Figura \* ARABIC </w:instrText>
      </w:r>
      <w:r w:rsidR="00F46BDB"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26</w:t>
      </w:r>
      <w:r w:rsidR="00F46BDB" w:rsidRPr="00252D7B">
        <w:rPr>
          <w:rFonts w:asciiTheme="minorHAnsi" w:hAnsiTheme="minorHAnsi" w:cstheme="minorHAnsi"/>
          <w:sz w:val="20"/>
          <w:szCs w:val="20"/>
        </w:rPr>
        <w:fldChar w:fldCharType="end"/>
      </w:r>
      <w:bookmarkEnd w:id="554"/>
      <w:r w:rsidRPr="00252D7B">
        <w:rPr>
          <w:rFonts w:asciiTheme="minorHAnsi" w:hAnsiTheme="minorHAnsi" w:cstheme="minorHAnsi"/>
          <w:sz w:val="20"/>
          <w:szCs w:val="20"/>
        </w:rPr>
        <w:t xml:space="preserve"> </w:t>
      </w:r>
      <w:r w:rsidR="009050E4" w:rsidRPr="00252D7B">
        <w:rPr>
          <w:rFonts w:asciiTheme="minorHAnsi" w:hAnsiTheme="minorHAnsi" w:cstheme="minorHAnsi"/>
          <w:sz w:val="20"/>
          <w:szCs w:val="20"/>
        </w:rPr>
        <w:t>–</w:t>
      </w:r>
      <w:r w:rsidRPr="00252D7B">
        <w:rPr>
          <w:rFonts w:asciiTheme="minorHAnsi" w:hAnsiTheme="minorHAnsi" w:cstheme="minorHAnsi"/>
          <w:sz w:val="20"/>
          <w:szCs w:val="20"/>
        </w:rPr>
        <w:t xml:space="preserve"> SIC </w:t>
      </w:r>
      <w:r w:rsidR="009050E4" w:rsidRPr="00252D7B">
        <w:rPr>
          <w:rFonts w:asciiTheme="minorHAnsi" w:hAnsiTheme="minorHAnsi" w:cstheme="minorHAnsi"/>
          <w:sz w:val="20"/>
          <w:szCs w:val="20"/>
        </w:rPr>
        <w:t>–</w:t>
      </w:r>
      <w:r w:rsidRPr="00252D7B">
        <w:rPr>
          <w:rFonts w:asciiTheme="minorHAnsi" w:hAnsiTheme="minorHAnsi" w:cstheme="minorHAnsi"/>
          <w:sz w:val="20"/>
          <w:szCs w:val="20"/>
        </w:rPr>
        <w:t xml:space="preserve"> Pesquisa de Satisfação do Usuário solicitações da LAI na </w:t>
      </w:r>
      <w:r w:rsidR="00610C91" w:rsidRPr="00252D7B">
        <w:rPr>
          <w:rFonts w:asciiTheme="minorHAnsi" w:hAnsiTheme="minorHAnsi" w:cstheme="minorHAnsi"/>
          <w:sz w:val="20"/>
          <w:szCs w:val="20"/>
        </w:rPr>
        <w:t>Valec</w:t>
      </w:r>
      <w:r w:rsidRPr="00252D7B">
        <w:rPr>
          <w:rFonts w:asciiTheme="minorHAnsi" w:hAnsiTheme="minorHAnsi" w:cstheme="minorHAnsi"/>
          <w:sz w:val="20"/>
          <w:szCs w:val="20"/>
        </w:rPr>
        <w:t>, entre 01/12/2021 e 31/12/2021.</w:t>
      </w:r>
      <w:bookmarkEnd w:id="555"/>
      <w:bookmarkEnd w:id="556"/>
    </w:p>
    <w:p w14:paraId="7EC64960" w14:textId="5F755F51" w:rsidR="00B175AE" w:rsidRPr="00252D7B" w:rsidRDefault="009C479C" w:rsidP="009C479C">
      <w:pPr>
        <w:pStyle w:val="Corpodetexto"/>
        <w:spacing w:before="120" w:after="120"/>
        <w:ind w:left="192" w:right="306"/>
        <w:jc w:val="center"/>
        <w:rPr>
          <w:rFonts w:asciiTheme="minorHAnsi" w:eastAsia="Times New Roman" w:hAnsiTheme="minorHAnsi" w:cstheme="minorHAnsi"/>
          <w:i/>
          <w:iCs/>
          <w:color w:val="1F3864" w:themeColor="accent1" w:themeShade="80"/>
          <w:sz w:val="22"/>
          <w:szCs w:val="22"/>
          <w:lang w:eastAsia="pt-BR"/>
        </w:rPr>
      </w:pPr>
      <w:r w:rsidRPr="00252D7B">
        <w:rPr>
          <w:rFonts w:asciiTheme="minorHAnsi" w:hAnsiTheme="minorHAnsi" w:cstheme="minorHAnsi"/>
          <w:noProof/>
          <w:sz w:val="20"/>
          <w:szCs w:val="20"/>
        </w:rPr>
        <w:drawing>
          <wp:inline distT="0" distB="0" distL="0" distR="0" wp14:anchorId="34D68702" wp14:editId="250636BD">
            <wp:extent cx="5570220" cy="3181350"/>
            <wp:effectExtent l="0" t="0" r="0" b="0"/>
            <wp:docPr id="2001982178" name="image69.jpeg" descr="Tex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9.jpe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570220" cy="3181350"/>
                    </a:xfrm>
                    <a:prstGeom prst="rect">
                      <a:avLst/>
                    </a:prstGeom>
                  </pic:spPr>
                </pic:pic>
              </a:graphicData>
            </a:graphic>
          </wp:inline>
        </w:drawing>
      </w:r>
    </w:p>
    <w:p w14:paraId="5998C1CB" w14:textId="27583A6E" w:rsidR="005A0411" w:rsidRPr="00252D7B" w:rsidRDefault="005A0411" w:rsidP="005A0411">
      <w:pPr>
        <w:pStyle w:val="Corpodetexto"/>
        <w:spacing w:before="120" w:after="120"/>
        <w:ind w:left="192" w:right="306"/>
        <w:jc w:val="both"/>
        <w:rPr>
          <w:rFonts w:asciiTheme="minorHAnsi" w:eastAsia="Times New Roman" w:hAnsiTheme="minorHAnsi" w:cstheme="minorHAnsi"/>
          <w:i/>
          <w:iCs/>
          <w:color w:val="1F3864" w:themeColor="accent1" w:themeShade="80"/>
          <w:sz w:val="20"/>
          <w:szCs w:val="20"/>
          <w:lang w:eastAsia="pt-BR"/>
        </w:rPr>
      </w:pPr>
      <w:r w:rsidRPr="00252D7B">
        <w:rPr>
          <w:rFonts w:asciiTheme="minorHAnsi" w:eastAsia="Times New Roman" w:hAnsiTheme="minorHAnsi" w:cstheme="minorHAnsi"/>
          <w:i/>
          <w:iCs/>
          <w:color w:val="1F3864" w:themeColor="accent1" w:themeShade="80"/>
          <w:sz w:val="20"/>
          <w:szCs w:val="20"/>
          <w:lang w:eastAsia="pt-BR"/>
        </w:rPr>
        <w:t>Nota: A Pergunta 1, que trata de resolutividade para o usuário teve um aproveitamento de 80%. Para a Pergunta 2, que trata da compreensão da resposta pelo usuário, teve um aproveitamento de 83%.</w:t>
      </w:r>
    </w:p>
    <w:p w14:paraId="544F777D" w14:textId="77777777" w:rsidR="005A0411" w:rsidRPr="00252D7B" w:rsidRDefault="005A0411" w:rsidP="009C479C">
      <w:pPr>
        <w:spacing w:before="120"/>
        <w:jc w:val="both"/>
        <w:rPr>
          <w:rFonts w:asciiTheme="minorHAnsi" w:hAnsiTheme="minorHAnsi" w:cstheme="minorHAnsi"/>
          <w:sz w:val="24"/>
          <w:szCs w:val="24"/>
        </w:rPr>
      </w:pPr>
    </w:p>
    <w:p w14:paraId="07A7E216" w14:textId="30A60E51" w:rsidR="005A0411" w:rsidRPr="00252D7B" w:rsidRDefault="005A0411" w:rsidP="005A0411">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A </w:t>
      </w:r>
      <w:r w:rsidRPr="00252D7B">
        <w:rPr>
          <w:rFonts w:asciiTheme="minorHAnsi" w:hAnsiTheme="minorHAnsi" w:cstheme="minorHAnsi"/>
          <w:sz w:val="24"/>
          <w:szCs w:val="24"/>
        </w:rPr>
        <w:fldChar w:fldCharType="begin"/>
      </w:r>
      <w:r w:rsidRPr="00252D7B">
        <w:rPr>
          <w:rFonts w:asciiTheme="minorHAnsi" w:hAnsiTheme="minorHAnsi" w:cstheme="minorHAnsi"/>
          <w:sz w:val="24"/>
          <w:szCs w:val="24"/>
        </w:rPr>
        <w:instrText xml:space="preserve"> REF _Ref96705429  \* MERGEFORMAT </w:instrText>
      </w:r>
      <w:r w:rsidRPr="00252D7B">
        <w:rPr>
          <w:rFonts w:asciiTheme="minorHAnsi" w:hAnsiTheme="minorHAnsi" w:cstheme="minorHAnsi"/>
          <w:sz w:val="24"/>
          <w:szCs w:val="24"/>
        </w:rPr>
        <w:fldChar w:fldCharType="separate"/>
      </w:r>
      <w:r w:rsidR="00C12888" w:rsidRPr="00C12888">
        <w:rPr>
          <w:rFonts w:asciiTheme="minorHAnsi" w:hAnsiTheme="minorHAnsi" w:cstheme="minorHAnsi"/>
          <w:sz w:val="24"/>
          <w:szCs w:val="24"/>
        </w:rPr>
        <w:t>Figura 27</w:t>
      </w:r>
      <w:r w:rsidRPr="00252D7B">
        <w:rPr>
          <w:rFonts w:asciiTheme="minorHAnsi" w:hAnsiTheme="minorHAnsi" w:cstheme="minorHAnsi"/>
          <w:sz w:val="24"/>
          <w:szCs w:val="24"/>
        </w:rPr>
        <w:fldChar w:fldCharType="end"/>
      </w:r>
      <w:r w:rsidRPr="00252D7B">
        <w:rPr>
          <w:rFonts w:asciiTheme="minorHAnsi" w:hAnsiTheme="minorHAnsi" w:cstheme="minorHAnsi"/>
          <w:sz w:val="24"/>
          <w:szCs w:val="24"/>
        </w:rPr>
        <w:t xml:space="preserve"> mostra o resultado da pesquisa de satisfação do SIC do Governo Federal. Foram respondidas 9.984 pesquisas de opinião de 119,399 pedidos de informação.</w:t>
      </w:r>
    </w:p>
    <w:p w14:paraId="4E991A24" w14:textId="77777777" w:rsidR="005A0411" w:rsidRPr="00252D7B" w:rsidRDefault="005A0411" w:rsidP="005A0411">
      <w:pPr>
        <w:widowControl/>
        <w:autoSpaceDE/>
        <w:autoSpaceDN/>
        <w:spacing w:after="160" w:line="259" w:lineRule="auto"/>
        <w:rPr>
          <w:rFonts w:asciiTheme="minorHAnsi" w:hAnsiTheme="minorHAnsi" w:cstheme="minorHAnsi"/>
          <w:sz w:val="24"/>
          <w:szCs w:val="24"/>
        </w:rPr>
      </w:pPr>
      <w:r w:rsidRPr="00252D7B">
        <w:rPr>
          <w:rFonts w:asciiTheme="minorHAnsi" w:hAnsiTheme="minorHAnsi" w:cstheme="minorHAnsi"/>
          <w:sz w:val="24"/>
          <w:szCs w:val="24"/>
        </w:rPr>
        <w:br w:type="page"/>
      </w:r>
    </w:p>
    <w:p w14:paraId="4CD8DD1C" w14:textId="02EA090E" w:rsidR="005A0411" w:rsidRPr="00252D7B" w:rsidRDefault="005A0411" w:rsidP="005A0411">
      <w:pPr>
        <w:pStyle w:val="Legenda"/>
        <w:jc w:val="center"/>
        <w:rPr>
          <w:rFonts w:asciiTheme="minorHAnsi" w:hAnsiTheme="minorHAnsi" w:cstheme="minorHAnsi"/>
          <w:sz w:val="22"/>
          <w:szCs w:val="22"/>
        </w:rPr>
      </w:pPr>
      <w:bookmarkStart w:id="557" w:name="_Ref96705429"/>
      <w:bookmarkStart w:id="558" w:name="_Toc96706077"/>
      <w:bookmarkStart w:id="559" w:name="_Toc103680763"/>
      <w:r w:rsidRPr="00252D7B">
        <w:rPr>
          <w:rFonts w:asciiTheme="minorHAnsi" w:hAnsiTheme="minorHAnsi" w:cstheme="minorHAnsi"/>
          <w:sz w:val="22"/>
          <w:szCs w:val="22"/>
        </w:rPr>
        <w:lastRenderedPageBreak/>
        <w:t xml:space="preserve">Figura </w:t>
      </w:r>
      <w:r w:rsidR="00F46BDB" w:rsidRPr="00252D7B">
        <w:rPr>
          <w:rFonts w:asciiTheme="minorHAnsi" w:hAnsiTheme="minorHAnsi" w:cstheme="minorHAnsi"/>
          <w:sz w:val="22"/>
          <w:szCs w:val="22"/>
        </w:rPr>
        <w:fldChar w:fldCharType="begin"/>
      </w:r>
      <w:r w:rsidR="00F46BDB" w:rsidRPr="00252D7B">
        <w:rPr>
          <w:rFonts w:asciiTheme="minorHAnsi" w:hAnsiTheme="minorHAnsi" w:cstheme="minorHAnsi"/>
          <w:sz w:val="22"/>
          <w:szCs w:val="22"/>
        </w:rPr>
        <w:instrText xml:space="preserve"> SEQ Figura \* ARABIC </w:instrText>
      </w:r>
      <w:r w:rsidR="00F46BDB" w:rsidRPr="00252D7B">
        <w:rPr>
          <w:rFonts w:asciiTheme="minorHAnsi" w:hAnsiTheme="minorHAnsi" w:cstheme="minorHAnsi"/>
          <w:sz w:val="22"/>
          <w:szCs w:val="22"/>
        </w:rPr>
        <w:fldChar w:fldCharType="separate"/>
      </w:r>
      <w:r w:rsidR="00C12888">
        <w:rPr>
          <w:rFonts w:asciiTheme="minorHAnsi" w:hAnsiTheme="minorHAnsi" w:cstheme="minorHAnsi"/>
          <w:noProof/>
          <w:sz w:val="22"/>
          <w:szCs w:val="22"/>
        </w:rPr>
        <w:t>27</w:t>
      </w:r>
      <w:r w:rsidR="00F46BDB" w:rsidRPr="00252D7B">
        <w:rPr>
          <w:rFonts w:asciiTheme="minorHAnsi" w:hAnsiTheme="minorHAnsi" w:cstheme="minorHAnsi"/>
          <w:sz w:val="22"/>
          <w:szCs w:val="22"/>
        </w:rPr>
        <w:fldChar w:fldCharType="end"/>
      </w:r>
      <w:bookmarkEnd w:id="557"/>
      <w:r w:rsidRPr="00252D7B">
        <w:rPr>
          <w:rFonts w:asciiTheme="minorHAnsi" w:hAnsiTheme="minorHAnsi" w:cstheme="minorHAnsi"/>
          <w:sz w:val="22"/>
          <w:szCs w:val="22"/>
        </w:rPr>
        <w:t xml:space="preserve"> </w:t>
      </w:r>
      <w:r w:rsidR="009050E4" w:rsidRPr="00252D7B">
        <w:rPr>
          <w:rFonts w:asciiTheme="minorHAnsi" w:hAnsiTheme="minorHAnsi" w:cstheme="minorHAnsi"/>
          <w:sz w:val="22"/>
          <w:szCs w:val="22"/>
        </w:rPr>
        <w:t>–</w:t>
      </w:r>
      <w:r w:rsidRPr="00252D7B">
        <w:rPr>
          <w:rFonts w:asciiTheme="minorHAnsi" w:hAnsiTheme="minorHAnsi" w:cstheme="minorHAnsi"/>
          <w:sz w:val="22"/>
          <w:szCs w:val="22"/>
        </w:rPr>
        <w:t xml:space="preserve"> SIC </w:t>
      </w:r>
      <w:r w:rsidR="009050E4" w:rsidRPr="00252D7B">
        <w:rPr>
          <w:rFonts w:asciiTheme="minorHAnsi" w:hAnsiTheme="minorHAnsi" w:cstheme="minorHAnsi"/>
          <w:sz w:val="22"/>
          <w:szCs w:val="22"/>
        </w:rPr>
        <w:t>–</w:t>
      </w:r>
      <w:r w:rsidRPr="00252D7B">
        <w:rPr>
          <w:rFonts w:asciiTheme="minorHAnsi" w:hAnsiTheme="minorHAnsi" w:cstheme="minorHAnsi"/>
          <w:sz w:val="22"/>
          <w:szCs w:val="22"/>
        </w:rPr>
        <w:t xml:space="preserve"> Pesquisa de Satisfação do Usuário para solicitações da LAI do Governo Federal, entre 01/12/2021 e 31/12/2021.</w:t>
      </w:r>
      <w:bookmarkEnd w:id="558"/>
      <w:bookmarkEnd w:id="559"/>
    </w:p>
    <w:p w14:paraId="36A74CC5" w14:textId="79D8958B" w:rsidR="005A0411" w:rsidRPr="00252D7B" w:rsidRDefault="009C479C" w:rsidP="009C479C">
      <w:pPr>
        <w:spacing w:before="120" w:after="120"/>
        <w:jc w:val="center"/>
        <w:rPr>
          <w:rFonts w:asciiTheme="minorHAnsi" w:hAnsiTheme="minorHAnsi" w:cstheme="minorHAnsi"/>
        </w:rPr>
      </w:pPr>
      <w:r w:rsidRPr="00252D7B">
        <w:rPr>
          <w:rFonts w:asciiTheme="minorHAnsi" w:hAnsiTheme="minorHAnsi" w:cstheme="minorHAnsi"/>
          <w:noProof/>
        </w:rPr>
        <w:drawing>
          <wp:inline distT="0" distB="0" distL="0" distR="0" wp14:anchorId="04EDEA77" wp14:editId="3648792D">
            <wp:extent cx="5581015" cy="3234690"/>
            <wp:effectExtent l="0" t="0" r="635" b="3810"/>
            <wp:docPr id="2001982179"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pic:nvPicPr>
                  <pic:blipFill>
                    <a:blip r:embed="rId98">
                      <a:extLst>
                        <a:ext uri="{28A0092B-C50C-407E-A947-70E740481C1C}">
                          <a14:useLocalDpi xmlns:a14="http://schemas.microsoft.com/office/drawing/2010/main" val="0"/>
                        </a:ext>
                      </a:extLst>
                    </a:blip>
                    <a:stretch>
                      <a:fillRect/>
                    </a:stretch>
                  </pic:blipFill>
                  <pic:spPr>
                    <a:xfrm>
                      <a:off x="0" y="0"/>
                      <a:ext cx="5581015" cy="3234690"/>
                    </a:xfrm>
                    <a:prstGeom prst="rect">
                      <a:avLst/>
                    </a:prstGeom>
                  </pic:spPr>
                </pic:pic>
              </a:graphicData>
            </a:graphic>
          </wp:inline>
        </w:drawing>
      </w:r>
    </w:p>
    <w:p w14:paraId="62F50341" w14:textId="77777777" w:rsidR="005A0411" w:rsidRPr="00252D7B" w:rsidRDefault="005A0411" w:rsidP="009C479C">
      <w:pPr>
        <w:spacing w:before="120"/>
        <w:jc w:val="both"/>
        <w:rPr>
          <w:rFonts w:asciiTheme="minorHAnsi" w:hAnsiTheme="minorHAnsi" w:cstheme="minorHAnsi"/>
        </w:rPr>
      </w:pPr>
    </w:p>
    <w:p w14:paraId="6C8AC65A" w14:textId="77777777" w:rsidR="005A0411" w:rsidRPr="00252D7B" w:rsidRDefault="005A0411" w:rsidP="005A0411">
      <w:pPr>
        <w:pStyle w:val="Ttulo4"/>
        <w:spacing w:before="120"/>
        <w:rPr>
          <w:rFonts w:asciiTheme="minorHAnsi" w:hAnsiTheme="minorHAnsi" w:cstheme="minorHAnsi"/>
        </w:rPr>
      </w:pPr>
      <w:bookmarkStart w:id="560" w:name="_Toc103680617"/>
      <w:r w:rsidRPr="00252D7B">
        <w:rPr>
          <w:rFonts w:asciiTheme="minorHAnsi" w:hAnsiTheme="minorHAnsi" w:cstheme="minorHAnsi"/>
        </w:rPr>
        <w:t>Percepção do usuário quanto à resolutividade das demandas de Ouvidoria</w:t>
      </w:r>
      <w:bookmarkEnd w:id="560"/>
    </w:p>
    <w:p w14:paraId="22E8608F" w14:textId="073D96F1" w:rsidR="005A0411" w:rsidRPr="00252D7B" w:rsidRDefault="005A0411" w:rsidP="005A0411">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Na pesquisa de opinião específica para as manifestações de Ouvidoria, ao receber as respostas, o cidadão é instado a responder duas perguntas. Uma de resolutividade, se a demanda foi resolvida e outra de satisfação, se ele ficou satisfeito com o atendimento prestado. A </w:t>
      </w:r>
      <w:r w:rsidRPr="00252D7B">
        <w:rPr>
          <w:rFonts w:asciiTheme="minorHAnsi" w:hAnsiTheme="minorHAnsi" w:cstheme="minorHAnsi"/>
          <w:sz w:val="24"/>
          <w:szCs w:val="24"/>
        </w:rPr>
        <w:fldChar w:fldCharType="begin"/>
      </w:r>
      <w:r w:rsidRPr="00252D7B">
        <w:rPr>
          <w:rFonts w:asciiTheme="minorHAnsi" w:hAnsiTheme="minorHAnsi" w:cstheme="minorHAnsi"/>
          <w:sz w:val="24"/>
          <w:szCs w:val="24"/>
        </w:rPr>
        <w:instrText xml:space="preserve"> REF _Ref96705460  \* MERGEFORMAT </w:instrText>
      </w:r>
      <w:r w:rsidRPr="00252D7B">
        <w:rPr>
          <w:rFonts w:asciiTheme="minorHAnsi" w:hAnsiTheme="minorHAnsi" w:cstheme="minorHAnsi"/>
          <w:sz w:val="24"/>
          <w:szCs w:val="24"/>
        </w:rPr>
        <w:fldChar w:fldCharType="separate"/>
      </w:r>
      <w:r w:rsidR="00C12888" w:rsidRPr="00C12888">
        <w:rPr>
          <w:rFonts w:asciiTheme="minorHAnsi" w:hAnsiTheme="minorHAnsi" w:cstheme="minorHAnsi"/>
          <w:sz w:val="24"/>
          <w:szCs w:val="24"/>
        </w:rPr>
        <w:t>Figura 28</w:t>
      </w:r>
      <w:r w:rsidRPr="00252D7B">
        <w:rPr>
          <w:rFonts w:asciiTheme="minorHAnsi" w:hAnsiTheme="minorHAnsi" w:cstheme="minorHAnsi"/>
          <w:sz w:val="24"/>
          <w:szCs w:val="24"/>
        </w:rPr>
        <w:fldChar w:fldCharType="end"/>
      </w:r>
      <w:r w:rsidRPr="00252D7B">
        <w:rPr>
          <w:rFonts w:asciiTheme="minorHAnsi" w:hAnsiTheme="minorHAnsi" w:cstheme="minorHAnsi"/>
          <w:sz w:val="24"/>
          <w:szCs w:val="24"/>
        </w:rPr>
        <w:t xml:space="preserve"> mostra este resultado para a Valec. Já a próxima mostra o resultado para todo o Governo Federal. </w:t>
      </w:r>
    </w:p>
    <w:p w14:paraId="47CD1D26" w14:textId="77777777" w:rsidR="005A0411" w:rsidRPr="00252D7B" w:rsidRDefault="005A0411" w:rsidP="00556036">
      <w:pPr>
        <w:spacing w:before="120"/>
        <w:jc w:val="both"/>
        <w:rPr>
          <w:rFonts w:asciiTheme="minorHAnsi" w:hAnsiTheme="minorHAnsi" w:cstheme="minorHAnsi"/>
        </w:rPr>
      </w:pPr>
    </w:p>
    <w:p w14:paraId="22E4146C" w14:textId="09774374" w:rsidR="005A0411" w:rsidRPr="00252D7B" w:rsidRDefault="005A0411" w:rsidP="005A0411">
      <w:pPr>
        <w:pStyle w:val="Legenda"/>
        <w:jc w:val="center"/>
        <w:rPr>
          <w:rFonts w:asciiTheme="minorHAnsi" w:hAnsiTheme="minorHAnsi" w:cstheme="minorHAnsi"/>
          <w:sz w:val="20"/>
          <w:szCs w:val="20"/>
        </w:rPr>
      </w:pPr>
      <w:bookmarkStart w:id="561" w:name="_Ref96705460"/>
      <w:bookmarkStart w:id="562" w:name="_Toc96706078"/>
      <w:bookmarkStart w:id="563" w:name="_Toc103680764"/>
      <w:r w:rsidRPr="00252D7B">
        <w:rPr>
          <w:rFonts w:asciiTheme="minorHAnsi" w:hAnsiTheme="minorHAnsi" w:cstheme="minorHAnsi"/>
          <w:sz w:val="20"/>
          <w:szCs w:val="20"/>
        </w:rPr>
        <w:t xml:space="preserve">Figura </w:t>
      </w:r>
      <w:r w:rsidR="00F46BDB" w:rsidRPr="00252D7B">
        <w:rPr>
          <w:rFonts w:asciiTheme="minorHAnsi" w:hAnsiTheme="minorHAnsi" w:cstheme="minorHAnsi"/>
          <w:sz w:val="20"/>
          <w:szCs w:val="20"/>
        </w:rPr>
        <w:fldChar w:fldCharType="begin"/>
      </w:r>
      <w:r w:rsidR="00F46BDB" w:rsidRPr="00252D7B">
        <w:rPr>
          <w:rFonts w:asciiTheme="minorHAnsi" w:hAnsiTheme="minorHAnsi" w:cstheme="minorHAnsi"/>
          <w:sz w:val="20"/>
          <w:szCs w:val="20"/>
        </w:rPr>
        <w:instrText xml:space="preserve"> SEQ Figura \* ARABIC </w:instrText>
      </w:r>
      <w:r w:rsidR="00F46BDB"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28</w:t>
      </w:r>
      <w:r w:rsidR="00F46BDB" w:rsidRPr="00252D7B">
        <w:rPr>
          <w:rFonts w:asciiTheme="minorHAnsi" w:hAnsiTheme="minorHAnsi" w:cstheme="minorHAnsi"/>
          <w:sz w:val="20"/>
          <w:szCs w:val="20"/>
        </w:rPr>
        <w:fldChar w:fldCharType="end"/>
      </w:r>
      <w:bookmarkEnd w:id="561"/>
      <w:r w:rsidRPr="00252D7B">
        <w:rPr>
          <w:rFonts w:asciiTheme="minorHAnsi" w:hAnsiTheme="minorHAnsi" w:cstheme="minorHAnsi"/>
          <w:sz w:val="20"/>
          <w:szCs w:val="20"/>
        </w:rPr>
        <w:t xml:space="preserve"> </w:t>
      </w:r>
      <w:r w:rsidR="009050E4" w:rsidRPr="00252D7B">
        <w:rPr>
          <w:rFonts w:asciiTheme="minorHAnsi" w:hAnsiTheme="minorHAnsi" w:cstheme="minorHAnsi"/>
          <w:sz w:val="20"/>
          <w:szCs w:val="20"/>
        </w:rPr>
        <w:t>–</w:t>
      </w:r>
      <w:r w:rsidRPr="00252D7B">
        <w:rPr>
          <w:rFonts w:asciiTheme="minorHAnsi" w:hAnsiTheme="minorHAnsi" w:cstheme="minorHAnsi"/>
          <w:sz w:val="20"/>
          <w:szCs w:val="20"/>
        </w:rPr>
        <w:t xml:space="preserve"> Pesquisa de Satisfação do Usuário solicitações da Ouvidoria na </w:t>
      </w:r>
      <w:r w:rsidR="00610C91" w:rsidRPr="00252D7B">
        <w:rPr>
          <w:rFonts w:asciiTheme="minorHAnsi" w:hAnsiTheme="minorHAnsi" w:cstheme="minorHAnsi"/>
          <w:sz w:val="20"/>
          <w:szCs w:val="20"/>
        </w:rPr>
        <w:t>Valec</w:t>
      </w:r>
      <w:r w:rsidRPr="00252D7B">
        <w:rPr>
          <w:rFonts w:asciiTheme="minorHAnsi" w:hAnsiTheme="minorHAnsi" w:cstheme="minorHAnsi"/>
          <w:sz w:val="20"/>
          <w:szCs w:val="20"/>
        </w:rPr>
        <w:t>, entre 01/12/2021 e 31/12/2021.</w:t>
      </w:r>
      <w:bookmarkEnd w:id="562"/>
      <w:bookmarkEnd w:id="563"/>
    </w:p>
    <w:p w14:paraId="22F03001" w14:textId="77777777" w:rsidR="005A0411" w:rsidRPr="00252D7B" w:rsidRDefault="005A0411" w:rsidP="005A0411">
      <w:pPr>
        <w:spacing w:before="120" w:after="120"/>
        <w:jc w:val="both"/>
        <w:rPr>
          <w:rFonts w:asciiTheme="minorHAnsi" w:hAnsiTheme="minorHAnsi" w:cstheme="minorHAnsi"/>
        </w:rPr>
      </w:pPr>
      <w:r w:rsidRPr="00252D7B">
        <w:rPr>
          <w:rFonts w:asciiTheme="minorHAnsi" w:hAnsiTheme="minorHAnsi" w:cstheme="minorHAnsi"/>
          <w:noProof/>
        </w:rPr>
        <w:drawing>
          <wp:inline distT="0" distB="0" distL="0" distR="0" wp14:anchorId="761AAB04" wp14:editId="781FC22B">
            <wp:extent cx="6240457" cy="1388110"/>
            <wp:effectExtent l="0" t="0" r="8255" b="2540"/>
            <wp:docPr id="2001982180"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99">
                      <a:extLst>
                        <a:ext uri="{28A0092B-C50C-407E-A947-70E740481C1C}">
                          <a14:useLocalDpi xmlns:a14="http://schemas.microsoft.com/office/drawing/2010/main" val="0"/>
                        </a:ext>
                      </a:extLst>
                    </a:blip>
                    <a:stretch>
                      <a:fillRect/>
                    </a:stretch>
                  </pic:blipFill>
                  <pic:spPr>
                    <a:xfrm>
                      <a:off x="0" y="0"/>
                      <a:ext cx="6324477" cy="1406799"/>
                    </a:xfrm>
                    <a:prstGeom prst="rect">
                      <a:avLst/>
                    </a:prstGeom>
                  </pic:spPr>
                </pic:pic>
              </a:graphicData>
            </a:graphic>
          </wp:inline>
        </w:drawing>
      </w:r>
    </w:p>
    <w:p w14:paraId="736E55C0" w14:textId="77777777" w:rsidR="005A0411" w:rsidRPr="00252D7B" w:rsidRDefault="005A0411" w:rsidP="005A0411">
      <w:pPr>
        <w:spacing w:before="120" w:after="120"/>
        <w:jc w:val="both"/>
        <w:rPr>
          <w:rFonts w:asciiTheme="minorHAnsi" w:hAnsiTheme="minorHAnsi" w:cstheme="minorHAnsi"/>
        </w:rPr>
      </w:pPr>
    </w:p>
    <w:p w14:paraId="6ADC9A36" w14:textId="77777777" w:rsidR="005A0411" w:rsidRPr="00252D7B" w:rsidRDefault="005A0411" w:rsidP="005A0411">
      <w:pPr>
        <w:spacing w:before="120" w:after="120"/>
        <w:jc w:val="both"/>
        <w:rPr>
          <w:rFonts w:asciiTheme="minorHAnsi" w:hAnsiTheme="minorHAnsi" w:cstheme="minorHAnsi"/>
        </w:rPr>
      </w:pPr>
    </w:p>
    <w:p w14:paraId="2C150660" w14:textId="77777777" w:rsidR="005A0411" w:rsidRPr="00252D7B" w:rsidRDefault="005A0411" w:rsidP="005A0411">
      <w:pPr>
        <w:widowControl/>
        <w:autoSpaceDE/>
        <w:autoSpaceDN/>
        <w:spacing w:after="160" w:line="259" w:lineRule="auto"/>
        <w:rPr>
          <w:rFonts w:asciiTheme="minorHAnsi" w:hAnsiTheme="minorHAnsi" w:cstheme="minorHAnsi"/>
          <w:bCs/>
          <w:spacing w:val="-1"/>
          <w:w w:val="90"/>
        </w:rPr>
      </w:pPr>
      <w:r w:rsidRPr="00252D7B">
        <w:rPr>
          <w:rFonts w:asciiTheme="minorHAnsi" w:hAnsiTheme="minorHAnsi" w:cstheme="minorHAnsi"/>
          <w:bCs/>
          <w:spacing w:val="-1"/>
          <w:w w:val="90"/>
        </w:rPr>
        <w:br w:type="page"/>
      </w:r>
    </w:p>
    <w:p w14:paraId="3DA254FC" w14:textId="313C093F" w:rsidR="005A0411" w:rsidRPr="00252D7B" w:rsidRDefault="005A0411" w:rsidP="005A0411">
      <w:pPr>
        <w:pStyle w:val="Legenda"/>
        <w:jc w:val="center"/>
        <w:rPr>
          <w:rFonts w:asciiTheme="minorHAnsi" w:hAnsiTheme="minorHAnsi" w:cstheme="minorHAnsi"/>
          <w:sz w:val="20"/>
          <w:szCs w:val="20"/>
        </w:rPr>
      </w:pPr>
      <w:bookmarkStart w:id="564" w:name="_Toc96706079"/>
      <w:bookmarkStart w:id="565" w:name="_Toc103680765"/>
      <w:r w:rsidRPr="00252D7B">
        <w:rPr>
          <w:rFonts w:asciiTheme="minorHAnsi" w:hAnsiTheme="minorHAnsi" w:cstheme="minorHAnsi"/>
          <w:sz w:val="20"/>
          <w:szCs w:val="20"/>
        </w:rPr>
        <w:lastRenderedPageBreak/>
        <w:t xml:space="preserve">Figura </w:t>
      </w:r>
      <w:r w:rsidR="00F46BDB" w:rsidRPr="00252D7B">
        <w:rPr>
          <w:rFonts w:asciiTheme="minorHAnsi" w:hAnsiTheme="minorHAnsi" w:cstheme="minorHAnsi"/>
          <w:sz w:val="20"/>
          <w:szCs w:val="20"/>
        </w:rPr>
        <w:fldChar w:fldCharType="begin"/>
      </w:r>
      <w:r w:rsidR="00F46BDB" w:rsidRPr="00252D7B">
        <w:rPr>
          <w:rFonts w:asciiTheme="minorHAnsi" w:hAnsiTheme="minorHAnsi" w:cstheme="minorHAnsi"/>
          <w:sz w:val="20"/>
          <w:szCs w:val="20"/>
        </w:rPr>
        <w:instrText xml:space="preserve"> SEQ Figura \* ARABIC </w:instrText>
      </w:r>
      <w:r w:rsidR="00F46BDB"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29</w:t>
      </w:r>
      <w:r w:rsidR="00F46BDB" w:rsidRPr="00252D7B">
        <w:rPr>
          <w:rFonts w:asciiTheme="minorHAnsi" w:hAnsiTheme="minorHAnsi" w:cstheme="minorHAnsi"/>
          <w:sz w:val="20"/>
          <w:szCs w:val="20"/>
        </w:rPr>
        <w:fldChar w:fldCharType="end"/>
      </w:r>
      <w:r w:rsidRPr="00252D7B">
        <w:rPr>
          <w:rFonts w:asciiTheme="minorHAnsi" w:hAnsiTheme="minorHAnsi" w:cstheme="minorHAnsi"/>
          <w:sz w:val="20"/>
          <w:szCs w:val="20"/>
        </w:rPr>
        <w:t xml:space="preserve"> </w:t>
      </w:r>
      <w:r w:rsidR="009050E4" w:rsidRPr="00252D7B">
        <w:rPr>
          <w:rFonts w:asciiTheme="minorHAnsi" w:hAnsiTheme="minorHAnsi" w:cstheme="minorHAnsi"/>
          <w:sz w:val="20"/>
          <w:szCs w:val="20"/>
        </w:rPr>
        <w:t>–</w:t>
      </w:r>
      <w:r w:rsidRPr="00252D7B">
        <w:rPr>
          <w:rFonts w:asciiTheme="minorHAnsi" w:hAnsiTheme="minorHAnsi" w:cstheme="minorHAnsi"/>
          <w:sz w:val="20"/>
          <w:szCs w:val="20"/>
        </w:rPr>
        <w:t xml:space="preserve"> Pesquisa de Satisfação do Usuário solicitações da Ouvidoria do Governo Federal, entre 01/12/2021 e 31/12/2021</w:t>
      </w:r>
      <w:bookmarkEnd w:id="564"/>
      <w:bookmarkEnd w:id="565"/>
    </w:p>
    <w:p w14:paraId="17A325A9" w14:textId="77777777" w:rsidR="005A0411" w:rsidRPr="00252D7B" w:rsidRDefault="005A0411" w:rsidP="005A0411">
      <w:pPr>
        <w:spacing w:before="120" w:after="120"/>
        <w:jc w:val="both"/>
        <w:rPr>
          <w:rFonts w:asciiTheme="minorHAnsi" w:hAnsiTheme="minorHAnsi" w:cstheme="minorHAnsi"/>
        </w:rPr>
      </w:pPr>
      <w:r w:rsidRPr="00252D7B">
        <w:rPr>
          <w:rFonts w:asciiTheme="minorHAnsi" w:hAnsiTheme="minorHAnsi" w:cstheme="minorHAnsi"/>
          <w:noProof/>
        </w:rPr>
        <w:drawing>
          <wp:inline distT="0" distB="0" distL="0" distR="0" wp14:anchorId="7568E66D" wp14:editId="545CD8B6">
            <wp:extent cx="6288725" cy="1395984"/>
            <wp:effectExtent l="0" t="0" r="0" b="0"/>
            <wp:docPr id="2001982181"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100">
                      <a:extLst>
                        <a:ext uri="{28A0092B-C50C-407E-A947-70E740481C1C}">
                          <a14:useLocalDpi xmlns:a14="http://schemas.microsoft.com/office/drawing/2010/main" val="0"/>
                        </a:ext>
                      </a:extLst>
                    </a:blip>
                    <a:stretch>
                      <a:fillRect/>
                    </a:stretch>
                  </pic:blipFill>
                  <pic:spPr>
                    <a:xfrm>
                      <a:off x="0" y="0"/>
                      <a:ext cx="6310366" cy="1400788"/>
                    </a:xfrm>
                    <a:prstGeom prst="rect">
                      <a:avLst/>
                    </a:prstGeom>
                  </pic:spPr>
                </pic:pic>
              </a:graphicData>
            </a:graphic>
          </wp:inline>
        </w:drawing>
      </w:r>
    </w:p>
    <w:p w14:paraId="68E87D43" w14:textId="075CD8BA" w:rsidR="005A0411" w:rsidRPr="00252D7B" w:rsidRDefault="005A0411" w:rsidP="00556036">
      <w:pPr>
        <w:spacing w:before="120"/>
        <w:jc w:val="both"/>
        <w:rPr>
          <w:rFonts w:asciiTheme="minorHAnsi" w:hAnsiTheme="minorHAnsi" w:cstheme="minorHAnsi"/>
        </w:rPr>
      </w:pPr>
    </w:p>
    <w:p w14:paraId="0FF3097A" w14:textId="77777777" w:rsidR="00610C91" w:rsidRPr="00252D7B" w:rsidRDefault="00610C91" w:rsidP="00556036">
      <w:pPr>
        <w:spacing w:before="120"/>
        <w:jc w:val="both"/>
        <w:rPr>
          <w:rFonts w:asciiTheme="minorHAnsi" w:hAnsiTheme="minorHAnsi" w:cstheme="minorHAnsi"/>
        </w:rPr>
      </w:pPr>
    </w:p>
    <w:p w14:paraId="3A1A6E5F" w14:textId="77777777" w:rsidR="005A0411" w:rsidRPr="00252D7B" w:rsidRDefault="005A0411" w:rsidP="005A0411">
      <w:pPr>
        <w:pStyle w:val="Ttulo3"/>
        <w:spacing w:before="120" w:after="120"/>
        <w:rPr>
          <w:rFonts w:asciiTheme="minorHAnsi" w:hAnsiTheme="minorHAnsi" w:cstheme="minorHAnsi"/>
        </w:rPr>
      </w:pPr>
      <w:bookmarkStart w:id="566" w:name="_Toc96705984"/>
      <w:bookmarkStart w:id="567" w:name="_Toc103680618"/>
      <w:r w:rsidRPr="00252D7B">
        <w:rPr>
          <w:rFonts w:asciiTheme="minorHAnsi" w:hAnsiTheme="minorHAnsi" w:cstheme="minorHAnsi"/>
        </w:rPr>
        <w:t>Comitê Técnico de Ouvidoria – CTO</w:t>
      </w:r>
      <w:bookmarkEnd w:id="566"/>
      <w:bookmarkEnd w:id="567"/>
    </w:p>
    <w:p w14:paraId="23091618" w14:textId="79E66A1A" w:rsidR="005A0411" w:rsidRPr="00252D7B" w:rsidRDefault="005A0411" w:rsidP="005A0411">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A Ouvidoria da Valec compõe o Comitê Técnico de Ouvidorias das Entidades Vinculadas ao Ministério da Infraestrutura – CTO, instituído pela Portaria nº 2871/2019 do Ministério da Infraestrutura, para funcionar como um fórum permanente de promoção do intercâmbio de técnicas, de boas práticas e de discussões sobre temas de interesses comum das ouvidorias do setor de infraestrutura.</w:t>
      </w:r>
    </w:p>
    <w:p w14:paraId="32D2BD1B" w14:textId="726E862A" w:rsidR="00562551" w:rsidRPr="00252D7B" w:rsidRDefault="005A0411" w:rsidP="005A0411">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No ano de 2021 foram realizados dois encontros ordinários, no formato virtual, sendo certo que no segundo, ocorrido entre os dias 1 e 3 de dezembro, a Ouvidora da Valec ministrou palestra com o tema: “A interface das Ouvidorias com a Política de Enfrentamento aos Assédios e à Violência Laboral”, oportunidade em que propôs reflexões sobre os desafios enfrentados pelo setor ante as diretrizes e os três eixos de atuação dispostos na Convenção 190 e na Recomendação 206, ambas da OIT, Organização Internacional do Trabalho. A apresentação está disponível no Canal do Youtube do Ministério da Infraestrutura e pode ser conferida no link</w:t>
      </w:r>
      <w:r w:rsidR="00562551" w:rsidRPr="00252D7B">
        <w:rPr>
          <w:rFonts w:asciiTheme="minorHAnsi" w:hAnsiTheme="minorHAnsi" w:cstheme="minorHAnsi"/>
          <w:sz w:val="24"/>
          <w:szCs w:val="24"/>
        </w:rPr>
        <w:t>:</w:t>
      </w:r>
    </w:p>
    <w:p w14:paraId="2EA1598E" w14:textId="390886A7" w:rsidR="005A0411" w:rsidRPr="00252D7B" w:rsidRDefault="008A3D44" w:rsidP="005A0411">
      <w:pPr>
        <w:spacing w:before="120" w:after="120"/>
        <w:jc w:val="both"/>
        <w:rPr>
          <w:rFonts w:asciiTheme="minorHAnsi" w:hAnsiTheme="minorHAnsi" w:cstheme="minorHAnsi"/>
          <w:sz w:val="24"/>
          <w:szCs w:val="24"/>
        </w:rPr>
      </w:pPr>
      <w:hyperlink r:id="rId101" w:history="1">
        <w:r w:rsidR="005A0411" w:rsidRPr="00252D7B">
          <w:rPr>
            <w:rStyle w:val="Hyperlink"/>
            <w:rFonts w:asciiTheme="minorHAnsi" w:hAnsiTheme="minorHAnsi" w:cstheme="minorHAnsi"/>
            <w:sz w:val="24"/>
            <w:szCs w:val="24"/>
          </w:rPr>
          <w:t>https://www.youtube.com/watch?v=eDoqU9SZkbw</w:t>
        </w:r>
      </w:hyperlink>
      <w:r w:rsidR="005A0411" w:rsidRPr="00252D7B">
        <w:rPr>
          <w:rStyle w:val="Hyperlink"/>
          <w:rFonts w:asciiTheme="minorHAnsi" w:hAnsiTheme="minorHAnsi" w:cstheme="minorHAnsi"/>
          <w:sz w:val="24"/>
          <w:szCs w:val="24"/>
        </w:rPr>
        <w:t xml:space="preserve"> </w:t>
      </w:r>
      <w:r w:rsidR="005A0411" w:rsidRPr="00252D7B">
        <w:rPr>
          <w:rFonts w:asciiTheme="minorHAnsi" w:hAnsiTheme="minorHAnsi" w:cstheme="minorHAnsi"/>
          <w:sz w:val="24"/>
          <w:szCs w:val="24"/>
        </w:rPr>
        <w:t xml:space="preserve"> (a partir de 1:13:19).</w:t>
      </w:r>
    </w:p>
    <w:p w14:paraId="7EF57752" w14:textId="77777777" w:rsidR="005A0411" w:rsidRPr="00252D7B" w:rsidRDefault="005A0411" w:rsidP="00FD22FC">
      <w:pPr>
        <w:spacing w:before="120"/>
        <w:jc w:val="both"/>
        <w:rPr>
          <w:rFonts w:asciiTheme="minorHAnsi" w:hAnsiTheme="minorHAnsi" w:cstheme="minorHAnsi"/>
          <w:sz w:val="24"/>
          <w:szCs w:val="24"/>
        </w:rPr>
      </w:pPr>
    </w:p>
    <w:p w14:paraId="29EF83B8" w14:textId="77777777" w:rsidR="005A0411" w:rsidRPr="00252D7B" w:rsidRDefault="005A0411" w:rsidP="005A0411">
      <w:pPr>
        <w:pStyle w:val="Ttulo4"/>
        <w:rPr>
          <w:rFonts w:asciiTheme="minorHAnsi" w:hAnsiTheme="minorHAnsi" w:cstheme="minorHAnsi"/>
        </w:rPr>
      </w:pPr>
      <w:bookmarkStart w:id="568" w:name="_Toc103680619"/>
      <w:r w:rsidRPr="00252D7B">
        <w:rPr>
          <w:rFonts w:asciiTheme="minorHAnsi" w:hAnsiTheme="minorHAnsi" w:cstheme="minorHAnsi"/>
        </w:rPr>
        <w:t>Interlocução da Ouvidoria com entidades e órgãos externos</w:t>
      </w:r>
      <w:bookmarkEnd w:id="568"/>
      <w:r w:rsidRPr="00252D7B">
        <w:rPr>
          <w:rFonts w:asciiTheme="minorHAnsi" w:hAnsiTheme="minorHAnsi" w:cstheme="minorHAnsi"/>
        </w:rPr>
        <w:t xml:space="preserve"> </w:t>
      </w:r>
    </w:p>
    <w:p w14:paraId="649CF84B" w14:textId="5B9AB45A" w:rsidR="005A0411" w:rsidRPr="00252D7B" w:rsidRDefault="005A0411" w:rsidP="00FD22FC">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Ainda com o objetivo de fortalecer vínculos e trocar experiências na área de Ouvidoria e Ombudsman, a Ouvidora da Valec participou como convidada das reuniões do Comitê Regional da </w:t>
      </w:r>
      <w:r w:rsidRPr="00252D7B">
        <w:rPr>
          <w:rFonts w:asciiTheme="minorHAnsi" w:hAnsiTheme="minorHAnsi" w:cstheme="minorHAnsi"/>
          <w:i/>
          <w:iCs/>
          <w:sz w:val="24"/>
          <w:szCs w:val="24"/>
        </w:rPr>
        <w:t xml:space="preserve">International Ombusman Association – IOA, </w:t>
      </w:r>
      <w:r w:rsidRPr="00252D7B">
        <w:rPr>
          <w:rFonts w:asciiTheme="minorHAnsi" w:hAnsiTheme="minorHAnsi" w:cstheme="minorHAnsi"/>
          <w:sz w:val="24"/>
          <w:szCs w:val="24"/>
        </w:rPr>
        <w:t>para Assuntos da América Latina e Caribe, em 09 de novembro e 14 de dezembro.</w:t>
      </w:r>
    </w:p>
    <w:p w14:paraId="74EE35E7" w14:textId="77777777" w:rsidR="005A0411" w:rsidRPr="00252D7B" w:rsidRDefault="005A0411" w:rsidP="00FD22FC">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Em 25 de novembro a representante da Ouvidoria da Valec participou virtualmente do XXIV Congresso Brasileiro de Ouvidores e Ombudsman, promovido pela Associação Brasileira de Ouvidores e Ombudsman – ABO, sendo certo que em 07 de dezembro a Ouvidora passou a integrar o Conselho de Ética da referida organização. </w:t>
      </w:r>
    </w:p>
    <w:p w14:paraId="3E62F03E" w14:textId="7196C4E5" w:rsidR="000C4BF2" w:rsidRPr="00252D7B" w:rsidRDefault="005A0411" w:rsidP="00FD22FC">
      <w:pPr>
        <w:spacing w:before="120" w:after="120"/>
        <w:rPr>
          <w:rFonts w:asciiTheme="minorHAnsi" w:hAnsiTheme="minorHAnsi" w:cstheme="minorHAnsi"/>
        </w:rPr>
      </w:pPr>
      <w:r w:rsidRPr="00252D7B">
        <w:rPr>
          <w:rFonts w:asciiTheme="minorHAnsi" w:hAnsiTheme="minorHAnsi" w:cstheme="minorHAnsi"/>
          <w:sz w:val="24"/>
          <w:szCs w:val="24"/>
        </w:rPr>
        <w:t>Por fim, cabe registrar que em 11 de novembro a Ouvidoria da Valec passou a compor, como Membro Pleno, a Rede Nacional de Ouvidorias, instituída pelo Decreto n. 9.492/2018/ CGU, com a finalidade de integrar as ações de simplificação desenvolvidas pelas ouvidorias dos Poderes da União, dos Estados, do Distrito Federal e dos Municípios.</w:t>
      </w:r>
      <w:r w:rsidR="000C4BF2" w:rsidRPr="00252D7B">
        <w:rPr>
          <w:rFonts w:asciiTheme="minorHAnsi" w:hAnsiTheme="minorHAnsi" w:cstheme="minorHAnsi"/>
        </w:rPr>
        <w:t xml:space="preserve"> </w:t>
      </w:r>
    </w:p>
    <w:p w14:paraId="74A755A2" w14:textId="3FFA0822" w:rsidR="00CF6DA7" w:rsidRPr="00252D7B" w:rsidRDefault="00CF6DA7">
      <w:pPr>
        <w:widowControl/>
        <w:autoSpaceDE/>
        <w:autoSpaceDN/>
        <w:spacing w:after="160" w:line="259" w:lineRule="auto"/>
        <w:rPr>
          <w:rFonts w:asciiTheme="minorHAnsi" w:hAnsiTheme="minorHAnsi" w:cstheme="minorHAnsi"/>
        </w:rPr>
      </w:pPr>
      <w:r w:rsidRPr="00252D7B">
        <w:rPr>
          <w:rFonts w:asciiTheme="minorHAnsi" w:hAnsiTheme="minorHAnsi" w:cstheme="minorHAnsi"/>
        </w:rPr>
        <w:br w:type="page"/>
      </w:r>
    </w:p>
    <w:p w14:paraId="7B666A08" w14:textId="77777777" w:rsidR="0013173C" w:rsidRPr="00252D7B" w:rsidRDefault="0013173C" w:rsidP="0013173C">
      <w:pPr>
        <w:pStyle w:val="Ttulo1"/>
        <w:jc w:val="left"/>
        <w:rPr>
          <w:rFonts w:asciiTheme="minorHAnsi" w:hAnsiTheme="minorHAnsi" w:cstheme="minorHAnsi"/>
        </w:rPr>
      </w:pPr>
      <w:bookmarkStart w:id="569" w:name="_Toc94012580"/>
      <w:bookmarkStart w:id="570" w:name="_Toc95830310"/>
      <w:bookmarkStart w:id="571" w:name="_Toc97918818"/>
      <w:bookmarkStart w:id="572" w:name="_Toc103680620"/>
      <w:bookmarkEnd w:id="511"/>
      <w:bookmarkEnd w:id="512"/>
      <w:bookmarkEnd w:id="513"/>
      <w:r w:rsidRPr="00252D7B">
        <w:rPr>
          <w:rFonts w:asciiTheme="minorHAnsi" w:hAnsiTheme="minorHAnsi" w:cstheme="minorHAnsi"/>
        </w:rPr>
        <w:lastRenderedPageBreak/>
        <w:t>Informações orçamentárias, financeiras e contábeis</w:t>
      </w:r>
      <w:bookmarkEnd w:id="569"/>
      <w:bookmarkEnd w:id="570"/>
      <w:bookmarkEnd w:id="571"/>
      <w:bookmarkEnd w:id="572"/>
    </w:p>
    <w:p w14:paraId="22FEB0FD" w14:textId="77777777" w:rsidR="0013173C" w:rsidRPr="00252D7B" w:rsidRDefault="0013173C" w:rsidP="0013173C">
      <w:pPr>
        <w:spacing w:before="120" w:after="120"/>
        <w:rPr>
          <w:rFonts w:asciiTheme="minorHAnsi" w:hAnsiTheme="minorHAnsi" w:cstheme="minorHAnsi"/>
        </w:rPr>
      </w:pPr>
      <w:bookmarkStart w:id="573" w:name="_Toc94012582"/>
      <w:bookmarkStart w:id="574" w:name="_Toc95830311"/>
    </w:p>
    <w:p w14:paraId="1FD8ABF5" w14:textId="77777777" w:rsidR="0013173C" w:rsidRPr="00252D7B" w:rsidRDefault="0013173C" w:rsidP="00F100A9">
      <w:pPr>
        <w:pStyle w:val="Ttulo2"/>
      </w:pPr>
      <w:bookmarkStart w:id="575" w:name="_Toc97918819"/>
      <w:bookmarkStart w:id="576" w:name="_Toc103680621"/>
      <w:r w:rsidRPr="00252D7B">
        <w:t>Demonstrações contábeis</w:t>
      </w:r>
      <w:bookmarkEnd w:id="573"/>
      <w:bookmarkEnd w:id="574"/>
      <w:bookmarkEnd w:id="575"/>
      <w:bookmarkEnd w:id="576"/>
    </w:p>
    <w:p w14:paraId="5649ABDF" w14:textId="77777777" w:rsidR="0013173C" w:rsidRPr="00252D7B" w:rsidRDefault="0013173C" w:rsidP="0013173C">
      <w:pPr>
        <w:widowControl/>
        <w:autoSpaceDE/>
        <w:autoSpaceDN/>
        <w:spacing w:before="120" w:after="120"/>
        <w:jc w:val="both"/>
        <w:rPr>
          <w:rFonts w:asciiTheme="minorHAnsi" w:hAnsiTheme="minorHAnsi" w:cstheme="minorHAnsi"/>
          <w:sz w:val="24"/>
          <w:szCs w:val="24"/>
        </w:rPr>
      </w:pPr>
      <w:bookmarkStart w:id="577" w:name="_Toc94012583"/>
      <w:bookmarkStart w:id="578" w:name="_Toc95830312"/>
      <w:r w:rsidRPr="00252D7B">
        <w:rPr>
          <w:rFonts w:asciiTheme="minorHAnsi" w:hAnsiTheme="minorHAnsi" w:cstheme="minorHAnsi"/>
          <w:sz w:val="24"/>
          <w:szCs w:val="24"/>
        </w:rPr>
        <w:t>As demonstrações contábeis fundamentam-se de acordo com as práticas contábeis adotadas no Brasil, por meio das Normas Brasileiras de Contabilidade expedidas pelo Conselho Federal de Contabilidade - CFC e os Pronunciamentos do Comitê de Pronunciamentos Contábeis – CPC.</w:t>
      </w:r>
    </w:p>
    <w:p w14:paraId="635369FE" w14:textId="77777777" w:rsidR="0013173C" w:rsidRPr="00252D7B" w:rsidRDefault="0013173C" w:rsidP="0013173C">
      <w:pPr>
        <w:widowControl/>
        <w:autoSpaceDE/>
        <w:autoSpaceDN/>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A Valec integra o Sistema Integrado de Administração Financeira do Governo Federal - SIAFI, na modalidade total em relação ao orçamento, conforme disposto na Lei nº 4.320, de 17 de março de 1964 e aspectos societários da Lei n° 6.404, de 15 de dezembro de 1976, em relação à apresentação das Demonstrações Contábeis, com as alterações promovidas pelas Leis nºs 11.638, de 28 de dezembro de 2007, e 11.941, de 27 de maio de 2009.</w:t>
      </w:r>
    </w:p>
    <w:p w14:paraId="12162944" w14:textId="77777777" w:rsidR="0013173C" w:rsidRPr="00252D7B" w:rsidRDefault="0013173C" w:rsidP="0013173C">
      <w:pPr>
        <w:widowControl/>
        <w:autoSpaceDE/>
        <w:autoSpaceDN/>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As demonstrações contábeis da Valec apresentadas e publicadas são: Balanço Patrimonial; Demonstração do Resultado do Exercício; Demonstração do Resultado Abrangente; Demonstração das Mutações do Patrimônio Líquido; Demonstração do Fluxo de Caixa; e Demonstração do Valor Adicionado. Além das Notas Explicativas às demonstrações.</w:t>
      </w:r>
    </w:p>
    <w:p w14:paraId="7FF02F7B" w14:textId="3BB33327" w:rsidR="0013173C" w:rsidRPr="00252D7B" w:rsidRDefault="0013173C" w:rsidP="00D64CA3">
      <w:pPr>
        <w:widowControl/>
        <w:autoSpaceDE/>
        <w:autoSpaceDN/>
        <w:spacing w:before="120" w:after="120"/>
        <w:jc w:val="both"/>
        <w:rPr>
          <w:rFonts w:asciiTheme="minorHAnsi" w:hAnsiTheme="minorHAnsi" w:cstheme="minorHAnsi"/>
        </w:rPr>
      </w:pPr>
      <w:r w:rsidRPr="00252D7B">
        <w:rPr>
          <w:rFonts w:asciiTheme="minorHAnsi" w:hAnsiTheme="minorHAnsi" w:cstheme="minorHAnsi"/>
          <w:sz w:val="24"/>
          <w:szCs w:val="24"/>
        </w:rPr>
        <w:t>Para fins deste Relatório, destacam-se: Balanço Patrimonial e Demonstração do Resultado do Exercício referente ao exercício de 2021.</w:t>
      </w:r>
      <w:r w:rsidRPr="00252D7B">
        <w:rPr>
          <w:rFonts w:asciiTheme="minorHAnsi" w:hAnsiTheme="minorHAnsi" w:cstheme="minorHAnsi"/>
        </w:rPr>
        <w:br w:type="page"/>
      </w:r>
    </w:p>
    <w:p w14:paraId="3C5A8615" w14:textId="77777777" w:rsidR="0013173C" w:rsidRPr="00252D7B" w:rsidRDefault="0013173C" w:rsidP="00D64CA3">
      <w:pPr>
        <w:pStyle w:val="Ttulo3"/>
        <w:spacing w:before="120" w:after="120"/>
        <w:rPr>
          <w:rFonts w:asciiTheme="minorHAnsi" w:hAnsiTheme="minorHAnsi" w:cstheme="minorHAnsi"/>
        </w:rPr>
      </w:pPr>
      <w:bookmarkStart w:id="579" w:name="_Toc97918820"/>
      <w:bookmarkStart w:id="580" w:name="_Toc103680622"/>
      <w:r w:rsidRPr="00252D7B">
        <w:rPr>
          <w:rFonts w:asciiTheme="minorHAnsi" w:hAnsiTheme="minorHAnsi" w:cstheme="minorHAnsi"/>
        </w:rPr>
        <w:lastRenderedPageBreak/>
        <w:t>Balanço Patrimonial de 2021</w:t>
      </w:r>
      <w:bookmarkEnd w:id="577"/>
      <w:bookmarkEnd w:id="578"/>
      <w:bookmarkEnd w:id="579"/>
      <w:bookmarkEnd w:id="580"/>
    </w:p>
    <w:p w14:paraId="77D6ABF7" w14:textId="77777777" w:rsidR="0013173C" w:rsidRPr="00252D7B" w:rsidRDefault="0013173C" w:rsidP="0013173C">
      <w:pPr>
        <w:rPr>
          <w:rFonts w:asciiTheme="minorHAnsi" w:hAnsiTheme="minorHAnsi" w:cstheme="minorHAnsi"/>
        </w:rPr>
      </w:pPr>
    </w:p>
    <w:p w14:paraId="019028DB" w14:textId="52FAF99B" w:rsidR="0013173C" w:rsidRPr="00252D7B" w:rsidRDefault="0013173C" w:rsidP="005059B1">
      <w:pPr>
        <w:pStyle w:val="Legenda"/>
        <w:jc w:val="center"/>
        <w:rPr>
          <w:rFonts w:asciiTheme="minorHAnsi" w:hAnsiTheme="minorHAnsi" w:cstheme="minorHAnsi"/>
          <w:sz w:val="20"/>
          <w:szCs w:val="20"/>
        </w:rPr>
      </w:pPr>
      <w:bookmarkStart w:id="581" w:name="_Toc97918903"/>
      <w:bookmarkStart w:id="582" w:name="_Toc103680689"/>
      <w:bookmarkStart w:id="583" w:name="_Toc95830313"/>
      <w:r w:rsidRPr="00252D7B">
        <w:rPr>
          <w:rFonts w:asciiTheme="minorHAnsi" w:hAnsiTheme="minorHAnsi" w:cstheme="minorHAnsi"/>
          <w:sz w:val="20"/>
          <w:szCs w:val="20"/>
        </w:rPr>
        <w:t xml:space="preserve">Tabela </w:t>
      </w:r>
      <w:r w:rsidRPr="00252D7B">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Tabela \* ARABIC </w:instrText>
      </w:r>
      <w:r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27</w:t>
      </w:r>
      <w:r w:rsidRPr="00252D7B">
        <w:rPr>
          <w:rFonts w:asciiTheme="minorHAnsi" w:hAnsiTheme="minorHAnsi" w:cstheme="minorHAnsi"/>
          <w:sz w:val="20"/>
          <w:szCs w:val="20"/>
        </w:rPr>
        <w:fldChar w:fldCharType="end"/>
      </w:r>
      <w:r w:rsidRPr="00252D7B">
        <w:rPr>
          <w:rFonts w:asciiTheme="minorHAnsi" w:hAnsiTheme="minorHAnsi" w:cstheme="minorHAnsi"/>
          <w:sz w:val="20"/>
          <w:szCs w:val="20"/>
        </w:rPr>
        <w:t xml:space="preserve"> –</w:t>
      </w:r>
      <w:r w:rsidR="005059B1">
        <w:rPr>
          <w:rFonts w:asciiTheme="minorHAnsi" w:hAnsiTheme="minorHAnsi" w:cstheme="minorHAnsi"/>
          <w:sz w:val="20"/>
          <w:szCs w:val="20"/>
        </w:rPr>
        <w:t xml:space="preserve"> </w:t>
      </w:r>
      <w:r w:rsidRPr="00252D7B">
        <w:rPr>
          <w:rFonts w:asciiTheme="minorHAnsi" w:hAnsiTheme="minorHAnsi" w:cstheme="minorHAnsi"/>
          <w:sz w:val="20"/>
          <w:szCs w:val="20"/>
        </w:rPr>
        <w:t>(Ativo) Balanço patrimonial dos exercícios findos em 31 de dezembro de 2021</w:t>
      </w:r>
      <w:bookmarkEnd w:id="581"/>
      <w:bookmarkEnd w:id="582"/>
      <w:r w:rsidRPr="00252D7B">
        <w:rPr>
          <w:rFonts w:asciiTheme="minorHAnsi" w:hAnsiTheme="minorHAnsi" w:cstheme="minorHAnsi"/>
          <w:sz w:val="20"/>
          <w:szCs w:val="20"/>
        </w:rPr>
        <w:t xml:space="preserve"> </w:t>
      </w:r>
    </w:p>
    <w:p w14:paraId="127C126F" w14:textId="77777777" w:rsidR="0013173C" w:rsidRPr="00252D7B" w:rsidRDefault="0013173C" w:rsidP="0013173C">
      <w:pPr>
        <w:spacing w:before="120" w:after="120"/>
        <w:jc w:val="center"/>
        <w:rPr>
          <w:rFonts w:asciiTheme="minorHAnsi" w:hAnsiTheme="minorHAnsi" w:cstheme="minorHAnsi"/>
        </w:rPr>
      </w:pPr>
      <w:r>
        <w:rPr>
          <w:rFonts w:asciiTheme="minorHAnsi" w:hAnsiTheme="minorHAnsi" w:cstheme="minorHAnsi"/>
          <w:noProof/>
        </w:rPr>
        <w:drawing>
          <wp:inline distT="0" distB="0" distL="0" distR="0" wp14:anchorId="35558FC4" wp14:editId="2E791B8F">
            <wp:extent cx="3587336" cy="7957457"/>
            <wp:effectExtent l="0" t="0" r="0" b="5715"/>
            <wp:docPr id="26" name="Imagem 26"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Interface gráfica do usuário&#10;&#10;Descrição gerada automaticament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98296" cy="7981768"/>
                    </a:xfrm>
                    <a:prstGeom prst="rect">
                      <a:avLst/>
                    </a:prstGeom>
                    <a:noFill/>
                    <a:ln>
                      <a:noFill/>
                    </a:ln>
                  </pic:spPr>
                </pic:pic>
              </a:graphicData>
            </a:graphic>
          </wp:inline>
        </w:drawing>
      </w:r>
    </w:p>
    <w:p w14:paraId="3CDBDAA2" w14:textId="21317299" w:rsidR="0013173C" w:rsidRPr="00252D7B" w:rsidRDefault="0013173C" w:rsidP="005059B1">
      <w:pPr>
        <w:pStyle w:val="Legenda"/>
        <w:jc w:val="center"/>
        <w:rPr>
          <w:rFonts w:asciiTheme="minorHAnsi" w:hAnsiTheme="minorHAnsi" w:cstheme="minorHAnsi"/>
          <w:sz w:val="20"/>
          <w:szCs w:val="20"/>
        </w:rPr>
      </w:pPr>
      <w:bookmarkStart w:id="584" w:name="_Toc97918904"/>
      <w:bookmarkStart w:id="585" w:name="_Toc103680690"/>
      <w:r w:rsidRPr="00252D7B">
        <w:rPr>
          <w:rFonts w:asciiTheme="minorHAnsi" w:hAnsiTheme="minorHAnsi" w:cstheme="minorHAnsi"/>
          <w:sz w:val="20"/>
          <w:szCs w:val="20"/>
        </w:rPr>
        <w:lastRenderedPageBreak/>
        <w:t xml:space="preserve">Tabela </w:t>
      </w:r>
      <w:r w:rsidRPr="00252D7B">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Tabela \* ARABIC </w:instrText>
      </w:r>
      <w:r w:rsidRPr="00252D7B">
        <w:rPr>
          <w:rFonts w:asciiTheme="minorHAnsi" w:hAnsiTheme="minorHAnsi" w:cstheme="minorHAnsi"/>
          <w:sz w:val="20"/>
          <w:szCs w:val="20"/>
        </w:rPr>
        <w:fldChar w:fldCharType="separate"/>
      </w:r>
      <w:r w:rsidR="00C12888">
        <w:rPr>
          <w:rFonts w:asciiTheme="minorHAnsi" w:hAnsiTheme="minorHAnsi" w:cstheme="minorHAnsi"/>
          <w:noProof/>
          <w:sz w:val="20"/>
          <w:szCs w:val="20"/>
        </w:rPr>
        <w:t>28</w:t>
      </w:r>
      <w:r w:rsidRPr="00252D7B">
        <w:rPr>
          <w:rFonts w:asciiTheme="minorHAnsi" w:hAnsiTheme="minorHAnsi" w:cstheme="minorHAnsi"/>
          <w:sz w:val="20"/>
          <w:szCs w:val="20"/>
        </w:rPr>
        <w:fldChar w:fldCharType="end"/>
      </w:r>
      <w:r w:rsidRPr="00252D7B">
        <w:rPr>
          <w:rFonts w:asciiTheme="minorHAnsi" w:hAnsiTheme="minorHAnsi" w:cstheme="minorHAnsi"/>
          <w:sz w:val="20"/>
          <w:szCs w:val="20"/>
        </w:rPr>
        <w:t xml:space="preserve"> –</w:t>
      </w:r>
      <w:r w:rsidR="005059B1">
        <w:rPr>
          <w:rFonts w:asciiTheme="minorHAnsi" w:hAnsiTheme="minorHAnsi" w:cstheme="minorHAnsi"/>
          <w:sz w:val="20"/>
          <w:szCs w:val="20"/>
        </w:rPr>
        <w:t xml:space="preserve"> </w:t>
      </w:r>
      <w:r w:rsidRPr="00252D7B">
        <w:rPr>
          <w:rFonts w:asciiTheme="minorHAnsi" w:hAnsiTheme="minorHAnsi" w:cstheme="minorHAnsi"/>
          <w:sz w:val="20"/>
          <w:szCs w:val="20"/>
        </w:rPr>
        <w:t>(Passivo) Balanço patrimonial dos exercícios findos em 31 de dezembro de 2021</w:t>
      </w:r>
      <w:bookmarkEnd w:id="584"/>
      <w:bookmarkEnd w:id="585"/>
      <w:r w:rsidRPr="00252D7B">
        <w:rPr>
          <w:rFonts w:asciiTheme="minorHAnsi" w:hAnsiTheme="minorHAnsi" w:cstheme="minorHAnsi"/>
          <w:sz w:val="20"/>
          <w:szCs w:val="20"/>
        </w:rPr>
        <w:t xml:space="preserve"> </w:t>
      </w:r>
    </w:p>
    <w:p w14:paraId="595F4191" w14:textId="77777777" w:rsidR="0013173C" w:rsidRPr="00252D7B" w:rsidRDefault="0013173C" w:rsidP="0013173C">
      <w:pPr>
        <w:spacing w:before="120" w:after="120"/>
        <w:jc w:val="center"/>
        <w:rPr>
          <w:rFonts w:asciiTheme="minorHAnsi" w:hAnsiTheme="minorHAnsi" w:cstheme="minorHAnsi"/>
        </w:rPr>
      </w:pPr>
      <w:r>
        <w:rPr>
          <w:rFonts w:asciiTheme="minorHAnsi" w:hAnsiTheme="minorHAnsi" w:cstheme="minorHAnsi"/>
          <w:noProof/>
        </w:rPr>
        <w:drawing>
          <wp:inline distT="0" distB="0" distL="0" distR="0" wp14:anchorId="7723101E" wp14:editId="172E4091">
            <wp:extent cx="3551719" cy="4751343"/>
            <wp:effectExtent l="0" t="0" r="0" b="0"/>
            <wp:docPr id="27" name="Imagem 27"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descr="Tabela&#10;&#10;Descrição gerada automaticament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570312" cy="4776216"/>
                    </a:xfrm>
                    <a:prstGeom prst="rect">
                      <a:avLst/>
                    </a:prstGeom>
                    <a:noFill/>
                    <a:ln>
                      <a:noFill/>
                    </a:ln>
                  </pic:spPr>
                </pic:pic>
              </a:graphicData>
            </a:graphic>
          </wp:inline>
        </w:drawing>
      </w:r>
    </w:p>
    <w:p w14:paraId="36634F90" w14:textId="77777777" w:rsidR="0013173C" w:rsidRPr="00252D7B" w:rsidRDefault="0013173C" w:rsidP="0013173C">
      <w:pPr>
        <w:spacing w:before="120" w:after="120"/>
        <w:jc w:val="center"/>
        <w:rPr>
          <w:rFonts w:asciiTheme="minorHAnsi" w:hAnsiTheme="minorHAnsi" w:cstheme="minorHAnsi"/>
        </w:rPr>
      </w:pPr>
    </w:p>
    <w:p w14:paraId="1AF012C5" w14:textId="77777777" w:rsidR="0013173C" w:rsidRPr="00252D7B" w:rsidRDefault="0013173C" w:rsidP="0013173C">
      <w:pPr>
        <w:widowControl/>
        <w:autoSpaceDE/>
        <w:autoSpaceDN/>
        <w:spacing w:after="160" w:line="259" w:lineRule="auto"/>
        <w:rPr>
          <w:rFonts w:asciiTheme="minorHAnsi" w:hAnsiTheme="minorHAnsi" w:cstheme="minorHAnsi"/>
        </w:rPr>
      </w:pPr>
      <w:r w:rsidRPr="00252D7B">
        <w:rPr>
          <w:rFonts w:asciiTheme="minorHAnsi" w:hAnsiTheme="minorHAnsi" w:cstheme="minorHAnsi"/>
        </w:rPr>
        <w:br w:type="page"/>
      </w:r>
    </w:p>
    <w:p w14:paraId="070CBFAD" w14:textId="77777777" w:rsidR="0013173C" w:rsidRPr="00252D7B" w:rsidRDefault="0013173C" w:rsidP="00CF27FB">
      <w:pPr>
        <w:pStyle w:val="Ttulo3"/>
        <w:spacing w:before="120" w:after="120"/>
        <w:rPr>
          <w:rFonts w:asciiTheme="minorHAnsi" w:hAnsiTheme="minorHAnsi" w:cstheme="minorHAnsi"/>
        </w:rPr>
      </w:pPr>
      <w:bookmarkStart w:id="586" w:name="_Toc97918821"/>
      <w:bookmarkStart w:id="587" w:name="_Toc103680623"/>
      <w:r w:rsidRPr="00252D7B">
        <w:rPr>
          <w:rFonts w:asciiTheme="minorHAnsi" w:hAnsiTheme="minorHAnsi" w:cstheme="minorHAnsi"/>
        </w:rPr>
        <w:lastRenderedPageBreak/>
        <w:t>Demonstração do Resultado do Exercício de 2021</w:t>
      </w:r>
      <w:bookmarkEnd w:id="583"/>
      <w:bookmarkEnd w:id="586"/>
      <w:bookmarkEnd w:id="587"/>
    </w:p>
    <w:p w14:paraId="0F21F47E" w14:textId="77777777" w:rsidR="0013173C" w:rsidRPr="00252D7B" w:rsidRDefault="0013173C" w:rsidP="0013173C">
      <w:pPr>
        <w:rPr>
          <w:rFonts w:asciiTheme="minorHAnsi" w:hAnsiTheme="minorHAnsi" w:cstheme="minorHAnsi"/>
        </w:rPr>
      </w:pPr>
    </w:p>
    <w:p w14:paraId="24AD326F" w14:textId="36A822DE" w:rsidR="0013173C" w:rsidRPr="005059B1" w:rsidRDefault="0013173C" w:rsidP="005059B1">
      <w:pPr>
        <w:pStyle w:val="Legenda"/>
        <w:jc w:val="center"/>
        <w:rPr>
          <w:rFonts w:asciiTheme="minorHAnsi" w:hAnsiTheme="minorHAnsi" w:cstheme="minorHAnsi"/>
          <w:sz w:val="20"/>
          <w:szCs w:val="20"/>
        </w:rPr>
      </w:pPr>
      <w:bookmarkStart w:id="588" w:name="_Toc97918905"/>
      <w:bookmarkStart w:id="589" w:name="_Toc103680691"/>
      <w:r w:rsidRPr="00252D7B">
        <w:rPr>
          <w:rFonts w:asciiTheme="minorHAnsi" w:hAnsiTheme="minorHAnsi" w:cstheme="minorHAnsi"/>
          <w:sz w:val="20"/>
          <w:szCs w:val="20"/>
        </w:rPr>
        <w:t xml:space="preserve">Tabela </w:t>
      </w:r>
      <w:r w:rsidRPr="005059B1">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Tabela \* ARABIC </w:instrText>
      </w:r>
      <w:r w:rsidRPr="005059B1">
        <w:rPr>
          <w:rFonts w:asciiTheme="minorHAnsi" w:hAnsiTheme="minorHAnsi" w:cstheme="minorHAnsi"/>
          <w:sz w:val="20"/>
          <w:szCs w:val="20"/>
        </w:rPr>
        <w:fldChar w:fldCharType="separate"/>
      </w:r>
      <w:r w:rsidR="00C12888">
        <w:rPr>
          <w:rFonts w:asciiTheme="minorHAnsi" w:hAnsiTheme="minorHAnsi" w:cstheme="minorHAnsi"/>
          <w:noProof/>
          <w:sz w:val="20"/>
          <w:szCs w:val="20"/>
        </w:rPr>
        <w:t>29</w:t>
      </w:r>
      <w:r w:rsidRPr="005059B1">
        <w:rPr>
          <w:rFonts w:asciiTheme="minorHAnsi" w:hAnsiTheme="minorHAnsi" w:cstheme="minorHAnsi"/>
          <w:sz w:val="20"/>
          <w:szCs w:val="20"/>
        </w:rPr>
        <w:fldChar w:fldCharType="end"/>
      </w:r>
      <w:r w:rsidRPr="00252D7B">
        <w:rPr>
          <w:rFonts w:asciiTheme="minorHAnsi" w:hAnsiTheme="minorHAnsi" w:cstheme="minorHAnsi"/>
          <w:sz w:val="20"/>
          <w:szCs w:val="20"/>
        </w:rPr>
        <w:t xml:space="preserve"> – Demonstrações do resultado dos exercícios findos em 31 de dezembro de 2021</w:t>
      </w:r>
      <w:bookmarkEnd w:id="588"/>
      <w:bookmarkEnd w:id="589"/>
    </w:p>
    <w:p w14:paraId="237489B1" w14:textId="77777777" w:rsidR="0013173C" w:rsidRPr="00252D7B" w:rsidRDefault="0013173C" w:rsidP="0013173C">
      <w:pPr>
        <w:spacing w:before="120" w:after="120"/>
        <w:jc w:val="center"/>
        <w:rPr>
          <w:rFonts w:asciiTheme="minorHAnsi" w:hAnsiTheme="minorHAnsi" w:cstheme="minorHAnsi"/>
        </w:rPr>
      </w:pPr>
      <w:bookmarkStart w:id="590" w:name="_Toc94012585"/>
      <w:bookmarkStart w:id="591" w:name="_Toc95830314"/>
      <w:r>
        <w:rPr>
          <w:rFonts w:asciiTheme="minorHAnsi" w:hAnsiTheme="minorHAnsi" w:cstheme="minorHAnsi"/>
          <w:noProof/>
        </w:rPr>
        <w:drawing>
          <wp:inline distT="0" distB="0" distL="0" distR="0" wp14:anchorId="646FC348" wp14:editId="2EA37B5F">
            <wp:extent cx="3617173" cy="5812971"/>
            <wp:effectExtent l="0" t="0" r="2540" b="0"/>
            <wp:docPr id="30" name="Imagem 30"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descr="Tabela&#10;&#10;Descrição gerada automaticament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23552" cy="5823223"/>
                    </a:xfrm>
                    <a:prstGeom prst="rect">
                      <a:avLst/>
                    </a:prstGeom>
                    <a:noFill/>
                    <a:ln>
                      <a:noFill/>
                    </a:ln>
                  </pic:spPr>
                </pic:pic>
              </a:graphicData>
            </a:graphic>
          </wp:inline>
        </w:drawing>
      </w:r>
    </w:p>
    <w:p w14:paraId="48D31C13" w14:textId="77777777" w:rsidR="0013173C" w:rsidRPr="00252D7B" w:rsidRDefault="0013173C" w:rsidP="0013173C">
      <w:pPr>
        <w:widowControl/>
        <w:autoSpaceDE/>
        <w:autoSpaceDN/>
        <w:spacing w:after="160" w:line="259" w:lineRule="auto"/>
        <w:rPr>
          <w:rFonts w:asciiTheme="minorHAnsi" w:hAnsiTheme="minorHAnsi" w:cstheme="minorHAnsi"/>
        </w:rPr>
      </w:pPr>
      <w:r w:rsidRPr="00252D7B">
        <w:rPr>
          <w:rFonts w:asciiTheme="minorHAnsi" w:hAnsiTheme="minorHAnsi" w:cstheme="minorHAnsi"/>
        </w:rPr>
        <w:br w:type="page"/>
      </w:r>
    </w:p>
    <w:p w14:paraId="65E8D765" w14:textId="77777777" w:rsidR="0013173C" w:rsidRPr="00252D7B" w:rsidRDefault="0013173C" w:rsidP="00F100A9">
      <w:pPr>
        <w:pStyle w:val="Ttulo2"/>
      </w:pPr>
      <w:bookmarkStart w:id="592" w:name="_Toc97918822"/>
      <w:bookmarkStart w:id="593" w:name="_Toc103680624"/>
      <w:r w:rsidRPr="00252D7B">
        <w:lastRenderedPageBreak/>
        <w:t>Base de preparação das demonstrações e principais critério e políticas contábeis</w:t>
      </w:r>
      <w:bookmarkEnd w:id="590"/>
      <w:bookmarkEnd w:id="591"/>
      <w:bookmarkEnd w:id="592"/>
      <w:bookmarkEnd w:id="593"/>
    </w:p>
    <w:p w14:paraId="309C3D5F" w14:textId="77777777" w:rsidR="0013173C" w:rsidRPr="00252D7B" w:rsidRDefault="0013173C" w:rsidP="0013173C">
      <w:pPr>
        <w:widowControl/>
        <w:autoSpaceDE/>
        <w:autoSpaceDN/>
        <w:spacing w:before="120" w:after="120"/>
        <w:jc w:val="both"/>
        <w:rPr>
          <w:rFonts w:asciiTheme="minorHAnsi" w:hAnsiTheme="minorHAnsi" w:cstheme="minorHAnsi"/>
          <w:sz w:val="24"/>
          <w:szCs w:val="24"/>
        </w:rPr>
      </w:pPr>
      <w:bookmarkStart w:id="594" w:name="_Toc94012586"/>
      <w:bookmarkStart w:id="595" w:name="_Toc95830315"/>
      <w:r w:rsidRPr="00252D7B">
        <w:rPr>
          <w:rFonts w:asciiTheme="minorHAnsi" w:hAnsiTheme="minorHAnsi" w:cstheme="minorHAnsi"/>
          <w:sz w:val="24"/>
          <w:szCs w:val="24"/>
        </w:rPr>
        <w:t xml:space="preserve">A base de preparação e os principais critérios e políticas contábeis observadas na elaboração das demonstrações contábeis referentes ao exercício de 2021 foram: </w:t>
      </w:r>
    </w:p>
    <w:p w14:paraId="74EB2CC4" w14:textId="77777777" w:rsidR="0013173C" w:rsidRPr="00252D7B" w:rsidRDefault="0013173C" w:rsidP="007A141F">
      <w:pPr>
        <w:widowControl/>
        <w:numPr>
          <w:ilvl w:val="0"/>
          <w:numId w:val="6"/>
        </w:numPr>
        <w:autoSpaceDE/>
        <w:autoSpaceDN/>
        <w:spacing w:before="120" w:after="120"/>
        <w:ind w:left="714" w:hanging="357"/>
        <w:jc w:val="both"/>
        <w:rPr>
          <w:rFonts w:asciiTheme="minorHAnsi" w:hAnsiTheme="minorHAnsi" w:cstheme="minorHAnsi"/>
          <w:sz w:val="24"/>
          <w:szCs w:val="24"/>
        </w:rPr>
      </w:pPr>
      <w:r w:rsidRPr="00252D7B">
        <w:rPr>
          <w:rFonts w:asciiTheme="minorHAnsi" w:hAnsiTheme="minorHAnsi" w:cstheme="minorHAnsi"/>
          <w:sz w:val="24"/>
          <w:szCs w:val="24"/>
        </w:rPr>
        <w:t>As demonstrações contábeis originam-se de fatos contábeis vinculados ao Registro pelo Valor Original e os saldos estão disponibilizados em unidade de Real (R$ 1), exceto quando indicado de outra forma, sendo o Real a moeda funcional e de apresentação da Valec;</w:t>
      </w:r>
    </w:p>
    <w:p w14:paraId="7D215170" w14:textId="77777777" w:rsidR="0013173C" w:rsidRPr="00252D7B" w:rsidRDefault="0013173C" w:rsidP="007A141F">
      <w:pPr>
        <w:widowControl/>
        <w:numPr>
          <w:ilvl w:val="0"/>
          <w:numId w:val="6"/>
        </w:numPr>
        <w:autoSpaceDE/>
        <w:autoSpaceDN/>
        <w:spacing w:before="120" w:after="120"/>
        <w:ind w:left="714" w:hanging="357"/>
        <w:jc w:val="both"/>
        <w:rPr>
          <w:rFonts w:asciiTheme="minorHAnsi" w:hAnsiTheme="minorHAnsi" w:cstheme="minorHAnsi"/>
          <w:sz w:val="24"/>
          <w:szCs w:val="24"/>
        </w:rPr>
      </w:pPr>
      <w:r w:rsidRPr="00252D7B">
        <w:rPr>
          <w:rFonts w:asciiTheme="minorHAnsi" w:hAnsiTheme="minorHAnsi" w:cstheme="minorHAnsi"/>
          <w:sz w:val="24"/>
          <w:szCs w:val="24"/>
        </w:rPr>
        <w:t>As receitas e despesas são apropriadas pelo regime de competência, observando-se o critério de liquidez e natureza financeira, incluindo os efeitos das variações monetárias computados sobre ativos e passivos indexados;</w:t>
      </w:r>
    </w:p>
    <w:p w14:paraId="023E27CF" w14:textId="77777777" w:rsidR="0013173C" w:rsidRPr="00252D7B" w:rsidRDefault="0013173C" w:rsidP="007A141F">
      <w:pPr>
        <w:widowControl/>
        <w:numPr>
          <w:ilvl w:val="0"/>
          <w:numId w:val="6"/>
        </w:numPr>
        <w:autoSpaceDE/>
        <w:autoSpaceDN/>
        <w:spacing w:before="120" w:after="120"/>
        <w:ind w:left="714" w:hanging="357"/>
        <w:jc w:val="both"/>
        <w:rPr>
          <w:rFonts w:asciiTheme="minorHAnsi" w:hAnsiTheme="minorHAnsi" w:cstheme="minorHAnsi"/>
          <w:sz w:val="24"/>
          <w:szCs w:val="24"/>
        </w:rPr>
      </w:pPr>
      <w:r w:rsidRPr="00252D7B">
        <w:rPr>
          <w:rFonts w:asciiTheme="minorHAnsi" w:hAnsiTheme="minorHAnsi" w:cstheme="minorHAnsi"/>
          <w:sz w:val="24"/>
          <w:szCs w:val="24"/>
        </w:rPr>
        <w:t xml:space="preserve">Os ativos circulantes e realizáveis a longo prazo são demonstrados pelos valores de realização e os passivos circulantes e não circulantes, pelos valores conhecidos ou calculáveis, incluindo quando aplicáveis os rendimentos e/ou encargos correspondentes, calculados a índices ou taxas oficiais, bem como, os efeitos de ajustes de ativo para valor de mercado ou de realização; </w:t>
      </w:r>
    </w:p>
    <w:p w14:paraId="2589D5E4" w14:textId="77777777" w:rsidR="0013173C" w:rsidRPr="00252D7B" w:rsidRDefault="0013173C" w:rsidP="007A141F">
      <w:pPr>
        <w:widowControl/>
        <w:numPr>
          <w:ilvl w:val="0"/>
          <w:numId w:val="6"/>
        </w:numPr>
        <w:spacing w:before="120" w:after="120"/>
        <w:ind w:left="714" w:hanging="357"/>
        <w:jc w:val="both"/>
        <w:rPr>
          <w:rFonts w:asciiTheme="minorHAnsi" w:hAnsiTheme="minorHAnsi" w:cstheme="minorHAnsi"/>
          <w:sz w:val="24"/>
          <w:szCs w:val="24"/>
        </w:rPr>
      </w:pPr>
      <w:r w:rsidRPr="00252D7B">
        <w:rPr>
          <w:rFonts w:asciiTheme="minorHAnsi" w:hAnsiTheme="minorHAnsi" w:cstheme="minorHAnsi"/>
          <w:sz w:val="24"/>
          <w:szCs w:val="24"/>
        </w:rPr>
        <w:t>O ativo imobilizado é reconhecido pelo custo de aquisição deduzido das respectivas depreciações acumuladas, calculadas pelo método linear de acordo com a vida útil estimada dos bens;</w:t>
      </w:r>
    </w:p>
    <w:p w14:paraId="33DF4D52" w14:textId="77777777" w:rsidR="0013173C" w:rsidRPr="00252D7B" w:rsidRDefault="0013173C" w:rsidP="007A141F">
      <w:pPr>
        <w:widowControl/>
        <w:numPr>
          <w:ilvl w:val="0"/>
          <w:numId w:val="6"/>
        </w:numPr>
        <w:spacing w:before="120" w:after="120"/>
        <w:ind w:left="714" w:hanging="357"/>
        <w:jc w:val="both"/>
        <w:rPr>
          <w:rFonts w:asciiTheme="minorHAnsi" w:hAnsiTheme="minorHAnsi" w:cstheme="minorHAnsi"/>
          <w:sz w:val="24"/>
          <w:szCs w:val="24"/>
        </w:rPr>
      </w:pPr>
      <w:r w:rsidRPr="00252D7B">
        <w:rPr>
          <w:rFonts w:asciiTheme="minorHAnsi" w:hAnsiTheme="minorHAnsi" w:cstheme="minorHAnsi"/>
          <w:sz w:val="24"/>
          <w:szCs w:val="24"/>
        </w:rPr>
        <w:t>Após análise do valor recuperável pela Valec referente à Ferrovia Norte Sul já subconcedida pelo período de 30 anos, foi realizado o reconhecimento da provisão de perda ao valor recuperável no ativo imobilizado da empresa, em consonância com o CPC – 01 (R1) – Redução ao Valor Recuperável de Ativos;</w:t>
      </w:r>
    </w:p>
    <w:p w14:paraId="18A603D4" w14:textId="77777777" w:rsidR="0013173C" w:rsidRPr="00252D7B" w:rsidRDefault="0013173C" w:rsidP="007A141F">
      <w:pPr>
        <w:widowControl/>
        <w:numPr>
          <w:ilvl w:val="0"/>
          <w:numId w:val="6"/>
        </w:numPr>
        <w:spacing w:before="120" w:after="120"/>
        <w:ind w:left="714" w:hanging="357"/>
        <w:jc w:val="both"/>
        <w:rPr>
          <w:rFonts w:asciiTheme="minorHAnsi" w:hAnsiTheme="minorHAnsi" w:cstheme="minorHAnsi"/>
          <w:sz w:val="24"/>
          <w:szCs w:val="24"/>
        </w:rPr>
      </w:pPr>
      <w:r w:rsidRPr="00252D7B">
        <w:rPr>
          <w:rFonts w:asciiTheme="minorHAnsi" w:hAnsiTheme="minorHAnsi" w:cstheme="minorHAnsi"/>
          <w:sz w:val="24"/>
          <w:szCs w:val="24"/>
        </w:rPr>
        <w:t>Após o Leilão para Subconcessão do Trecho da Ferrovia de Integração Oeste Leste, denominado FIOL I, foi realizada a análise do valor recuperável de ativos e reconhecida provisão de perda ao valor recuperável no ativo imobilizado da empresa, em consonância com o CPC – 01 (R1) – Redução ao Valor Recuperável de Ativos;</w:t>
      </w:r>
    </w:p>
    <w:p w14:paraId="33EDA8F8" w14:textId="77777777" w:rsidR="0013173C" w:rsidRPr="00252D7B" w:rsidRDefault="0013173C" w:rsidP="007A141F">
      <w:pPr>
        <w:widowControl/>
        <w:numPr>
          <w:ilvl w:val="0"/>
          <w:numId w:val="6"/>
        </w:numPr>
        <w:spacing w:before="120" w:after="120"/>
        <w:ind w:left="714" w:hanging="357"/>
        <w:jc w:val="both"/>
        <w:rPr>
          <w:rFonts w:asciiTheme="minorHAnsi" w:hAnsiTheme="minorHAnsi" w:cstheme="minorHAnsi"/>
          <w:sz w:val="24"/>
          <w:szCs w:val="24"/>
        </w:rPr>
      </w:pPr>
      <w:r w:rsidRPr="00252D7B">
        <w:rPr>
          <w:rFonts w:asciiTheme="minorHAnsi" w:hAnsiTheme="minorHAnsi" w:cstheme="minorHAnsi"/>
          <w:sz w:val="24"/>
          <w:szCs w:val="24"/>
        </w:rPr>
        <w:t>As demonstrações contábeis de 2019 e 2020 foram aprovadas em Assembleia Geral Ordinária em agosto e outubro de 2021, respectivamente. Assim, os efeitos dos testes de recuperabilidade da Ferrovia Norte e Sul e da Ferrovia de Integração Oeste Leste foram reconhecidos ainda nas demonstrações de 2019 e 2020. Por ocasião do encerramento do exercício de 2021, foram efetuados novos testes de recuperabilidade e os respectivos efeitos foram reconhecidos nas demonstrações contábeis;</w:t>
      </w:r>
    </w:p>
    <w:p w14:paraId="3F77FA7A" w14:textId="77777777" w:rsidR="0013173C" w:rsidRPr="00252D7B" w:rsidRDefault="0013173C" w:rsidP="007A141F">
      <w:pPr>
        <w:widowControl/>
        <w:numPr>
          <w:ilvl w:val="0"/>
          <w:numId w:val="6"/>
        </w:numPr>
        <w:spacing w:before="120" w:after="120"/>
        <w:ind w:left="714" w:hanging="357"/>
        <w:jc w:val="both"/>
        <w:rPr>
          <w:rFonts w:asciiTheme="minorHAnsi" w:hAnsiTheme="minorHAnsi" w:cstheme="minorHAnsi"/>
          <w:sz w:val="24"/>
          <w:szCs w:val="24"/>
        </w:rPr>
      </w:pPr>
      <w:r w:rsidRPr="00252D7B">
        <w:rPr>
          <w:rFonts w:asciiTheme="minorHAnsi" w:hAnsiTheme="minorHAnsi" w:cstheme="minorHAnsi"/>
          <w:sz w:val="24"/>
          <w:szCs w:val="24"/>
        </w:rPr>
        <w:t>O Pronunciamento Contábil CPC  06 (R2) introduziu um modelo único de contabilização de arrendamentos no balanço patrimonial para arrendatários. Um arrendatário reconhece um ativo de direito de uso que representa o seu direito de utilizar o ativo arrendado, o qual é reconhecido inicialmente pelo custo e, subsequentemente, pelo custo menos qualquer depreciação acumulada e ajustado pela taxa dos respectivos contratos; e um passivo de arrendamento que representa sua obrigação de efetuar pagamentos do arrendamento, mensurado inicialmente pelo valor presente dos pagamentos. O referido pronunciamento estabelece os princípios para o reconhecimento, mensuração, apresentação e divulgação de arrendamento e entrou em vigor em 01 de janeiro de 2019.</w:t>
      </w:r>
    </w:p>
    <w:p w14:paraId="78D0DFA0" w14:textId="77777777" w:rsidR="0013173C" w:rsidRPr="00252D7B" w:rsidRDefault="0013173C" w:rsidP="007A141F">
      <w:pPr>
        <w:widowControl/>
        <w:numPr>
          <w:ilvl w:val="0"/>
          <w:numId w:val="6"/>
        </w:numPr>
        <w:spacing w:before="120" w:after="120"/>
        <w:ind w:left="714" w:hanging="357"/>
        <w:jc w:val="both"/>
        <w:rPr>
          <w:rFonts w:asciiTheme="minorHAnsi" w:hAnsiTheme="minorHAnsi" w:cstheme="minorHAnsi"/>
          <w:sz w:val="24"/>
          <w:szCs w:val="24"/>
        </w:rPr>
      </w:pPr>
      <w:r w:rsidRPr="00252D7B">
        <w:rPr>
          <w:rFonts w:asciiTheme="minorHAnsi" w:hAnsiTheme="minorHAnsi" w:cstheme="minorHAnsi"/>
          <w:sz w:val="24"/>
          <w:szCs w:val="24"/>
        </w:rPr>
        <w:lastRenderedPageBreak/>
        <w:t>O ativo intangível composto por direito de uso e programas de software é demonstrado pelo custo de aquisição deduzido das respectivas amortizações acumuladas, calculadas pelo método linear de acordo com a legislação e devem ser mantidas neste grupo até a efetiva baixa;</w:t>
      </w:r>
    </w:p>
    <w:p w14:paraId="001FFE02" w14:textId="77777777" w:rsidR="0013173C" w:rsidRPr="00252D7B" w:rsidRDefault="0013173C" w:rsidP="007A141F">
      <w:pPr>
        <w:widowControl/>
        <w:numPr>
          <w:ilvl w:val="0"/>
          <w:numId w:val="6"/>
        </w:numPr>
        <w:spacing w:before="120" w:after="120"/>
        <w:ind w:left="714" w:hanging="357"/>
        <w:jc w:val="both"/>
        <w:rPr>
          <w:rFonts w:asciiTheme="minorHAnsi" w:hAnsiTheme="minorHAnsi" w:cstheme="minorHAnsi"/>
          <w:sz w:val="24"/>
          <w:szCs w:val="24"/>
        </w:rPr>
      </w:pPr>
      <w:r w:rsidRPr="00252D7B">
        <w:rPr>
          <w:rFonts w:asciiTheme="minorHAnsi" w:hAnsiTheme="minorHAnsi" w:cstheme="minorHAnsi"/>
          <w:sz w:val="24"/>
          <w:szCs w:val="24"/>
        </w:rPr>
        <w:t>As provisões para contingências são contabilizadas, com base na posição da Procuradoria Jurídica, a qual é formulada na análise técnica individual dos advogados, quando for considerado provável o risco de perda de uma ação judicial ou administrativa, e sempre que os montantes envolvidos forem mensuráveis com suficiente segurança. As provisões classificadas como perdas possíveis pela Procuradoria Jurídica são divulgadas com base na perda histórica, enquanto aquelas classificadas como perda remota não são passíveis de provisão e divulgação;</w:t>
      </w:r>
    </w:p>
    <w:p w14:paraId="66603006" w14:textId="77777777" w:rsidR="0013173C" w:rsidRPr="00252D7B" w:rsidRDefault="0013173C" w:rsidP="007A141F">
      <w:pPr>
        <w:widowControl/>
        <w:numPr>
          <w:ilvl w:val="0"/>
          <w:numId w:val="6"/>
        </w:numPr>
        <w:spacing w:before="120" w:after="120"/>
        <w:ind w:left="714" w:hanging="357"/>
        <w:jc w:val="both"/>
        <w:rPr>
          <w:rFonts w:asciiTheme="minorHAnsi" w:hAnsiTheme="minorHAnsi" w:cstheme="minorHAnsi"/>
          <w:sz w:val="24"/>
          <w:szCs w:val="24"/>
        </w:rPr>
      </w:pPr>
      <w:r w:rsidRPr="00252D7B">
        <w:rPr>
          <w:rFonts w:asciiTheme="minorHAnsi" w:hAnsiTheme="minorHAnsi" w:cstheme="minorHAnsi"/>
          <w:sz w:val="24"/>
          <w:szCs w:val="24"/>
        </w:rPr>
        <w:t xml:space="preserve">Ainda, a propósito das provisões para contingenciamento, cabe esclarecer que a dinâmica comentada na alínea “l”, do ponto de vista da contabilidade, atende o disposto no CPC nº 25 – Provisões, Passivos Contingentes e Ativos Contingentes; </w:t>
      </w:r>
    </w:p>
    <w:p w14:paraId="131F30D9" w14:textId="77777777" w:rsidR="0013173C" w:rsidRPr="00252D7B" w:rsidRDefault="0013173C" w:rsidP="007A141F">
      <w:pPr>
        <w:widowControl/>
        <w:numPr>
          <w:ilvl w:val="0"/>
          <w:numId w:val="6"/>
        </w:numPr>
        <w:spacing w:before="120" w:after="120"/>
        <w:ind w:left="714" w:hanging="357"/>
        <w:jc w:val="both"/>
        <w:rPr>
          <w:rFonts w:asciiTheme="minorHAnsi" w:hAnsiTheme="minorHAnsi" w:cstheme="minorHAnsi"/>
          <w:sz w:val="24"/>
          <w:szCs w:val="24"/>
        </w:rPr>
      </w:pPr>
      <w:r w:rsidRPr="00252D7B">
        <w:rPr>
          <w:rFonts w:asciiTheme="minorHAnsi" w:hAnsiTheme="minorHAnsi" w:cstheme="minorHAnsi"/>
          <w:sz w:val="24"/>
          <w:szCs w:val="24"/>
        </w:rPr>
        <w:t xml:space="preserve">Ativos financeiros são avaliados pelo valor justo decorrentes do resultado. Aos ativos financeiros presentes nesta Companhia incluem-se os equivalentes de caixa, e os direitos creditórios contratuais a receber; </w:t>
      </w:r>
    </w:p>
    <w:p w14:paraId="2EA1AE74" w14:textId="77777777" w:rsidR="0013173C" w:rsidRPr="00252D7B" w:rsidRDefault="0013173C" w:rsidP="007A141F">
      <w:pPr>
        <w:widowControl/>
        <w:numPr>
          <w:ilvl w:val="0"/>
          <w:numId w:val="6"/>
        </w:numPr>
        <w:spacing w:before="120" w:after="120"/>
        <w:ind w:left="714" w:hanging="357"/>
        <w:jc w:val="both"/>
        <w:rPr>
          <w:rFonts w:asciiTheme="minorHAnsi" w:hAnsiTheme="minorHAnsi" w:cstheme="minorHAnsi"/>
          <w:sz w:val="24"/>
          <w:szCs w:val="24"/>
        </w:rPr>
      </w:pPr>
      <w:r w:rsidRPr="00252D7B">
        <w:rPr>
          <w:rFonts w:asciiTheme="minorHAnsi" w:hAnsiTheme="minorHAnsi" w:cstheme="minorHAnsi"/>
          <w:sz w:val="24"/>
          <w:szCs w:val="24"/>
        </w:rPr>
        <w:t>A Valec avalia durante o encerramento das demonstrações financeiras se transcorreu, em determinado intervalo, a desvalorização econômica (recuperação) do ativo financeiro ou do grupo de ativos financeiros. Terminantemente, considera-se não recuperável quando houver indicação de ausência de retomada do resultado de um ou mais eventos que tenham acontecido depois do reconhecimento inicial do ativo (um evento de perda incorrida) e essa perda tenha influência no fluxo de caixa estimado do ativo financeiro, ou do grupo de ativos financeiros, que possa ser razoavelmente presumida; e</w:t>
      </w:r>
    </w:p>
    <w:p w14:paraId="0BAE65C5" w14:textId="77777777" w:rsidR="0013173C" w:rsidRPr="00252D7B" w:rsidRDefault="0013173C" w:rsidP="007A141F">
      <w:pPr>
        <w:widowControl/>
        <w:numPr>
          <w:ilvl w:val="0"/>
          <w:numId w:val="6"/>
        </w:numPr>
        <w:spacing w:before="120" w:after="120"/>
        <w:ind w:left="714" w:hanging="357"/>
        <w:jc w:val="both"/>
        <w:rPr>
          <w:rFonts w:asciiTheme="minorHAnsi" w:hAnsiTheme="minorHAnsi" w:cstheme="minorHAnsi"/>
          <w:sz w:val="24"/>
          <w:szCs w:val="24"/>
        </w:rPr>
      </w:pPr>
      <w:r w:rsidRPr="00252D7B">
        <w:rPr>
          <w:rFonts w:asciiTheme="minorHAnsi" w:hAnsiTheme="minorHAnsi" w:cstheme="minorHAnsi"/>
          <w:sz w:val="24"/>
          <w:szCs w:val="24"/>
        </w:rPr>
        <w:t>As obrigações financeiras são avaliadas pelo valor justo, de maneira similar ao ativo financeiro. Por conseguinte, envolve as obrigações desta Companhia com terceiros interessados, das quais destacam-se os fornecedores de mercadorias e serviços, as obrigações trabalhistas e tributárias, entre outras.</w:t>
      </w:r>
    </w:p>
    <w:p w14:paraId="3C82F0F0" w14:textId="77777777" w:rsidR="0013173C" w:rsidRPr="00252D7B" w:rsidRDefault="0013173C" w:rsidP="0013173C">
      <w:pPr>
        <w:widowControl/>
        <w:spacing w:before="120" w:after="120"/>
        <w:ind w:left="714"/>
        <w:jc w:val="both"/>
        <w:rPr>
          <w:rFonts w:asciiTheme="minorHAnsi" w:hAnsiTheme="minorHAnsi" w:cstheme="minorHAnsi"/>
          <w:sz w:val="24"/>
          <w:szCs w:val="24"/>
        </w:rPr>
      </w:pPr>
    </w:p>
    <w:p w14:paraId="0661EDC6" w14:textId="77777777" w:rsidR="0013173C" w:rsidRPr="00252D7B" w:rsidRDefault="0013173C" w:rsidP="0013173C">
      <w:pPr>
        <w:widowControl/>
        <w:spacing w:before="120" w:after="120"/>
        <w:ind w:left="714"/>
        <w:jc w:val="both"/>
        <w:rPr>
          <w:rFonts w:asciiTheme="minorHAnsi" w:hAnsiTheme="minorHAnsi" w:cstheme="minorHAnsi"/>
          <w:sz w:val="24"/>
          <w:szCs w:val="24"/>
        </w:rPr>
      </w:pPr>
    </w:p>
    <w:p w14:paraId="75EB7C73" w14:textId="77777777" w:rsidR="0013173C" w:rsidRPr="00252D7B" w:rsidRDefault="0013173C" w:rsidP="00F100A9">
      <w:pPr>
        <w:pStyle w:val="Ttulo2"/>
      </w:pPr>
      <w:bookmarkStart w:id="596" w:name="_Toc95906834"/>
      <w:bookmarkStart w:id="597" w:name="_Toc97918823"/>
      <w:bookmarkStart w:id="598" w:name="_Toc103680625"/>
      <w:r w:rsidRPr="00252D7B">
        <w:t>Notas explicativas das demonstrações contábeis</w:t>
      </w:r>
      <w:bookmarkEnd w:id="594"/>
      <w:bookmarkEnd w:id="595"/>
      <w:bookmarkEnd w:id="596"/>
      <w:bookmarkEnd w:id="597"/>
      <w:bookmarkEnd w:id="598"/>
    </w:p>
    <w:p w14:paraId="66123878" w14:textId="77777777" w:rsidR="0013173C" w:rsidRPr="00252D7B" w:rsidRDefault="0013173C" w:rsidP="0013173C">
      <w:pPr>
        <w:spacing w:before="120" w:after="120"/>
        <w:jc w:val="both"/>
        <w:rPr>
          <w:rFonts w:asciiTheme="minorHAnsi" w:hAnsiTheme="minorHAnsi" w:cstheme="minorHAnsi"/>
          <w:sz w:val="24"/>
          <w:szCs w:val="24"/>
        </w:rPr>
      </w:pPr>
      <w:bookmarkStart w:id="599" w:name="_Toc95830316"/>
      <w:bookmarkStart w:id="600" w:name="_Toc94012588"/>
      <w:r w:rsidRPr="00252D7B">
        <w:rPr>
          <w:rFonts w:asciiTheme="minorHAnsi" w:hAnsiTheme="minorHAnsi" w:cstheme="minorHAnsi"/>
          <w:sz w:val="24"/>
          <w:szCs w:val="24"/>
        </w:rPr>
        <w:t>Destacam-se aqui as principais Notas Explicativas integrantes das demonstrações contábeis de 2021.</w:t>
      </w:r>
    </w:p>
    <w:p w14:paraId="640D34A0" w14:textId="77777777" w:rsidR="0013173C" w:rsidRPr="00252D7B" w:rsidRDefault="0013173C" w:rsidP="0013173C">
      <w:pPr>
        <w:spacing w:before="120" w:after="120"/>
        <w:rPr>
          <w:rFonts w:asciiTheme="minorHAnsi" w:hAnsiTheme="minorHAnsi" w:cstheme="minorHAnsi"/>
        </w:rPr>
      </w:pPr>
    </w:p>
    <w:p w14:paraId="69A8C094" w14:textId="77777777" w:rsidR="0013173C" w:rsidRPr="00252D7B" w:rsidRDefault="0013173C" w:rsidP="00BD243F">
      <w:pPr>
        <w:pStyle w:val="Ttulo3"/>
        <w:spacing w:before="120" w:after="120"/>
        <w:rPr>
          <w:rFonts w:asciiTheme="minorHAnsi" w:hAnsiTheme="minorHAnsi" w:cstheme="minorHAnsi"/>
        </w:rPr>
      </w:pPr>
      <w:bookmarkStart w:id="601" w:name="_Toc97918824"/>
      <w:bookmarkStart w:id="602" w:name="_Toc103680626"/>
      <w:r w:rsidRPr="00252D7B">
        <w:rPr>
          <w:rFonts w:asciiTheme="minorHAnsi" w:hAnsiTheme="minorHAnsi" w:cstheme="minorHAnsi"/>
        </w:rPr>
        <w:t>Caixa e equivalente de caixa</w:t>
      </w:r>
      <w:bookmarkEnd w:id="599"/>
      <w:bookmarkEnd w:id="601"/>
      <w:bookmarkEnd w:id="602"/>
    </w:p>
    <w:p w14:paraId="09F0E189" w14:textId="77777777" w:rsidR="0013173C" w:rsidRPr="00252D7B" w:rsidRDefault="0013173C" w:rsidP="0013173C">
      <w:pPr>
        <w:spacing w:before="120" w:after="120"/>
        <w:jc w:val="both"/>
        <w:rPr>
          <w:rFonts w:asciiTheme="minorHAnsi" w:hAnsiTheme="minorHAnsi" w:cstheme="minorHAnsi"/>
          <w:sz w:val="24"/>
          <w:szCs w:val="24"/>
        </w:rPr>
      </w:pPr>
      <w:bookmarkStart w:id="603" w:name="_Toc95830317"/>
      <w:r w:rsidRPr="00252D7B">
        <w:rPr>
          <w:rFonts w:asciiTheme="minorHAnsi" w:hAnsiTheme="minorHAnsi" w:cstheme="minorHAnsi"/>
          <w:sz w:val="24"/>
          <w:szCs w:val="24"/>
        </w:rPr>
        <w:t>A conta Limite de Saque com Vinculação de Pagamento registra o valor do limite de saque da Conta Única da União, estabelecido pelo órgão Central de Programação Financeira para atender às despesas com vinculação de pagamentos. Portanto, representa a conta utilizada para movimentação financeira, na qual a Setorial Financeira do Ministério da Infraestrutura disponibiliza os recursos financeiros para pagamentos efetuados diariamente pela Valec. A Tabela 55 mostra o seguinte saldo em 31 de dezembro de 2021 desta.</w:t>
      </w:r>
    </w:p>
    <w:p w14:paraId="7908EA3B" w14:textId="77777777" w:rsidR="0013173C" w:rsidRPr="00252D7B" w:rsidRDefault="0013173C" w:rsidP="0013173C">
      <w:pPr>
        <w:spacing w:after="120"/>
        <w:jc w:val="both"/>
        <w:rPr>
          <w:rFonts w:asciiTheme="minorHAnsi" w:hAnsiTheme="minorHAnsi" w:cstheme="minorHAnsi"/>
        </w:rPr>
      </w:pPr>
    </w:p>
    <w:p w14:paraId="660ED2BE" w14:textId="558E13F3" w:rsidR="0013173C" w:rsidRPr="005059B1" w:rsidRDefault="0013173C" w:rsidP="005059B1">
      <w:pPr>
        <w:pStyle w:val="Legenda"/>
        <w:jc w:val="center"/>
        <w:rPr>
          <w:rFonts w:asciiTheme="minorHAnsi" w:hAnsiTheme="minorHAnsi" w:cstheme="minorHAnsi"/>
          <w:sz w:val="20"/>
          <w:szCs w:val="20"/>
        </w:rPr>
      </w:pPr>
      <w:bookmarkStart w:id="604" w:name="_Toc97918906"/>
      <w:bookmarkStart w:id="605" w:name="_Toc103680692"/>
      <w:r w:rsidRPr="00252D7B">
        <w:rPr>
          <w:rFonts w:asciiTheme="minorHAnsi" w:hAnsiTheme="minorHAnsi" w:cstheme="minorHAnsi"/>
          <w:sz w:val="20"/>
          <w:szCs w:val="20"/>
        </w:rPr>
        <w:lastRenderedPageBreak/>
        <w:t xml:space="preserve">Tabela </w:t>
      </w:r>
      <w:r w:rsidRPr="005059B1">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Tabela \* ARABIC </w:instrText>
      </w:r>
      <w:r w:rsidRPr="005059B1">
        <w:rPr>
          <w:rFonts w:asciiTheme="minorHAnsi" w:hAnsiTheme="minorHAnsi" w:cstheme="minorHAnsi"/>
          <w:sz w:val="20"/>
          <w:szCs w:val="20"/>
        </w:rPr>
        <w:fldChar w:fldCharType="separate"/>
      </w:r>
      <w:r w:rsidR="00C12888">
        <w:rPr>
          <w:rFonts w:asciiTheme="minorHAnsi" w:hAnsiTheme="minorHAnsi" w:cstheme="minorHAnsi"/>
          <w:noProof/>
          <w:sz w:val="20"/>
          <w:szCs w:val="20"/>
        </w:rPr>
        <w:t>30</w:t>
      </w:r>
      <w:r w:rsidRPr="005059B1">
        <w:rPr>
          <w:rFonts w:asciiTheme="minorHAnsi" w:hAnsiTheme="minorHAnsi" w:cstheme="minorHAnsi"/>
          <w:sz w:val="20"/>
          <w:szCs w:val="20"/>
        </w:rPr>
        <w:fldChar w:fldCharType="end"/>
      </w:r>
      <w:r w:rsidRPr="00252D7B">
        <w:rPr>
          <w:rFonts w:asciiTheme="minorHAnsi" w:hAnsiTheme="minorHAnsi" w:cstheme="minorHAnsi"/>
          <w:sz w:val="20"/>
          <w:szCs w:val="20"/>
        </w:rPr>
        <w:t xml:space="preserve"> – Conta Limite de Saque com Vinculação de Pagamento</w:t>
      </w:r>
      <w:bookmarkEnd w:id="604"/>
      <w:bookmarkEnd w:id="605"/>
    </w:p>
    <w:tbl>
      <w:tblPr>
        <w:tblW w:w="5000" w:type="pct"/>
        <w:tblCellMar>
          <w:left w:w="70" w:type="dxa"/>
          <w:right w:w="70" w:type="dxa"/>
        </w:tblCellMar>
        <w:tblLook w:val="04A0" w:firstRow="1" w:lastRow="0" w:firstColumn="1" w:lastColumn="0" w:noHBand="0" w:noVBand="1"/>
      </w:tblPr>
      <w:tblGrid>
        <w:gridCol w:w="1346"/>
        <w:gridCol w:w="5048"/>
        <w:gridCol w:w="232"/>
        <w:gridCol w:w="232"/>
        <w:gridCol w:w="232"/>
        <w:gridCol w:w="232"/>
        <w:gridCol w:w="1212"/>
        <w:gridCol w:w="1212"/>
      </w:tblGrid>
      <w:tr w:rsidR="0013173C" w:rsidRPr="00252D7B" w14:paraId="6937CB53" w14:textId="77777777" w:rsidTr="00F6584E">
        <w:trPr>
          <w:trHeight w:hRule="exact" w:val="227"/>
        </w:trPr>
        <w:tc>
          <w:tcPr>
            <w:tcW w:w="690" w:type="pct"/>
            <w:tcBorders>
              <w:top w:val="nil"/>
              <w:left w:val="nil"/>
              <w:bottom w:val="single" w:sz="8" w:space="0" w:color="auto"/>
              <w:right w:val="nil"/>
            </w:tcBorders>
            <w:shd w:val="clear" w:color="000000" w:fill="FFFFFF"/>
            <w:noWrap/>
            <w:vAlign w:val="center"/>
            <w:hideMark/>
          </w:tcPr>
          <w:p w14:paraId="61B79FDC" w14:textId="77777777" w:rsidR="0013173C" w:rsidRPr="00252D7B" w:rsidRDefault="0013173C" w:rsidP="00F6584E">
            <w:pPr>
              <w:spacing w:after="120"/>
              <w:jc w:val="center"/>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VINCULAÇÃO</w:t>
            </w:r>
          </w:p>
        </w:tc>
        <w:tc>
          <w:tcPr>
            <w:tcW w:w="2590" w:type="pct"/>
            <w:tcBorders>
              <w:top w:val="nil"/>
              <w:left w:val="nil"/>
              <w:bottom w:val="single" w:sz="8" w:space="0" w:color="auto"/>
              <w:right w:val="nil"/>
            </w:tcBorders>
            <w:shd w:val="clear" w:color="000000" w:fill="FFFFFF"/>
            <w:noWrap/>
            <w:vAlign w:val="center"/>
            <w:hideMark/>
          </w:tcPr>
          <w:p w14:paraId="5C7C96C8" w14:textId="77777777" w:rsidR="0013173C" w:rsidRPr="00252D7B" w:rsidRDefault="0013173C" w:rsidP="00F6584E">
            <w:pPr>
              <w:spacing w:after="120"/>
              <w:jc w:val="both"/>
              <w:rPr>
                <w:rFonts w:asciiTheme="minorHAnsi" w:hAnsiTheme="minorHAnsi" w:cstheme="minorHAnsi"/>
                <w:b/>
                <w:bCs/>
                <w:color w:val="000000"/>
                <w:sz w:val="20"/>
                <w:szCs w:val="20"/>
              </w:rPr>
            </w:pPr>
            <w:r w:rsidRPr="00252D7B">
              <w:rPr>
                <w:rFonts w:asciiTheme="minorHAnsi" w:hAnsiTheme="minorHAnsi" w:cstheme="minorHAnsi"/>
                <w:b/>
                <w:bCs/>
                <w:sz w:val="20"/>
                <w:szCs w:val="20"/>
              </w:rPr>
              <w:t xml:space="preserve"> DESCRIÇÃO DA VINCULAÇÃO</w:t>
            </w:r>
          </w:p>
        </w:tc>
        <w:tc>
          <w:tcPr>
            <w:tcW w:w="119" w:type="pct"/>
            <w:tcBorders>
              <w:top w:val="nil"/>
              <w:left w:val="nil"/>
              <w:bottom w:val="single" w:sz="8" w:space="0" w:color="auto"/>
              <w:right w:val="nil"/>
            </w:tcBorders>
            <w:shd w:val="clear" w:color="000000" w:fill="FFFFFF"/>
            <w:vAlign w:val="center"/>
            <w:hideMark/>
          </w:tcPr>
          <w:p w14:paraId="32B16B05"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w:t>
            </w:r>
          </w:p>
        </w:tc>
        <w:tc>
          <w:tcPr>
            <w:tcW w:w="119" w:type="pct"/>
            <w:tcBorders>
              <w:top w:val="nil"/>
              <w:left w:val="nil"/>
              <w:bottom w:val="single" w:sz="8" w:space="0" w:color="auto"/>
              <w:right w:val="nil"/>
            </w:tcBorders>
            <w:shd w:val="clear" w:color="000000" w:fill="FFFFFF"/>
            <w:vAlign w:val="center"/>
            <w:hideMark/>
          </w:tcPr>
          <w:p w14:paraId="5B637C07"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w:t>
            </w:r>
          </w:p>
        </w:tc>
        <w:tc>
          <w:tcPr>
            <w:tcW w:w="119" w:type="pct"/>
            <w:tcBorders>
              <w:top w:val="nil"/>
              <w:left w:val="nil"/>
              <w:bottom w:val="single" w:sz="8" w:space="0" w:color="auto"/>
              <w:right w:val="nil"/>
            </w:tcBorders>
            <w:shd w:val="clear" w:color="000000" w:fill="FFFFFF"/>
            <w:noWrap/>
            <w:vAlign w:val="center"/>
            <w:hideMark/>
          </w:tcPr>
          <w:p w14:paraId="1299F0E3"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w:t>
            </w:r>
          </w:p>
        </w:tc>
        <w:tc>
          <w:tcPr>
            <w:tcW w:w="119" w:type="pct"/>
            <w:tcBorders>
              <w:top w:val="nil"/>
              <w:left w:val="nil"/>
              <w:bottom w:val="single" w:sz="8" w:space="0" w:color="auto"/>
              <w:right w:val="nil"/>
            </w:tcBorders>
            <w:shd w:val="clear" w:color="000000" w:fill="FFFFFF"/>
            <w:vAlign w:val="center"/>
            <w:hideMark/>
          </w:tcPr>
          <w:p w14:paraId="36BAEDDC"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w:t>
            </w:r>
          </w:p>
        </w:tc>
        <w:tc>
          <w:tcPr>
            <w:tcW w:w="622" w:type="pct"/>
            <w:tcBorders>
              <w:top w:val="nil"/>
              <w:left w:val="nil"/>
              <w:bottom w:val="single" w:sz="8" w:space="0" w:color="auto"/>
              <w:right w:val="nil"/>
            </w:tcBorders>
            <w:shd w:val="clear" w:color="000000" w:fill="FFFFFF"/>
            <w:vAlign w:val="center"/>
            <w:hideMark/>
          </w:tcPr>
          <w:p w14:paraId="3C43F002"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sz w:val="20"/>
                <w:szCs w:val="20"/>
              </w:rPr>
              <w:t>31/12/2021</w:t>
            </w:r>
          </w:p>
        </w:tc>
        <w:tc>
          <w:tcPr>
            <w:tcW w:w="622" w:type="pct"/>
            <w:tcBorders>
              <w:top w:val="nil"/>
              <w:left w:val="nil"/>
              <w:bottom w:val="single" w:sz="8" w:space="0" w:color="auto"/>
              <w:right w:val="nil"/>
            </w:tcBorders>
            <w:shd w:val="clear" w:color="000000" w:fill="FFFFFF"/>
            <w:vAlign w:val="center"/>
            <w:hideMark/>
          </w:tcPr>
          <w:p w14:paraId="155B4376"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sz w:val="20"/>
                <w:szCs w:val="20"/>
              </w:rPr>
              <w:t>31/12/2020</w:t>
            </w:r>
          </w:p>
        </w:tc>
      </w:tr>
      <w:tr w:rsidR="0013173C" w:rsidRPr="00252D7B" w14:paraId="5337C6BE" w14:textId="77777777" w:rsidTr="00F6584E">
        <w:trPr>
          <w:trHeight w:hRule="exact" w:val="227"/>
        </w:trPr>
        <w:tc>
          <w:tcPr>
            <w:tcW w:w="690" w:type="pct"/>
            <w:tcBorders>
              <w:top w:val="nil"/>
              <w:left w:val="nil"/>
              <w:bottom w:val="nil"/>
              <w:right w:val="nil"/>
            </w:tcBorders>
            <w:shd w:val="clear" w:color="000000" w:fill="FFFFFF"/>
            <w:noWrap/>
            <w:vAlign w:val="center"/>
            <w:hideMark/>
          </w:tcPr>
          <w:p w14:paraId="1C80179B" w14:textId="77777777" w:rsidR="0013173C" w:rsidRPr="00252D7B" w:rsidRDefault="0013173C" w:rsidP="00F6584E">
            <w:pPr>
              <w:spacing w:after="120"/>
              <w:jc w:val="center"/>
              <w:rPr>
                <w:rFonts w:asciiTheme="minorHAnsi" w:hAnsiTheme="minorHAnsi" w:cstheme="minorHAnsi"/>
                <w:color w:val="000000"/>
                <w:sz w:val="20"/>
                <w:szCs w:val="20"/>
              </w:rPr>
            </w:pPr>
            <w:r w:rsidRPr="00252D7B">
              <w:rPr>
                <w:rFonts w:asciiTheme="minorHAnsi" w:hAnsiTheme="minorHAnsi" w:cstheme="minorHAnsi"/>
                <w:sz w:val="20"/>
                <w:szCs w:val="20"/>
              </w:rPr>
              <w:t>308</w:t>
            </w:r>
          </w:p>
        </w:tc>
        <w:tc>
          <w:tcPr>
            <w:tcW w:w="2590" w:type="pct"/>
            <w:tcBorders>
              <w:top w:val="nil"/>
              <w:left w:val="nil"/>
              <w:bottom w:val="nil"/>
              <w:right w:val="nil"/>
            </w:tcBorders>
            <w:shd w:val="clear" w:color="000000" w:fill="FFFFFF"/>
            <w:noWrap/>
            <w:vAlign w:val="center"/>
            <w:hideMark/>
          </w:tcPr>
          <w:p w14:paraId="791650B9" w14:textId="77777777" w:rsidR="0013173C" w:rsidRPr="00252D7B" w:rsidRDefault="0013173C" w:rsidP="00F6584E">
            <w:pPr>
              <w:spacing w:after="120"/>
              <w:jc w:val="both"/>
              <w:rPr>
                <w:rFonts w:asciiTheme="minorHAnsi" w:hAnsiTheme="minorHAnsi" w:cstheme="minorHAnsi"/>
                <w:color w:val="000000"/>
                <w:sz w:val="20"/>
                <w:szCs w:val="20"/>
              </w:rPr>
            </w:pPr>
            <w:r w:rsidRPr="00252D7B">
              <w:rPr>
                <w:rFonts w:asciiTheme="minorHAnsi" w:hAnsiTheme="minorHAnsi" w:cstheme="minorHAnsi"/>
                <w:sz w:val="20"/>
                <w:szCs w:val="20"/>
              </w:rPr>
              <w:t xml:space="preserve">Contribuição previdência fechada     </w:t>
            </w:r>
          </w:p>
        </w:tc>
        <w:tc>
          <w:tcPr>
            <w:tcW w:w="119" w:type="pct"/>
            <w:tcBorders>
              <w:top w:val="nil"/>
              <w:left w:val="nil"/>
              <w:bottom w:val="nil"/>
              <w:right w:val="nil"/>
            </w:tcBorders>
            <w:shd w:val="clear" w:color="auto" w:fill="auto"/>
            <w:vAlign w:val="center"/>
            <w:hideMark/>
          </w:tcPr>
          <w:p w14:paraId="6823CAFB" w14:textId="77777777" w:rsidR="0013173C" w:rsidRPr="00252D7B" w:rsidRDefault="0013173C" w:rsidP="00F6584E">
            <w:pPr>
              <w:spacing w:after="120"/>
              <w:jc w:val="both"/>
              <w:rPr>
                <w:rFonts w:asciiTheme="minorHAnsi" w:hAnsiTheme="minorHAnsi" w:cstheme="minorHAnsi"/>
                <w:color w:val="000000"/>
                <w:sz w:val="20"/>
                <w:szCs w:val="20"/>
              </w:rPr>
            </w:pPr>
          </w:p>
        </w:tc>
        <w:tc>
          <w:tcPr>
            <w:tcW w:w="119" w:type="pct"/>
            <w:tcBorders>
              <w:top w:val="nil"/>
              <w:left w:val="nil"/>
              <w:bottom w:val="nil"/>
              <w:right w:val="nil"/>
            </w:tcBorders>
            <w:shd w:val="clear" w:color="auto" w:fill="auto"/>
            <w:vAlign w:val="center"/>
            <w:hideMark/>
          </w:tcPr>
          <w:p w14:paraId="402EF01A" w14:textId="77777777" w:rsidR="0013173C" w:rsidRPr="00252D7B" w:rsidRDefault="0013173C" w:rsidP="00F6584E">
            <w:pPr>
              <w:spacing w:after="120"/>
              <w:jc w:val="right"/>
              <w:rPr>
                <w:rFonts w:asciiTheme="minorHAnsi" w:hAnsiTheme="minorHAnsi" w:cstheme="minorHAnsi"/>
                <w:sz w:val="20"/>
                <w:szCs w:val="20"/>
              </w:rPr>
            </w:pPr>
          </w:p>
        </w:tc>
        <w:tc>
          <w:tcPr>
            <w:tcW w:w="119" w:type="pct"/>
            <w:tcBorders>
              <w:top w:val="nil"/>
              <w:left w:val="nil"/>
              <w:bottom w:val="nil"/>
              <w:right w:val="nil"/>
            </w:tcBorders>
            <w:shd w:val="clear" w:color="auto" w:fill="auto"/>
            <w:noWrap/>
            <w:vAlign w:val="center"/>
            <w:hideMark/>
          </w:tcPr>
          <w:p w14:paraId="63BDE504" w14:textId="77777777" w:rsidR="0013173C" w:rsidRPr="00252D7B" w:rsidRDefault="0013173C" w:rsidP="00F6584E">
            <w:pPr>
              <w:spacing w:after="120"/>
              <w:jc w:val="right"/>
              <w:rPr>
                <w:rFonts w:asciiTheme="minorHAnsi" w:hAnsiTheme="minorHAnsi" w:cstheme="minorHAnsi"/>
                <w:sz w:val="20"/>
                <w:szCs w:val="20"/>
              </w:rPr>
            </w:pPr>
          </w:p>
        </w:tc>
        <w:tc>
          <w:tcPr>
            <w:tcW w:w="119" w:type="pct"/>
            <w:tcBorders>
              <w:top w:val="nil"/>
              <w:left w:val="nil"/>
              <w:bottom w:val="nil"/>
              <w:right w:val="nil"/>
            </w:tcBorders>
            <w:shd w:val="clear" w:color="auto" w:fill="auto"/>
            <w:vAlign w:val="center"/>
            <w:hideMark/>
          </w:tcPr>
          <w:p w14:paraId="0707C6EA" w14:textId="77777777" w:rsidR="0013173C" w:rsidRPr="00252D7B" w:rsidRDefault="0013173C" w:rsidP="00F6584E">
            <w:pPr>
              <w:spacing w:after="120"/>
              <w:jc w:val="right"/>
              <w:rPr>
                <w:rFonts w:asciiTheme="minorHAnsi" w:hAnsiTheme="minorHAnsi" w:cstheme="minorHAnsi"/>
                <w:sz w:val="20"/>
                <w:szCs w:val="20"/>
              </w:rPr>
            </w:pPr>
          </w:p>
        </w:tc>
        <w:tc>
          <w:tcPr>
            <w:tcW w:w="622" w:type="pct"/>
            <w:tcBorders>
              <w:top w:val="nil"/>
              <w:left w:val="nil"/>
              <w:bottom w:val="nil"/>
              <w:right w:val="nil"/>
            </w:tcBorders>
            <w:shd w:val="clear" w:color="auto" w:fill="auto"/>
            <w:vAlign w:val="center"/>
            <w:hideMark/>
          </w:tcPr>
          <w:p w14:paraId="5066A72B"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65.083</w:t>
            </w:r>
          </w:p>
        </w:tc>
        <w:tc>
          <w:tcPr>
            <w:tcW w:w="622" w:type="pct"/>
            <w:tcBorders>
              <w:top w:val="nil"/>
              <w:left w:val="nil"/>
              <w:bottom w:val="nil"/>
              <w:right w:val="nil"/>
            </w:tcBorders>
            <w:shd w:val="clear" w:color="auto" w:fill="auto"/>
            <w:vAlign w:val="center"/>
            <w:hideMark/>
          </w:tcPr>
          <w:p w14:paraId="0D280440"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67.864</w:t>
            </w:r>
          </w:p>
        </w:tc>
      </w:tr>
      <w:tr w:rsidR="0013173C" w:rsidRPr="00252D7B" w14:paraId="0DF15C5E" w14:textId="77777777" w:rsidTr="00F6584E">
        <w:trPr>
          <w:trHeight w:hRule="exact" w:val="227"/>
        </w:trPr>
        <w:tc>
          <w:tcPr>
            <w:tcW w:w="690" w:type="pct"/>
            <w:tcBorders>
              <w:top w:val="nil"/>
              <w:left w:val="nil"/>
              <w:bottom w:val="nil"/>
              <w:right w:val="nil"/>
            </w:tcBorders>
            <w:shd w:val="clear" w:color="000000" w:fill="FFFFFF"/>
            <w:noWrap/>
            <w:vAlign w:val="center"/>
            <w:hideMark/>
          </w:tcPr>
          <w:p w14:paraId="1DD04968" w14:textId="77777777" w:rsidR="0013173C" w:rsidRPr="00252D7B" w:rsidRDefault="0013173C" w:rsidP="00F6584E">
            <w:pPr>
              <w:spacing w:after="120"/>
              <w:jc w:val="center"/>
              <w:rPr>
                <w:rFonts w:asciiTheme="minorHAnsi" w:hAnsiTheme="minorHAnsi" w:cstheme="minorHAnsi"/>
                <w:color w:val="000000"/>
                <w:sz w:val="20"/>
                <w:szCs w:val="20"/>
              </w:rPr>
            </w:pPr>
            <w:r w:rsidRPr="00252D7B">
              <w:rPr>
                <w:rFonts w:asciiTheme="minorHAnsi" w:hAnsiTheme="minorHAnsi" w:cstheme="minorHAnsi"/>
                <w:sz w:val="20"/>
                <w:szCs w:val="20"/>
              </w:rPr>
              <w:t>310</w:t>
            </w:r>
          </w:p>
        </w:tc>
        <w:tc>
          <w:tcPr>
            <w:tcW w:w="2590" w:type="pct"/>
            <w:tcBorders>
              <w:top w:val="nil"/>
              <w:left w:val="nil"/>
              <w:bottom w:val="nil"/>
              <w:right w:val="nil"/>
            </w:tcBorders>
            <w:shd w:val="clear" w:color="000000" w:fill="FFFFFF"/>
            <w:noWrap/>
            <w:vAlign w:val="center"/>
            <w:hideMark/>
          </w:tcPr>
          <w:p w14:paraId="5A9CE136"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sz w:val="20"/>
                <w:szCs w:val="20"/>
              </w:rPr>
              <w:t xml:space="preserve">Pagamento pessoal                    </w:t>
            </w:r>
          </w:p>
        </w:tc>
        <w:tc>
          <w:tcPr>
            <w:tcW w:w="119" w:type="pct"/>
            <w:tcBorders>
              <w:top w:val="nil"/>
              <w:left w:val="nil"/>
              <w:bottom w:val="nil"/>
              <w:right w:val="nil"/>
            </w:tcBorders>
            <w:shd w:val="clear" w:color="auto" w:fill="auto"/>
            <w:vAlign w:val="center"/>
            <w:hideMark/>
          </w:tcPr>
          <w:p w14:paraId="4F78CAEE" w14:textId="77777777" w:rsidR="0013173C" w:rsidRPr="00252D7B" w:rsidRDefault="0013173C" w:rsidP="00F6584E">
            <w:pPr>
              <w:spacing w:after="120"/>
              <w:rPr>
                <w:rFonts w:asciiTheme="minorHAnsi" w:hAnsiTheme="minorHAnsi" w:cstheme="minorHAnsi"/>
                <w:color w:val="000000"/>
                <w:sz w:val="20"/>
                <w:szCs w:val="20"/>
              </w:rPr>
            </w:pPr>
          </w:p>
        </w:tc>
        <w:tc>
          <w:tcPr>
            <w:tcW w:w="119" w:type="pct"/>
            <w:tcBorders>
              <w:top w:val="nil"/>
              <w:left w:val="nil"/>
              <w:bottom w:val="nil"/>
              <w:right w:val="nil"/>
            </w:tcBorders>
            <w:shd w:val="clear" w:color="auto" w:fill="auto"/>
            <w:vAlign w:val="center"/>
            <w:hideMark/>
          </w:tcPr>
          <w:p w14:paraId="680DDF08" w14:textId="77777777" w:rsidR="0013173C" w:rsidRPr="00252D7B" w:rsidRDefault="0013173C" w:rsidP="00F6584E">
            <w:pPr>
              <w:spacing w:after="120"/>
              <w:rPr>
                <w:rFonts w:asciiTheme="minorHAnsi" w:hAnsiTheme="minorHAnsi" w:cstheme="minorHAnsi"/>
                <w:sz w:val="20"/>
                <w:szCs w:val="20"/>
              </w:rPr>
            </w:pPr>
          </w:p>
        </w:tc>
        <w:tc>
          <w:tcPr>
            <w:tcW w:w="119" w:type="pct"/>
            <w:tcBorders>
              <w:top w:val="nil"/>
              <w:left w:val="nil"/>
              <w:bottom w:val="nil"/>
              <w:right w:val="nil"/>
            </w:tcBorders>
            <w:shd w:val="clear" w:color="auto" w:fill="auto"/>
            <w:noWrap/>
            <w:vAlign w:val="center"/>
            <w:hideMark/>
          </w:tcPr>
          <w:p w14:paraId="77321630" w14:textId="77777777" w:rsidR="0013173C" w:rsidRPr="00252D7B" w:rsidRDefault="0013173C" w:rsidP="00F6584E">
            <w:pPr>
              <w:spacing w:after="120"/>
              <w:rPr>
                <w:rFonts w:asciiTheme="minorHAnsi" w:hAnsiTheme="minorHAnsi" w:cstheme="minorHAnsi"/>
                <w:sz w:val="20"/>
                <w:szCs w:val="20"/>
              </w:rPr>
            </w:pPr>
          </w:p>
        </w:tc>
        <w:tc>
          <w:tcPr>
            <w:tcW w:w="119" w:type="pct"/>
            <w:tcBorders>
              <w:top w:val="nil"/>
              <w:left w:val="nil"/>
              <w:bottom w:val="nil"/>
              <w:right w:val="nil"/>
            </w:tcBorders>
            <w:shd w:val="clear" w:color="auto" w:fill="auto"/>
            <w:vAlign w:val="center"/>
            <w:hideMark/>
          </w:tcPr>
          <w:p w14:paraId="578A18EF" w14:textId="77777777" w:rsidR="0013173C" w:rsidRPr="00252D7B" w:rsidRDefault="0013173C" w:rsidP="00F6584E">
            <w:pPr>
              <w:spacing w:after="120"/>
              <w:rPr>
                <w:rFonts w:asciiTheme="minorHAnsi" w:hAnsiTheme="minorHAnsi" w:cstheme="minorHAnsi"/>
                <w:sz w:val="20"/>
                <w:szCs w:val="20"/>
              </w:rPr>
            </w:pPr>
          </w:p>
        </w:tc>
        <w:tc>
          <w:tcPr>
            <w:tcW w:w="622" w:type="pct"/>
            <w:tcBorders>
              <w:top w:val="nil"/>
              <w:left w:val="nil"/>
              <w:bottom w:val="nil"/>
              <w:right w:val="nil"/>
            </w:tcBorders>
            <w:shd w:val="clear" w:color="auto" w:fill="auto"/>
            <w:vAlign w:val="center"/>
            <w:hideMark/>
          </w:tcPr>
          <w:p w14:paraId="67EB7F6F"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6.141.722</w:t>
            </w:r>
          </w:p>
        </w:tc>
        <w:tc>
          <w:tcPr>
            <w:tcW w:w="622" w:type="pct"/>
            <w:tcBorders>
              <w:top w:val="nil"/>
              <w:left w:val="nil"/>
              <w:bottom w:val="nil"/>
              <w:right w:val="nil"/>
            </w:tcBorders>
            <w:shd w:val="clear" w:color="auto" w:fill="auto"/>
            <w:vAlign w:val="center"/>
            <w:hideMark/>
          </w:tcPr>
          <w:p w14:paraId="5084B3C5"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5.957.149</w:t>
            </w:r>
          </w:p>
        </w:tc>
      </w:tr>
      <w:tr w:rsidR="0013173C" w:rsidRPr="00252D7B" w14:paraId="67971E1B" w14:textId="77777777" w:rsidTr="00F6584E">
        <w:trPr>
          <w:trHeight w:hRule="exact" w:val="227"/>
        </w:trPr>
        <w:tc>
          <w:tcPr>
            <w:tcW w:w="690" w:type="pct"/>
            <w:tcBorders>
              <w:top w:val="nil"/>
              <w:left w:val="nil"/>
              <w:bottom w:val="nil"/>
              <w:right w:val="nil"/>
            </w:tcBorders>
            <w:shd w:val="clear" w:color="000000" w:fill="FFFFFF"/>
            <w:noWrap/>
            <w:vAlign w:val="center"/>
            <w:hideMark/>
          </w:tcPr>
          <w:p w14:paraId="7F7146C7" w14:textId="77777777" w:rsidR="0013173C" w:rsidRPr="00252D7B" w:rsidRDefault="0013173C" w:rsidP="00F6584E">
            <w:pPr>
              <w:spacing w:after="120"/>
              <w:jc w:val="center"/>
              <w:rPr>
                <w:rFonts w:asciiTheme="minorHAnsi" w:hAnsiTheme="minorHAnsi" w:cstheme="minorHAnsi"/>
                <w:color w:val="000000"/>
                <w:sz w:val="20"/>
                <w:szCs w:val="20"/>
              </w:rPr>
            </w:pPr>
            <w:r w:rsidRPr="00252D7B">
              <w:rPr>
                <w:rFonts w:asciiTheme="minorHAnsi" w:hAnsiTheme="minorHAnsi" w:cstheme="minorHAnsi"/>
                <w:sz w:val="20"/>
                <w:szCs w:val="20"/>
              </w:rPr>
              <w:t>400</w:t>
            </w:r>
          </w:p>
        </w:tc>
        <w:tc>
          <w:tcPr>
            <w:tcW w:w="2590" w:type="pct"/>
            <w:tcBorders>
              <w:top w:val="nil"/>
              <w:left w:val="nil"/>
              <w:bottom w:val="nil"/>
              <w:right w:val="nil"/>
            </w:tcBorders>
            <w:shd w:val="clear" w:color="000000" w:fill="FFFFFF"/>
            <w:noWrap/>
            <w:vAlign w:val="center"/>
            <w:hideMark/>
          </w:tcPr>
          <w:p w14:paraId="37B54F2F" w14:textId="77777777" w:rsidR="0013173C" w:rsidRPr="00252D7B" w:rsidRDefault="0013173C" w:rsidP="00F6584E">
            <w:pPr>
              <w:spacing w:after="120"/>
              <w:jc w:val="both"/>
              <w:rPr>
                <w:rFonts w:asciiTheme="minorHAnsi" w:hAnsiTheme="minorHAnsi" w:cstheme="minorHAnsi"/>
                <w:color w:val="000000"/>
                <w:sz w:val="20"/>
                <w:szCs w:val="20"/>
              </w:rPr>
            </w:pPr>
            <w:r w:rsidRPr="00252D7B">
              <w:rPr>
                <w:rFonts w:asciiTheme="minorHAnsi" w:hAnsiTheme="minorHAnsi" w:cstheme="minorHAnsi"/>
                <w:sz w:val="20"/>
                <w:szCs w:val="20"/>
              </w:rPr>
              <w:t xml:space="preserve">Custeio/invest. c/exigência de empenho  </w:t>
            </w:r>
          </w:p>
        </w:tc>
        <w:tc>
          <w:tcPr>
            <w:tcW w:w="119" w:type="pct"/>
            <w:tcBorders>
              <w:top w:val="nil"/>
              <w:left w:val="nil"/>
              <w:bottom w:val="nil"/>
              <w:right w:val="nil"/>
            </w:tcBorders>
            <w:shd w:val="clear" w:color="auto" w:fill="auto"/>
            <w:vAlign w:val="center"/>
            <w:hideMark/>
          </w:tcPr>
          <w:p w14:paraId="41AB8089" w14:textId="77777777" w:rsidR="0013173C" w:rsidRPr="00252D7B" w:rsidRDefault="0013173C" w:rsidP="00F6584E">
            <w:pPr>
              <w:spacing w:after="120"/>
              <w:jc w:val="both"/>
              <w:rPr>
                <w:rFonts w:asciiTheme="minorHAnsi" w:hAnsiTheme="minorHAnsi" w:cstheme="minorHAnsi"/>
                <w:color w:val="000000"/>
                <w:sz w:val="20"/>
                <w:szCs w:val="20"/>
              </w:rPr>
            </w:pPr>
          </w:p>
        </w:tc>
        <w:tc>
          <w:tcPr>
            <w:tcW w:w="119" w:type="pct"/>
            <w:tcBorders>
              <w:top w:val="nil"/>
              <w:left w:val="nil"/>
              <w:bottom w:val="nil"/>
              <w:right w:val="nil"/>
            </w:tcBorders>
            <w:shd w:val="clear" w:color="auto" w:fill="auto"/>
            <w:vAlign w:val="center"/>
            <w:hideMark/>
          </w:tcPr>
          <w:p w14:paraId="6B6EE607" w14:textId="77777777" w:rsidR="0013173C" w:rsidRPr="00252D7B" w:rsidRDefault="0013173C" w:rsidP="00F6584E">
            <w:pPr>
              <w:spacing w:after="120"/>
              <w:jc w:val="right"/>
              <w:rPr>
                <w:rFonts w:asciiTheme="minorHAnsi" w:hAnsiTheme="minorHAnsi" w:cstheme="minorHAnsi"/>
                <w:sz w:val="20"/>
                <w:szCs w:val="20"/>
              </w:rPr>
            </w:pPr>
          </w:p>
        </w:tc>
        <w:tc>
          <w:tcPr>
            <w:tcW w:w="119" w:type="pct"/>
            <w:tcBorders>
              <w:top w:val="nil"/>
              <w:left w:val="nil"/>
              <w:bottom w:val="nil"/>
              <w:right w:val="nil"/>
            </w:tcBorders>
            <w:shd w:val="clear" w:color="auto" w:fill="auto"/>
            <w:noWrap/>
            <w:vAlign w:val="center"/>
            <w:hideMark/>
          </w:tcPr>
          <w:p w14:paraId="187B87B7" w14:textId="77777777" w:rsidR="0013173C" w:rsidRPr="00252D7B" w:rsidRDefault="0013173C" w:rsidP="00F6584E">
            <w:pPr>
              <w:spacing w:after="120"/>
              <w:jc w:val="right"/>
              <w:rPr>
                <w:rFonts w:asciiTheme="minorHAnsi" w:hAnsiTheme="minorHAnsi" w:cstheme="minorHAnsi"/>
                <w:sz w:val="20"/>
                <w:szCs w:val="20"/>
              </w:rPr>
            </w:pPr>
          </w:p>
        </w:tc>
        <w:tc>
          <w:tcPr>
            <w:tcW w:w="119" w:type="pct"/>
            <w:tcBorders>
              <w:top w:val="nil"/>
              <w:left w:val="nil"/>
              <w:bottom w:val="nil"/>
              <w:right w:val="nil"/>
            </w:tcBorders>
            <w:shd w:val="clear" w:color="auto" w:fill="auto"/>
            <w:vAlign w:val="center"/>
            <w:hideMark/>
          </w:tcPr>
          <w:p w14:paraId="561243FB" w14:textId="77777777" w:rsidR="0013173C" w:rsidRPr="00252D7B" w:rsidRDefault="0013173C" w:rsidP="00F6584E">
            <w:pPr>
              <w:spacing w:after="120"/>
              <w:jc w:val="right"/>
              <w:rPr>
                <w:rFonts w:asciiTheme="minorHAnsi" w:hAnsiTheme="minorHAnsi" w:cstheme="minorHAnsi"/>
                <w:sz w:val="20"/>
                <w:szCs w:val="20"/>
              </w:rPr>
            </w:pPr>
          </w:p>
        </w:tc>
        <w:tc>
          <w:tcPr>
            <w:tcW w:w="622" w:type="pct"/>
            <w:tcBorders>
              <w:top w:val="nil"/>
              <w:left w:val="nil"/>
              <w:bottom w:val="nil"/>
              <w:right w:val="nil"/>
            </w:tcBorders>
            <w:shd w:val="clear" w:color="auto" w:fill="auto"/>
            <w:vAlign w:val="center"/>
            <w:hideMark/>
          </w:tcPr>
          <w:p w14:paraId="15C6DF7C"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50.179.402</w:t>
            </w:r>
          </w:p>
        </w:tc>
        <w:tc>
          <w:tcPr>
            <w:tcW w:w="622" w:type="pct"/>
            <w:tcBorders>
              <w:top w:val="nil"/>
              <w:left w:val="nil"/>
              <w:bottom w:val="nil"/>
              <w:right w:val="nil"/>
            </w:tcBorders>
            <w:shd w:val="clear" w:color="auto" w:fill="auto"/>
            <w:vAlign w:val="center"/>
            <w:hideMark/>
          </w:tcPr>
          <w:p w14:paraId="09784FB9"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18.147.951</w:t>
            </w:r>
          </w:p>
        </w:tc>
      </w:tr>
      <w:tr w:rsidR="0013173C" w:rsidRPr="00252D7B" w14:paraId="30B79DE1" w14:textId="77777777" w:rsidTr="00F6584E">
        <w:trPr>
          <w:trHeight w:hRule="exact" w:val="227"/>
        </w:trPr>
        <w:tc>
          <w:tcPr>
            <w:tcW w:w="690" w:type="pct"/>
            <w:tcBorders>
              <w:top w:val="nil"/>
              <w:left w:val="nil"/>
              <w:bottom w:val="nil"/>
              <w:right w:val="nil"/>
            </w:tcBorders>
            <w:shd w:val="clear" w:color="000000" w:fill="FFFFFF"/>
            <w:noWrap/>
            <w:vAlign w:val="center"/>
            <w:hideMark/>
          </w:tcPr>
          <w:p w14:paraId="2B6AF0F7" w14:textId="77777777" w:rsidR="0013173C" w:rsidRPr="00252D7B" w:rsidRDefault="0013173C" w:rsidP="00F6584E">
            <w:pPr>
              <w:spacing w:after="120"/>
              <w:jc w:val="center"/>
              <w:rPr>
                <w:rFonts w:asciiTheme="minorHAnsi" w:hAnsiTheme="minorHAnsi" w:cstheme="minorHAnsi"/>
                <w:color w:val="000000"/>
                <w:sz w:val="20"/>
                <w:szCs w:val="20"/>
              </w:rPr>
            </w:pPr>
            <w:r w:rsidRPr="00252D7B">
              <w:rPr>
                <w:rFonts w:asciiTheme="minorHAnsi" w:hAnsiTheme="minorHAnsi" w:cstheme="minorHAnsi"/>
                <w:sz w:val="20"/>
                <w:szCs w:val="20"/>
              </w:rPr>
              <w:t>409</w:t>
            </w:r>
          </w:p>
        </w:tc>
        <w:tc>
          <w:tcPr>
            <w:tcW w:w="2590" w:type="pct"/>
            <w:tcBorders>
              <w:top w:val="nil"/>
              <w:left w:val="nil"/>
              <w:bottom w:val="nil"/>
              <w:right w:val="nil"/>
            </w:tcBorders>
            <w:shd w:val="clear" w:color="000000" w:fill="FFFFFF"/>
            <w:noWrap/>
            <w:vAlign w:val="center"/>
            <w:hideMark/>
          </w:tcPr>
          <w:p w14:paraId="40AAF093" w14:textId="77777777" w:rsidR="0013173C" w:rsidRPr="00252D7B" w:rsidRDefault="0013173C" w:rsidP="00F6584E">
            <w:pPr>
              <w:spacing w:after="120"/>
              <w:jc w:val="both"/>
              <w:rPr>
                <w:rFonts w:asciiTheme="minorHAnsi" w:hAnsiTheme="minorHAnsi" w:cstheme="minorHAnsi"/>
                <w:color w:val="000000"/>
                <w:sz w:val="20"/>
                <w:szCs w:val="20"/>
              </w:rPr>
            </w:pPr>
            <w:r w:rsidRPr="00252D7B">
              <w:rPr>
                <w:rFonts w:asciiTheme="minorHAnsi" w:hAnsiTheme="minorHAnsi" w:cstheme="minorHAnsi"/>
                <w:sz w:val="20"/>
                <w:szCs w:val="20"/>
              </w:rPr>
              <w:t>Emendas Resultado EOF -9</w:t>
            </w:r>
          </w:p>
        </w:tc>
        <w:tc>
          <w:tcPr>
            <w:tcW w:w="119" w:type="pct"/>
            <w:tcBorders>
              <w:top w:val="nil"/>
              <w:left w:val="nil"/>
              <w:bottom w:val="nil"/>
              <w:right w:val="nil"/>
            </w:tcBorders>
            <w:shd w:val="clear" w:color="auto" w:fill="auto"/>
            <w:vAlign w:val="center"/>
            <w:hideMark/>
          </w:tcPr>
          <w:p w14:paraId="78DBFDC2" w14:textId="77777777" w:rsidR="0013173C" w:rsidRPr="00252D7B" w:rsidRDefault="0013173C" w:rsidP="00F6584E">
            <w:pPr>
              <w:spacing w:after="120"/>
              <w:jc w:val="both"/>
              <w:rPr>
                <w:rFonts w:asciiTheme="minorHAnsi" w:hAnsiTheme="minorHAnsi" w:cstheme="minorHAnsi"/>
                <w:color w:val="000000"/>
                <w:sz w:val="20"/>
                <w:szCs w:val="20"/>
              </w:rPr>
            </w:pPr>
          </w:p>
        </w:tc>
        <w:tc>
          <w:tcPr>
            <w:tcW w:w="119" w:type="pct"/>
            <w:tcBorders>
              <w:top w:val="nil"/>
              <w:left w:val="nil"/>
              <w:bottom w:val="nil"/>
              <w:right w:val="nil"/>
            </w:tcBorders>
            <w:shd w:val="clear" w:color="auto" w:fill="auto"/>
            <w:vAlign w:val="center"/>
            <w:hideMark/>
          </w:tcPr>
          <w:p w14:paraId="2AA2EAD2" w14:textId="77777777" w:rsidR="0013173C" w:rsidRPr="00252D7B" w:rsidRDefault="0013173C" w:rsidP="00F6584E">
            <w:pPr>
              <w:spacing w:after="120"/>
              <w:jc w:val="right"/>
              <w:rPr>
                <w:rFonts w:asciiTheme="minorHAnsi" w:hAnsiTheme="minorHAnsi" w:cstheme="minorHAnsi"/>
                <w:sz w:val="20"/>
                <w:szCs w:val="20"/>
              </w:rPr>
            </w:pPr>
          </w:p>
        </w:tc>
        <w:tc>
          <w:tcPr>
            <w:tcW w:w="119" w:type="pct"/>
            <w:tcBorders>
              <w:top w:val="nil"/>
              <w:left w:val="nil"/>
              <w:bottom w:val="nil"/>
              <w:right w:val="nil"/>
            </w:tcBorders>
            <w:shd w:val="clear" w:color="auto" w:fill="auto"/>
            <w:noWrap/>
            <w:vAlign w:val="center"/>
            <w:hideMark/>
          </w:tcPr>
          <w:p w14:paraId="47175121" w14:textId="77777777" w:rsidR="0013173C" w:rsidRPr="00252D7B" w:rsidRDefault="0013173C" w:rsidP="00F6584E">
            <w:pPr>
              <w:spacing w:after="120"/>
              <w:jc w:val="right"/>
              <w:rPr>
                <w:rFonts w:asciiTheme="minorHAnsi" w:hAnsiTheme="minorHAnsi" w:cstheme="minorHAnsi"/>
                <w:sz w:val="20"/>
                <w:szCs w:val="20"/>
              </w:rPr>
            </w:pPr>
          </w:p>
        </w:tc>
        <w:tc>
          <w:tcPr>
            <w:tcW w:w="119" w:type="pct"/>
            <w:tcBorders>
              <w:top w:val="nil"/>
              <w:left w:val="nil"/>
              <w:bottom w:val="nil"/>
              <w:right w:val="nil"/>
            </w:tcBorders>
            <w:shd w:val="clear" w:color="auto" w:fill="auto"/>
            <w:vAlign w:val="center"/>
            <w:hideMark/>
          </w:tcPr>
          <w:p w14:paraId="64904CD5" w14:textId="77777777" w:rsidR="0013173C" w:rsidRPr="00252D7B" w:rsidRDefault="0013173C" w:rsidP="00F6584E">
            <w:pPr>
              <w:spacing w:after="120"/>
              <w:jc w:val="right"/>
              <w:rPr>
                <w:rFonts w:asciiTheme="minorHAnsi" w:hAnsiTheme="minorHAnsi" w:cstheme="minorHAnsi"/>
                <w:sz w:val="20"/>
                <w:szCs w:val="20"/>
              </w:rPr>
            </w:pPr>
          </w:p>
        </w:tc>
        <w:tc>
          <w:tcPr>
            <w:tcW w:w="622" w:type="pct"/>
            <w:tcBorders>
              <w:top w:val="nil"/>
              <w:left w:val="nil"/>
              <w:bottom w:val="nil"/>
              <w:right w:val="nil"/>
            </w:tcBorders>
            <w:shd w:val="clear" w:color="auto" w:fill="auto"/>
            <w:vAlign w:val="center"/>
            <w:hideMark/>
          </w:tcPr>
          <w:p w14:paraId="0EE06C29"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622" w:type="pct"/>
            <w:tcBorders>
              <w:top w:val="nil"/>
              <w:left w:val="nil"/>
              <w:bottom w:val="nil"/>
              <w:right w:val="nil"/>
            </w:tcBorders>
            <w:shd w:val="clear" w:color="auto" w:fill="auto"/>
            <w:vAlign w:val="center"/>
            <w:hideMark/>
          </w:tcPr>
          <w:p w14:paraId="52A22022"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523.505</w:t>
            </w:r>
          </w:p>
        </w:tc>
      </w:tr>
      <w:tr w:rsidR="0013173C" w:rsidRPr="00252D7B" w14:paraId="1EF557CB" w14:textId="77777777" w:rsidTr="00F6584E">
        <w:trPr>
          <w:trHeight w:hRule="exact" w:val="227"/>
        </w:trPr>
        <w:tc>
          <w:tcPr>
            <w:tcW w:w="690" w:type="pct"/>
            <w:tcBorders>
              <w:top w:val="nil"/>
              <w:left w:val="nil"/>
              <w:bottom w:val="nil"/>
              <w:right w:val="nil"/>
            </w:tcBorders>
            <w:shd w:val="clear" w:color="000000" w:fill="FFFFFF"/>
            <w:noWrap/>
            <w:vAlign w:val="center"/>
            <w:hideMark/>
          </w:tcPr>
          <w:p w14:paraId="0F309F4D" w14:textId="77777777" w:rsidR="0013173C" w:rsidRPr="00252D7B" w:rsidRDefault="0013173C" w:rsidP="00F6584E">
            <w:pPr>
              <w:spacing w:after="120"/>
              <w:jc w:val="center"/>
              <w:rPr>
                <w:rFonts w:asciiTheme="minorHAnsi" w:hAnsiTheme="minorHAnsi" w:cstheme="minorHAnsi"/>
                <w:color w:val="000000"/>
                <w:sz w:val="20"/>
                <w:szCs w:val="20"/>
              </w:rPr>
            </w:pPr>
            <w:r w:rsidRPr="00252D7B">
              <w:rPr>
                <w:rFonts w:asciiTheme="minorHAnsi" w:hAnsiTheme="minorHAnsi" w:cstheme="minorHAnsi"/>
                <w:sz w:val="20"/>
                <w:szCs w:val="20"/>
              </w:rPr>
              <w:t>500</w:t>
            </w:r>
          </w:p>
        </w:tc>
        <w:tc>
          <w:tcPr>
            <w:tcW w:w="2590" w:type="pct"/>
            <w:tcBorders>
              <w:top w:val="nil"/>
              <w:left w:val="nil"/>
              <w:bottom w:val="nil"/>
              <w:right w:val="nil"/>
            </w:tcBorders>
            <w:shd w:val="clear" w:color="000000" w:fill="FFFFFF"/>
            <w:noWrap/>
            <w:vAlign w:val="center"/>
            <w:hideMark/>
          </w:tcPr>
          <w:p w14:paraId="575C094A" w14:textId="77777777" w:rsidR="0013173C" w:rsidRPr="00252D7B" w:rsidRDefault="0013173C" w:rsidP="00F6584E">
            <w:pPr>
              <w:spacing w:after="120"/>
              <w:jc w:val="both"/>
              <w:rPr>
                <w:rFonts w:asciiTheme="minorHAnsi" w:hAnsiTheme="minorHAnsi" w:cstheme="minorHAnsi"/>
                <w:color w:val="000000"/>
                <w:sz w:val="20"/>
                <w:szCs w:val="20"/>
              </w:rPr>
            </w:pPr>
            <w:r w:rsidRPr="00252D7B">
              <w:rPr>
                <w:rFonts w:asciiTheme="minorHAnsi" w:hAnsiTheme="minorHAnsi" w:cstheme="minorHAnsi"/>
                <w:sz w:val="20"/>
                <w:szCs w:val="20"/>
              </w:rPr>
              <w:t>Custeio e investimento</w:t>
            </w:r>
          </w:p>
        </w:tc>
        <w:tc>
          <w:tcPr>
            <w:tcW w:w="119" w:type="pct"/>
            <w:tcBorders>
              <w:top w:val="nil"/>
              <w:left w:val="nil"/>
              <w:bottom w:val="nil"/>
              <w:right w:val="nil"/>
            </w:tcBorders>
            <w:shd w:val="clear" w:color="auto" w:fill="auto"/>
            <w:vAlign w:val="center"/>
            <w:hideMark/>
          </w:tcPr>
          <w:p w14:paraId="00DD3E31" w14:textId="77777777" w:rsidR="0013173C" w:rsidRPr="00252D7B" w:rsidRDefault="0013173C" w:rsidP="00F6584E">
            <w:pPr>
              <w:spacing w:after="120"/>
              <w:jc w:val="both"/>
              <w:rPr>
                <w:rFonts w:asciiTheme="minorHAnsi" w:hAnsiTheme="minorHAnsi" w:cstheme="minorHAnsi"/>
                <w:color w:val="000000"/>
                <w:sz w:val="20"/>
                <w:szCs w:val="20"/>
              </w:rPr>
            </w:pPr>
          </w:p>
        </w:tc>
        <w:tc>
          <w:tcPr>
            <w:tcW w:w="119" w:type="pct"/>
            <w:tcBorders>
              <w:top w:val="nil"/>
              <w:left w:val="nil"/>
              <w:bottom w:val="nil"/>
              <w:right w:val="nil"/>
            </w:tcBorders>
            <w:shd w:val="clear" w:color="auto" w:fill="auto"/>
            <w:vAlign w:val="center"/>
            <w:hideMark/>
          </w:tcPr>
          <w:p w14:paraId="42A79D44" w14:textId="77777777" w:rsidR="0013173C" w:rsidRPr="00252D7B" w:rsidRDefault="0013173C" w:rsidP="00F6584E">
            <w:pPr>
              <w:spacing w:after="120"/>
              <w:jc w:val="right"/>
              <w:rPr>
                <w:rFonts w:asciiTheme="minorHAnsi" w:hAnsiTheme="minorHAnsi" w:cstheme="minorHAnsi"/>
                <w:sz w:val="20"/>
                <w:szCs w:val="20"/>
              </w:rPr>
            </w:pPr>
          </w:p>
        </w:tc>
        <w:tc>
          <w:tcPr>
            <w:tcW w:w="119" w:type="pct"/>
            <w:tcBorders>
              <w:top w:val="nil"/>
              <w:left w:val="nil"/>
              <w:bottom w:val="nil"/>
              <w:right w:val="nil"/>
            </w:tcBorders>
            <w:shd w:val="clear" w:color="auto" w:fill="auto"/>
            <w:noWrap/>
            <w:vAlign w:val="center"/>
            <w:hideMark/>
          </w:tcPr>
          <w:p w14:paraId="33490DC6" w14:textId="77777777" w:rsidR="0013173C" w:rsidRPr="00252D7B" w:rsidRDefault="0013173C" w:rsidP="00F6584E">
            <w:pPr>
              <w:spacing w:after="120"/>
              <w:jc w:val="right"/>
              <w:rPr>
                <w:rFonts w:asciiTheme="minorHAnsi" w:hAnsiTheme="minorHAnsi" w:cstheme="minorHAnsi"/>
                <w:sz w:val="20"/>
                <w:szCs w:val="20"/>
              </w:rPr>
            </w:pPr>
          </w:p>
        </w:tc>
        <w:tc>
          <w:tcPr>
            <w:tcW w:w="119" w:type="pct"/>
            <w:tcBorders>
              <w:top w:val="nil"/>
              <w:left w:val="nil"/>
              <w:bottom w:val="nil"/>
              <w:right w:val="nil"/>
            </w:tcBorders>
            <w:shd w:val="clear" w:color="auto" w:fill="auto"/>
            <w:vAlign w:val="center"/>
            <w:hideMark/>
          </w:tcPr>
          <w:p w14:paraId="14A24298" w14:textId="77777777" w:rsidR="0013173C" w:rsidRPr="00252D7B" w:rsidRDefault="0013173C" w:rsidP="00F6584E">
            <w:pPr>
              <w:spacing w:after="120"/>
              <w:jc w:val="right"/>
              <w:rPr>
                <w:rFonts w:asciiTheme="minorHAnsi" w:hAnsiTheme="minorHAnsi" w:cstheme="minorHAnsi"/>
                <w:sz w:val="20"/>
                <w:szCs w:val="20"/>
              </w:rPr>
            </w:pPr>
          </w:p>
        </w:tc>
        <w:tc>
          <w:tcPr>
            <w:tcW w:w="622" w:type="pct"/>
            <w:tcBorders>
              <w:top w:val="nil"/>
              <w:left w:val="nil"/>
              <w:bottom w:val="nil"/>
              <w:right w:val="nil"/>
            </w:tcBorders>
            <w:shd w:val="clear" w:color="auto" w:fill="auto"/>
            <w:vAlign w:val="center"/>
            <w:hideMark/>
          </w:tcPr>
          <w:p w14:paraId="2FE176A5"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622" w:type="pct"/>
            <w:tcBorders>
              <w:top w:val="nil"/>
              <w:left w:val="nil"/>
              <w:bottom w:val="nil"/>
              <w:right w:val="nil"/>
            </w:tcBorders>
            <w:shd w:val="clear" w:color="auto" w:fill="auto"/>
            <w:vAlign w:val="center"/>
            <w:hideMark/>
          </w:tcPr>
          <w:p w14:paraId="77915EF8"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7.322.036</w:t>
            </w:r>
          </w:p>
        </w:tc>
      </w:tr>
      <w:tr w:rsidR="0013173C" w:rsidRPr="00252D7B" w14:paraId="26106F20" w14:textId="77777777" w:rsidTr="00F6584E">
        <w:trPr>
          <w:trHeight w:hRule="exact" w:val="227"/>
        </w:trPr>
        <w:tc>
          <w:tcPr>
            <w:tcW w:w="690" w:type="pct"/>
            <w:tcBorders>
              <w:top w:val="nil"/>
              <w:left w:val="nil"/>
              <w:bottom w:val="nil"/>
              <w:right w:val="nil"/>
            </w:tcBorders>
            <w:shd w:val="clear" w:color="000000" w:fill="FFFFFF"/>
            <w:noWrap/>
            <w:vAlign w:val="center"/>
            <w:hideMark/>
          </w:tcPr>
          <w:p w14:paraId="4535B86C" w14:textId="77777777" w:rsidR="0013173C" w:rsidRPr="00252D7B" w:rsidRDefault="0013173C" w:rsidP="00F6584E">
            <w:pPr>
              <w:spacing w:after="120"/>
              <w:jc w:val="center"/>
              <w:rPr>
                <w:rFonts w:asciiTheme="minorHAnsi" w:hAnsiTheme="minorHAnsi" w:cstheme="minorHAnsi"/>
                <w:color w:val="000000"/>
                <w:sz w:val="20"/>
                <w:szCs w:val="20"/>
              </w:rPr>
            </w:pPr>
            <w:r w:rsidRPr="00252D7B">
              <w:rPr>
                <w:rFonts w:asciiTheme="minorHAnsi" w:hAnsiTheme="minorHAnsi" w:cstheme="minorHAnsi"/>
                <w:sz w:val="20"/>
                <w:szCs w:val="20"/>
              </w:rPr>
              <w:t>510</w:t>
            </w:r>
          </w:p>
        </w:tc>
        <w:tc>
          <w:tcPr>
            <w:tcW w:w="2590" w:type="pct"/>
            <w:tcBorders>
              <w:top w:val="nil"/>
              <w:left w:val="nil"/>
              <w:bottom w:val="nil"/>
              <w:right w:val="nil"/>
            </w:tcBorders>
            <w:shd w:val="clear" w:color="000000" w:fill="FFFFFF"/>
            <w:noWrap/>
            <w:vAlign w:val="center"/>
            <w:hideMark/>
          </w:tcPr>
          <w:p w14:paraId="38F0F17C" w14:textId="77777777" w:rsidR="0013173C" w:rsidRPr="00252D7B" w:rsidRDefault="0013173C" w:rsidP="00F6584E">
            <w:pPr>
              <w:spacing w:after="120"/>
              <w:jc w:val="both"/>
              <w:rPr>
                <w:rFonts w:asciiTheme="minorHAnsi" w:hAnsiTheme="minorHAnsi" w:cstheme="minorHAnsi"/>
                <w:color w:val="000000"/>
                <w:sz w:val="20"/>
                <w:szCs w:val="20"/>
              </w:rPr>
            </w:pPr>
            <w:r w:rsidRPr="00252D7B">
              <w:rPr>
                <w:rFonts w:asciiTheme="minorHAnsi" w:hAnsiTheme="minorHAnsi" w:cstheme="minorHAnsi"/>
                <w:sz w:val="20"/>
                <w:szCs w:val="20"/>
              </w:rPr>
              <w:t xml:space="preserve">Custeio pgto. pessoal/auxílios        </w:t>
            </w:r>
          </w:p>
        </w:tc>
        <w:tc>
          <w:tcPr>
            <w:tcW w:w="119" w:type="pct"/>
            <w:tcBorders>
              <w:top w:val="nil"/>
              <w:left w:val="nil"/>
              <w:bottom w:val="nil"/>
              <w:right w:val="nil"/>
            </w:tcBorders>
            <w:shd w:val="clear" w:color="auto" w:fill="auto"/>
            <w:vAlign w:val="center"/>
            <w:hideMark/>
          </w:tcPr>
          <w:p w14:paraId="0E6CEB41" w14:textId="77777777" w:rsidR="0013173C" w:rsidRPr="00252D7B" w:rsidRDefault="0013173C" w:rsidP="00F6584E">
            <w:pPr>
              <w:spacing w:after="120"/>
              <w:jc w:val="both"/>
              <w:rPr>
                <w:rFonts w:asciiTheme="minorHAnsi" w:hAnsiTheme="minorHAnsi" w:cstheme="minorHAnsi"/>
                <w:color w:val="000000"/>
                <w:sz w:val="20"/>
                <w:szCs w:val="20"/>
              </w:rPr>
            </w:pPr>
          </w:p>
        </w:tc>
        <w:tc>
          <w:tcPr>
            <w:tcW w:w="119" w:type="pct"/>
            <w:tcBorders>
              <w:top w:val="nil"/>
              <w:left w:val="nil"/>
              <w:bottom w:val="nil"/>
              <w:right w:val="nil"/>
            </w:tcBorders>
            <w:shd w:val="clear" w:color="auto" w:fill="auto"/>
            <w:vAlign w:val="center"/>
            <w:hideMark/>
          </w:tcPr>
          <w:p w14:paraId="0389E1DA" w14:textId="77777777" w:rsidR="0013173C" w:rsidRPr="00252D7B" w:rsidRDefault="0013173C" w:rsidP="00F6584E">
            <w:pPr>
              <w:spacing w:after="120"/>
              <w:jc w:val="right"/>
              <w:rPr>
                <w:rFonts w:asciiTheme="minorHAnsi" w:hAnsiTheme="minorHAnsi" w:cstheme="minorHAnsi"/>
                <w:sz w:val="20"/>
                <w:szCs w:val="20"/>
              </w:rPr>
            </w:pPr>
          </w:p>
        </w:tc>
        <w:tc>
          <w:tcPr>
            <w:tcW w:w="119" w:type="pct"/>
            <w:tcBorders>
              <w:top w:val="nil"/>
              <w:left w:val="nil"/>
              <w:bottom w:val="nil"/>
              <w:right w:val="nil"/>
            </w:tcBorders>
            <w:shd w:val="clear" w:color="auto" w:fill="auto"/>
            <w:noWrap/>
            <w:vAlign w:val="center"/>
            <w:hideMark/>
          </w:tcPr>
          <w:p w14:paraId="5BAA1560" w14:textId="77777777" w:rsidR="0013173C" w:rsidRPr="00252D7B" w:rsidRDefault="0013173C" w:rsidP="00F6584E">
            <w:pPr>
              <w:spacing w:after="120"/>
              <w:jc w:val="right"/>
              <w:rPr>
                <w:rFonts w:asciiTheme="minorHAnsi" w:hAnsiTheme="minorHAnsi" w:cstheme="minorHAnsi"/>
                <w:sz w:val="20"/>
                <w:szCs w:val="20"/>
              </w:rPr>
            </w:pPr>
          </w:p>
        </w:tc>
        <w:tc>
          <w:tcPr>
            <w:tcW w:w="119" w:type="pct"/>
            <w:tcBorders>
              <w:top w:val="nil"/>
              <w:left w:val="nil"/>
              <w:bottom w:val="nil"/>
              <w:right w:val="nil"/>
            </w:tcBorders>
            <w:shd w:val="clear" w:color="auto" w:fill="auto"/>
            <w:vAlign w:val="center"/>
            <w:hideMark/>
          </w:tcPr>
          <w:p w14:paraId="2702F205" w14:textId="77777777" w:rsidR="0013173C" w:rsidRPr="00252D7B" w:rsidRDefault="0013173C" w:rsidP="00F6584E">
            <w:pPr>
              <w:spacing w:after="120"/>
              <w:jc w:val="right"/>
              <w:rPr>
                <w:rFonts w:asciiTheme="minorHAnsi" w:hAnsiTheme="minorHAnsi" w:cstheme="minorHAnsi"/>
                <w:sz w:val="20"/>
                <w:szCs w:val="20"/>
              </w:rPr>
            </w:pPr>
          </w:p>
        </w:tc>
        <w:tc>
          <w:tcPr>
            <w:tcW w:w="622" w:type="pct"/>
            <w:tcBorders>
              <w:top w:val="nil"/>
              <w:left w:val="nil"/>
              <w:bottom w:val="nil"/>
              <w:right w:val="nil"/>
            </w:tcBorders>
            <w:shd w:val="clear" w:color="auto" w:fill="auto"/>
            <w:vAlign w:val="center"/>
            <w:hideMark/>
          </w:tcPr>
          <w:p w14:paraId="370B841B"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307.565</w:t>
            </w:r>
          </w:p>
        </w:tc>
        <w:tc>
          <w:tcPr>
            <w:tcW w:w="622" w:type="pct"/>
            <w:tcBorders>
              <w:top w:val="nil"/>
              <w:left w:val="nil"/>
              <w:bottom w:val="nil"/>
              <w:right w:val="nil"/>
            </w:tcBorders>
            <w:shd w:val="clear" w:color="auto" w:fill="auto"/>
            <w:vAlign w:val="center"/>
            <w:hideMark/>
          </w:tcPr>
          <w:p w14:paraId="4FD7D4ED"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288.786</w:t>
            </w:r>
          </w:p>
        </w:tc>
      </w:tr>
      <w:tr w:rsidR="0013173C" w:rsidRPr="00252D7B" w14:paraId="3EB13A89" w14:textId="77777777" w:rsidTr="00F6584E">
        <w:trPr>
          <w:trHeight w:hRule="exact" w:val="227"/>
        </w:trPr>
        <w:tc>
          <w:tcPr>
            <w:tcW w:w="690" w:type="pct"/>
            <w:tcBorders>
              <w:top w:val="nil"/>
              <w:left w:val="nil"/>
              <w:bottom w:val="nil"/>
              <w:right w:val="nil"/>
            </w:tcBorders>
            <w:shd w:val="clear" w:color="000000" w:fill="FFFFFF"/>
            <w:noWrap/>
            <w:vAlign w:val="center"/>
            <w:hideMark/>
          </w:tcPr>
          <w:p w14:paraId="5F83EF19" w14:textId="77777777" w:rsidR="0013173C" w:rsidRPr="00252D7B" w:rsidRDefault="0013173C" w:rsidP="00F6584E">
            <w:pPr>
              <w:spacing w:after="120"/>
              <w:jc w:val="center"/>
              <w:rPr>
                <w:rFonts w:asciiTheme="minorHAnsi" w:hAnsiTheme="minorHAnsi" w:cstheme="minorHAnsi"/>
                <w:color w:val="000000"/>
                <w:sz w:val="20"/>
                <w:szCs w:val="20"/>
              </w:rPr>
            </w:pPr>
            <w:r w:rsidRPr="00252D7B">
              <w:rPr>
                <w:rFonts w:asciiTheme="minorHAnsi" w:hAnsiTheme="minorHAnsi" w:cstheme="minorHAnsi"/>
                <w:sz w:val="20"/>
                <w:szCs w:val="20"/>
              </w:rPr>
              <w:t>514</w:t>
            </w:r>
          </w:p>
        </w:tc>
        <w:tc>
          <w:tcPr>
            <w:tcW w:w="2590" w:type="pct"/>
            <w:tcBorders>
              <w:top w:val="nil"/>
              <w:left w:val="nil"/>
              <w:bottom w:val="nil"/>
              <w:right w:val="nil"/>
            </w:tcBorders>
            <w:shd w:val="clear" w:color="000000" w:fill="FFFFFF"/>
            <w:noWrap/>
            <w:vAlign w:val="center"/>
            <w:hideMark/>
          </w:tcPr>
          <w:p w14:paraId="63786F11" w14:textId="77777777" w:rsidR="0013173C" w:rsidRPr="00252D7B" w:rsidRDefault="0013173C" w:rsidP="00F6584E">
            <w:pPr>
              <w:spacing w:after="120"/>
              <w:jc w:val="both"/>
              <w:rPr>
                <w:rFonts w:asciiTheme="minorHAnsi" w:hAnsiTheme="minorHAnsi" w:cstheme="minorHAnsi"/>
                <w:color w:val="000000"/>
                <w:sz w:val="20"/>
                <w:szCs w:val="20"/>
              </w:rPr>
            </w:pPr>
            <w:r w:rsidRPr="00252D7B">
              <w:rPr>
                <w:rFonts w:asciiTheme="minorHAnsi" w:hAnsiTheme="minorHAnsi" w:cstheme="minorHAnsi"/>
                <w:sz w:val="20"/>
                <w:szCs w:val="20"/>
              </w:rPr>
              <w:t>Custeio Pagamento Pessoal/Auxílios- Resultado. Primário</w:t>
            </w:r>
          </w:p>
        </w:tc>
        <w:tc>
          <w:tcPr>
            <w:tcW w:w="119" w:type="pct"/>
            <w:tcBorders>
              <w:top w:val="nil"/>
              <w:left w:val="nil"/>
              <w:bottom w:val="nil"/>
              <w:right w:val="nil"/>
            </w:tcBorders>
            <w:shd w:val="clear" w:color="auto" w:fill="auto"/>
            <w:vAlign w:val="center"/>
            <w:hideMark/>
          </w:tcPr>
          <w:p w14:paraId="1E49C8FA" w14:textId="77777777" w:rsidR="0013173C" w:rsidRPr="00252D7B" w:rsidRDefault="0013173C" w:rsidP="00F6584E">
            <w:pPr>
              <w:spacing w:after="120"/>
              <w:jc w:val="both"/>
              <w:rPr>
                <w:rFonts w:asciiTheme="minorHAnsi" w:hAnsiTheme="minorHAnsi" w:cstheme="minorHAnsi"/>
                <w:color w:val="000000"/>
                <w:sz w:val="20"/>
                <w:szCs w:val="20"/>
              </w:rPr>
            </w:pPr>
          </w:p>
        </w:tc>
        <w:tc>
          <w:tcPr>
            <w:tcW w:w="119" w:type="pct"/>
            <w:tcBorders>
              <w:top w:val="nil"/>
              <w:left w:val="nil"/>
              <w:bottom w:val="nil"/>
              <w:right w:val="nil"/>
            </w:tcBorders>
            <w:shd w:val="clear" w:color="auto" w:fill="auto"/>
            <w:vAlign w:val="center"/>
            <w:hideMark/>
          </w:tcPr>
          <w:p w14:paraId="0FAFE495" w14:textId="77777777" w:rsidR="0013173C" w:rsidRPr="00252D7B" w:rsidRDefault="0013173C" w:rsidP="00F6584E">
            <w:pPr>
              <w:spacing w:after="120"/>
              <w:jc w:val="right"/>
              <w:rPr>
                <w:rFonts w:asciiTheme="minorHAnsi" w:hAnsiTheme="minorHAnsi" w:cstheme="minorHAnsi"/>
                <w:sz w:val="20"/>
                <w:szCs w:val="20"/>
              </w:rPr>
            </w:pPr>
          </w:p>
        </w:tc>
        <w:tc>
          <w:tcPr>
            <w:tcW w:w="119" w:type="pct"/>
            <w:tcBorders>
              <w:top w:val="nil"/>
              <w:left w:val="nil"/>
              <w:bottom w:val="nil"/>
              <w:right w:val="nil"/>
            </w:tcBorders>
            <w:shd w:val="clear" w:color="auto" w:fill="auto"/>
            <w:noWrap/>
            <w:vAlign w:val="center"/>
            <w:hideMark/>
          </w:tcPr>
          <w:p w14:paraId="69E0DFB9" w14:textId="77777777" w:rsidR="0013173C" w:rsidRPr="00252D7B" w:rsidRDefault="0013173C" w:rsidP="00F6584E">
            <w:pPr>
              <w:spacing w:after="120"/>
              <w:jc w:val="right"/>
              <w:rPr>
                <w:rFonts w:asciiTheme="minorHAnsi" w:hAnsiTheme="minorHAnsi" w:cstheme="minorHAnsi"/>
                <w:sz w:val="20"/>
                <w:szCs w:val="20"/>
              </w:rPr>
            </w:pPr>
          </w:p>
        </w:tc>
        <w:tc>
          <w:tcPr>
            <w:tcW w:w="119" w:type="pct"/>
            <w:tcBorders>
              <w:top w:val="nil"/>
              <w:left w:val="nil"/>
              <w:bottom w:val="nil"/>
              <w:right w:val="nil"/>
            </w:tcBorders>
            <w:shd w:val="clear" w:color="auto" w:fill="auto"/>
            <w:vAlign w:val="center"/>
            <w:hideMark/>
          </w:tcPr>
          <w:p w14:paraId="72F3B3DD" w14:textId="77777777" w:rsidR="0013173C" w:rsidRPr="00252D7B" w:rsidRDefault="0013173C" w:rsidP="00F6584E">
            <w:pPr>
              <w:spacing w:after="120"/>
              <w:jc w:val="right"/>
              <w:rPr>
                <w:rFonts w:asciiTheme="minorHAnsi" w:hAnsiTheme="minorHAnsi" w:cstheme="minorHAnsi"/>
                <w:sz w:val="20"/>
                <w:szCs w:val="20"/>
              </w:rPr>
            </w:pPr>
          </w:p>
        </w:tc>
        <w:tc>
          <w:tcPr>
            <w:tcW w:w="622" w:type="pct"/>
            <w:tcBorders>
              <w:top w:val="nil"/>
              <w:left w:val="nil"/>
              <w:bottom w:val="nil"/>
              <w:right w:val="nil"/>
            </w:tcBorders>
            <w:shd w:val="clear" w:color="auto" w:fill="auto"/>
            <w:vAlign w:val="center"/>
            <w:hideMark/>
          </w:tcPr>
          <w:p w14:paraId="0A482890"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38.802</w:t>
            </w:r>
          </w:p>
        </w:tc>
        <w:tc>
          <w:tcPr>
            <w:tcW w:w="622" w:type="pct"/>
            <w:tcBorders>
              <w:top w:val="nil"/>
              <w:left w:val="nil"/>
              <w:bottom w:val="nil"/>
              <w:right w:val="nil"/>
            </w:tcBorders>
            <w:shd w:val="clear" w:color="auto" w:fill="auto"/>
            <w:vAlign w:val="center"/>
            <w:hideMark/>
          </w:tcPr>
          <w:p w14:paraId="0D48D8C8"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43.687</w:t>
            </w:r>
          </w:p>
        </w:tc>
      </w:tr>
      <w:tr w:rsidR="0013173C" w:rsidRPr="00252D7B" w14:paraId="12BEFB6E" w14:textId="77777777" w:rsidTr="00F6584E">
        <w:trPr>
          <w:trHeight w:hRule="exact" w:val="227"/>
        </w:trPr>
        <w:tc>
          <w:tcPr>
            <w:tcW w:w="690" w:type="pct"/>
            <w:tcBorders>
              <w:top w:val="nil"/>
              <w:left w:val="nil"/>
              <w:bottom w:val="single" w:sz="8" w:space="0" w:color="auto"/>
              <w:right w:val="nil"/>
            </w:tcBorders>
            <w:shd w:val="clear" w:color="000000" w:fill="FFFFFF"/>
            <w:noWrap/>
            <w:vAlign w:val="center"/>
            <w:hideMark/>
          </w:tcPr>
          <w:p w14:paraId="301F775B" w14:textId="77777777" w:rsidR="0013173C" w:rsidRPr="00252D7B" w:rsidRDefault="0013173C" w:rsidP="00F6584E">
            <w:pPr>
              <w:spacing w:after="120"/>
              <w:rPr>
                <w:rFonts w:asciiTheme="minorHAnsi" w:hAnsiTheme="minorHAnsi" w:cstheme="minorHAnsi"/>
                <w:b/>
                <w:bCs/>
                <w:color w:val="000000"/>
                <w:sz w:val="20"/>
                <w:szCs w:val="20"/>
              </w:rPr>
            </w:pPr>
            <w:r w:rsidRPr="00252D7B">
              <w:rPr>
                <w:rFonts w:asciiTheme="minorHAnsi" w:hAnsiTheme="minorHAnsi" w:cstheme="minorHAnsi"/>
                <w:b/>
                <w:bCs/>
                <w:sz w:val="20"/>
                <w:szCs w:val="20"/>
              </w:rPr>
              <w:t xml:space="preserve">          TOTAL </w:t>
            </w:r>
          </w:p>
        </w:tc>
        <w:tc>
          <w:tcPr>
            <w:tcW w:w="2590" w:type="pct"/>
            <w:tcBorders>
              <w:top w:val="nil"/>
              <w:left w:val="nil"/>
              <w:bottom w:val="single" w:sz="8" w:space="0" w:color="auto"/>
              <w:right w:val="nil"/>
            </w:tcBorders>
            <w:shd w:val="clear" w:color="000000" w:fill="FFFFFF"/>
            <w:noWrap/>
            <w:vAlign w:val="bottom"/>
            <w:hideMark/>
          </w:tcPr>
          <w:p w14:paraId="4232B2E1"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 </w:t>
            </w:r>
          </w:p>
        </w:tc>
        <w:tc>
          <w:tcPr>
            <w:tcW w:w="119" w:type="pct"/>
            <w:tcBorders>
              <w:top w:val="nil"/>
              <w:left w:val="nil"/>
              <w:bottom w:val="single" w:sz="8" w:space="0" w:color="auto"/>
              <w:right w:val="nil"/>
            </w:tcBorders>
            <w:shd w:val="clear" w:color="000000" w:fill="FFFFFF"/>
            <w:vAlign w:val="center"/>
            <w:hideMark/>
          </w:tcPr>
          <w:p w14:paraId="2E052CE5"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w:t>
            </w:r>
          </w:p>
        </w:tc>
        <w:tc>
          <w:tcPr>
            <w:tcW w:w="119" w:type="pct"/>
            <w:tcBorders>
              <w:top w:val="nil"/>
              <w:left w:val="nil"/>
              <w:bottom w:val="single" w:sz="8" w:space="0" w:color="auto"/>
              <w:right w:val="nil"/>
            </w:tcBorders>
            <w:shd w:val="clear" w:color="000000" w:fill="FFFFFF"/>
            <w:vAlign w:val="center"/>
            <w:hideMark/>
          </w:tcPr>
          <w:p w14:paraId="179807CA"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w:t>
            </w:r>
          </w:p>
        </w:tc>
        <w:tc>
          <w:tcPr>
            <w:tcW w:w="119" w:type="pct"/>
            <w:tcBorders>
              <w:top w:val="nil"/>
              <w:left w:val="nil"/>
              <w:bottom w:val="single" w:sz="8" w:space="0" w:color="auto"/>
              <w:right w:val="nil"/>
            </w:tcBorders>
            <w:shd w:val="clear" w:color="000000" w:fill="FFFFFF"/>
            <w:noWrap/>
            <w:vAlign w:val="center"/>
            <w:hideMark/>
          </w:tcPr>
          <w:p w14:paraId="3E6F8582"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w:t>
            </w:r>
          </w:p>
        </w:tc>
        <w:tc>
          <w:tcPr>
            <w:tcW w:w="119" w:type="pct"/>
            <w:tcBorders>
              <w:top w:val="nil"/>
              <w:left w:val="nil"/>
              <w:bottom w:val="single" w:sz="8" w:space="0" w:color="auto"/>
              <w:right w:val="nil"/>
            </w:tcBorders>
            <w:shd w:val="clear" w:color="000000" w:fill="FFFFFF"/>
            <w:vAlign w:val="center"/>
            <w:hideMark/>
          </w:tcPr>
          <w:p w14:paraId="57619DBF"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w:t>
            </w:r>
          </w:p>
        </w:tc>
        <w:tc>
          <w:tcPr>
            <w:tcW w:w="622" w:type="pct"/>
            <w:tcBorders>
              <w:top w:val="nil"/>
              <w:left w:val="nil"/>
              <w:bottom w:val="single" w:sz="8" w:space="0" w:color="auto"/>
              <w:right w:val="nil"/>
            </w:tcBorders>
            <w:shd w:val="clear" w:color="000000" w:fill="FFFFFF"/>
            <w:vAlign w:val="center"/>
            <w:hideMark/>
          </w:tcPr>
          <w:p w14:paraId="56ED9A34"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sz w:val="20"/>
                <w:szCs w:val="20"/>
              </w:rPr>
              <w:t>56.732.574</w:t>
            </w:r>
          </w:p>
        </w:tc>
        <w:tc>
          <w:tcPr>
            <w:tcW w:w="622" w:type="pct"/>
            <w:tcBorders>
              <w:top w:val="nil"/>
              <w:left w:val="nil"/>
              <w:bottom w:val="single" w:sz="8" w:space="0" w:color="auto"/>
              <w:right w:val="nil"/>
            </w:tcBorders>
            <w:shd w:val="clear" w:color="000000" w:fill="FFFFFF"/>
            <w:vAlign w:val="center"/>
            <w:hideMark/>
          </w:tcPr>
          <w:p w14:paraId="7441935B"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sz w:val="20"/>
                <w:szCs w:val="20"/>
              </w:rPr>
              <w:t>32.350.978</w:t>
            </w:r>
          </w:p>
        </w:tc>
      </w:tr>
    </w:tbl>
    <w:p w14:paraId="43C057B1" w14:textId="77777777" w:rsidR="0013173C" w:rsidRPr="00252D7B" w:rsidRDefault="0013173C" w:rsidP="0013173C">
      <w:pPr>
        <w:spacing w:before="120" w:after="120"/>
        <w:rPr>
          <w:rFonts w:asciiTheme="minorHAnsi" w:hAnsiTheme="minorHAnsi" w:cstheme="minorHAnsi"/>
        </w:rPr>
      </w:pPr>
    </w:p>
    <w:p w14:paraId="44F10C00" w14:textId="77777777" w:rsidR="0013173C" w:rsidRPr="00252D7B" w:rsidRDefault="0013173C" w:rsidP="0081054B">
      <w:pPr>
        <w:pStyle w:val="Ttulo3"/>
        <w:spacing w:before="120" w:after="120"/>
        <w:rPr>
          <w:rFonts w:asciiTheme="minorHAnsi" w:hAnsiTheme="minorHAnsi" w:cstheme="minorHAnsi"/>
        </w:rPr>
      </w:pPr>
      <w:bookmarkStart w:id="606" w:name="_Toc95906835"/>
      <w:bookmarkStart w:id="607" w:name="_Toc97918825"/>
      <w:bookmarkStart w:id="608" w:name="_Toc103680627"/>
      <w:r w:rsidRPr="00252D7B">
        <w:rPr>
          <w:rFonts w:asciiTheme="minorHAnsi" w:hAnsiTheme="minorHAnsi" w:cstheme="minorHAnsi"/>
        </w:rPr>
        <w:t>Créditos de curto e longo prazo</w:t>
      </w:r>
      <w:bookmarkEnd w:id="600"/>
      <w:bookmarkEnd w:id="603"/>
      <w:bookmarkEnd w:id="606"/>
      <w:bookmarkEnd w:id="607"/>
      <w:bookmarkEnd w:id="608"/>
    </w:p>
    <w:p w14:paraId="6E6628A6" w14:textId="77777777" w:rsidR="0013173C" w:rsidRPr="00252D7B" w:rsidRDefault="0013173C" w:rsidP="0013173C">
      <w:pPr>
        <w:spacing w:before="120" w:after="120"/>
        <w:jc w:val="both"/>
        <w:rPr>
          <w:rFonts w:asciiTheme="minorHAnsi" w:hAnsiTheme="minorHAnsi" w:cstheme="minorHAnsi"/>
          <w:sz w:val="24"/>
          <w:szCs w:val="24"/>
        </w:rPr>
      </w:pPr>
      <w:bookmarkStart w:id="609" w:name="_Toc94012589"/>
      <w:bookmarkStart w:id="610" w:name="_Toc95830318"/>
      <w:r w:rsidRPr="00252D7B">
        <w:rPr>
          <w:rFonts w:asciiTheme="minorHAnsi" w:hAnsiTheme="minorHAnsi" w:cstheme="minorHAnsi"/>
          <w:sz w:val="24"/>
          <w:szCs w:val="24"/>
        </w:rPr>
        <w:t>Os créditos de curto e longo prazo com destaque no Balanço Patrimonial são: tributos a compensar; depósitos judiciais e permissões para uso de pátios a receber.</w:t>
      </w:r>
    </w:p>
    <w:p w14:paraId="60326189" w14:textId="77777777" w:rsidR="0013173C" w:rsidRPr="00252D7B" w:rsidRDefault="0013173C" w:rsidP="0013173C">
      <w:pPr>
        <w:spacing w:before="120" w:after="120"/>
        <w:rPr>
          <w:rFonts w:asciiTheme="minorHAnsi" w:hAnsiTheme="minorHAnsi" w:cstheme="minorHAnsi"/>
        </w:rPr>
      </w:pPr>
    </w:p>
    <w:p w14:paraId="07D4C114" w14:textId="77777777" w:rsidR="0013173C" w:rsidRPr="00BD243F" w:rsidRDefault="0013173C" w:rsidP="00BD243F">
      <w:pPr>
        <w:pStyle w:val="Ttulo4"/>
        <w:rPr>
          <w:rFonts w:asciiTheme="minorHAnsi" w:hAnsiTheme="minorHAnsi" w:cstheme="minorHAnsi"/>
        </w:rPr>
      </w:pPr>
      <w:bookmarkStart w:id="611" w:name="_Toc97918826"/>
      <w:bookmarkStart w:id="612" w:name="_Toc103680628"/>
      <w:r w:rsidRPr="00BD243F">
        <w:rPr>
          <w:rFonts w:asciiTheme="minorHAnsi" w:hAnsiTheme="minorHAnsi" w:cstheme="minorHAnsi"/>
        </w:rPr>
        <w:t>Tributos a compensar</w:t>
      </w:r>
      <w:bookmarkEnd w:id="611"/>
      <w:bookmarkEnd w:id="612"/>
    </w:p>
    <w:p w14:paraId="07FFDCDC" w14:textId="77777777" w:rsidR="0013173C" w:rsidRPr="00252D7B" w:rsidRDefault="0013173C" w:rsidP="0013173C">
      <w:pPr>
        <w:spacing w:before="120" w:after="120"/>
        <w:jc w:val="both"/>
        <w:rPr>
          <w:rFonts w:asciiTheme="minorHAnsi" w:hAnsiTheme="minorHAnsi" w:cstheme="minorHAnsi"/>
          <w:bCs/>
          <w:sz w:val="24"/>
          <w:szCs w:val="24"/>
        </w:rPr>
      </w:pPr>
      <w:r w:rsidRPr="00252D7B">
        <w:rPr>
          <w:rFonts w:asciiTheme="minorHAnsi" w:hAnsiTheme="minorHAnsi" w:cstheme="minorHAnsi"/>
          <w:bCs/>
          <w:sz w:val="24"/>
          <w:szCs w:val="24"/>
        </w:rPr>
        <w:t>O saldo de créditos tributários e previdenciários a compensar em 31 de dezembro de 2021 é de R$ 1,77 milhão, sendo R$ 1 milhão em créditos de PIS e COFINS e R$ 772 mil em créditos previdenciários.</w:t>
      </w:r>
    </w:p>
    <w:p w14:paraId="7DC8870F" w14:textId="77777777" w:rsidR="0013173C" w:rsidRPr="00252D7B" w:rsidRDefault="0013173C" w:rsidP="0013173C">
      <w:pPr>
        <w:spacing w:before="120" w:after="120"/>
        <w:jc w:val="both"/>
        <w:rPr>
          <w:rFonts w:asciiTheme="minorHAnsi" w:hAnsiTheme="minorHAnsi" w:cstheme="minorHAnsi"/>
          <w:b/>
          <w:sz w:val="24"/>
          <w:szCs w:val="24"/>
        </w:rPr>
      </w:pPr>
      <w:r w:rsidRPr="00252D7B">
        <w:rPr>
          <w:rFonts w:asciiTheme="minorHAnsi" w:hAnsiTheme="minorHAnsi" w:cstheme="minorHAnsi"/>
          <w:b/>
          <w:sz w:val="24"/>
          <w:szCs w:val="24"/>
        </w:rPr>
        <w:t>Tributos a Compensar – PIS e COFINS</w:t>
      </w:r>
    </w:p>
    <w:p w14:paraId="10F251EC" w14:textId="77777777" w:rsidR="0013173C" w:rsidRPr="00252D7B" w:rsidRDefault="0013173C" w:rsidP="0013173C">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De acordo com o art. 1º da Lei nº 10.637, de 30 de dezembro de 2002 e art. 1º da Lei nº 10.833, de 29 de dezembro de 2003, a base de cálculo da apuração do PIS e da COFINS pelo regime não-cumulativo é o total das receitas auferidas no mês, excluídas as situações previstas em lei. As referidas leis, em seu art. 3º, preveem a possibilidade de aproveitamento de créditos de PIS (1,65%) e COFINS (7,6%) sobre “aluguéis de prédios, máquinas e equipamentos e energia elétrica ou térmica”. Assim, a Valec encerrou o exercício de 2021 com saldo de crédito de PIS de R$ 179 mil e COFINS de R$ 821 mil a serem compensados em períodos posteriores (Tabela 56).</w:t>
      </w:r>
    </w:p>
    <w:p w14:paraId="3B3D8DCC" w14:textId="77777777" w:rsidR="0013173C" w:rsidRPr="00252D7B" w:rsidRDefault="0013173C" w:rsidP="0013173C">
      <w:pPr>
        <w:spacing w:before="120" w:after="120"/>
        <w:jc w:val="both"/>
        <w:rPr>
          <w:rFonts w:asciiTheme="minorHAnsi" w:hAnsiTheme="minorHAnsi" w:cstheme="minorHAnsi"/>
          <w:sz w:val="24"/>
          <w:szCs w:val="24"/>
        </w:rPr>
      </w:pPr>
    </w:p>
    <w:p w14:paraId="43759464" w14:textId="45719A05" w:rsidR="0013173C" w:rsidRPr="005059B1" w:rsidRDefault="0013173C" w:rsidP="005059B1">
      <w:pPr>
        <w:pStyle w:val="Legenda"/>
        <w:jc w:val="center"/>
        <w:rPr>
          <w:rFonts w:asciiTheme="minorHAnsi" w:hAnsiTheme="minorHAnsi" w:cstheme="minorHAnsi"/>
          <w:sz w:val="20"/>
          <w:szCs w:val="20"/>
        </w:rPr>
      </w:pPr>
      <w:bookmarkStart w:id="613" w:name="_Toc97918907"/>
      <w:bookmarkStart w:id="614" w:name="_Toc103680693"/>
      <w:r w:rsidRPr="00252D7B">
        <w:rPr>
          <w:rFonts w:asciiTheme="minorHAnsi" w:hAnsiTheme="minorHAnsi" w:cstheme="minorHAnsi"/>
          <w:sz w:val="20"/>
          <w:szCs w:val="20"/>
        </w:rPr>
        <w:t xml:space="preserve">Tabela </w:t>
      </w:r>
      <w:r w:rsidRPr="005059B1">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Tabela \* ARABIC </w:instrText>
      </w:r>
      <w:r w:rsidRPr="005059B1">
        <w:rPr>
          <w:rFonts w:asciiTheme="minorHAnsi" w:hAnsiTheme="minorHAnsi" w:cstheme="minorHAnsi"/>
          <w:sz w:val="20"/>
          <w:szCs w:val="20"/>
        </w:rPr>
        <w:fldChar w:fldCharType="separate"/>
      </w:r>
      <w:r w:rsidR="00C12888">
        <w:rPr>
          <w:rFonts w:asciiTheme="minorHAnsi" w:hAnsiTheme="minorHAnsi" w:cstheme="minorHAnsi"/>
          <w:noProof/>
          <w:sz w:val="20"/>
          <w:szCs w:val="20"/>
        </w:rPr>
        <w:t>31</w:t>
      </w:r>
      <w:r w:rsidRPr="005059B1">
        <w:rPr>
          <w:rFonts w:asciiTheme="minorHAnsi" w:hAnsiTheme="minorHAnsi" w:cstheme="minorHAnsi"/>
          <w:sz w:val="20"/>
          <w:szCs w:val="20"/>
        </w:rPr>
        <w:fldChar w:fldCharType="end"/>
      </w:r>
      <w:r w:rsidRPr="00252D7B">
        <w:rPr>
          <w:rFonts w:asciiTheme="minorHAnsi" w:hAnsiTheme="minorHAnsi" w:cstheme="minorHAnsi"/>
          <w:sz w:val="20"/>
          <w:szCs w:val="20"/>
        </w:rPr>
        <w:t xml:space="preserve"> –</w:t>
      </w:r>
      <w:r w:rsidR="00BF1A44">
        <w:rPr>
          <w:rFonts w:asciiTheme="minorHAnsi" w:hAnsiTheme="minorHAnsi" w:cstheme="minorHAnsi"/>
          <w:sz w:val="20"/>
          <w:szCs w:val="20"/>
        </w:rPr>
        <w:t xml:space="preserve"> </w:t>
      </w:r>
      <w:r w:rsidRPr="00252D7B">
        <w:rPr>
          <w:rFonts w:asciiTheme="minorHAnsi" w:hAnsiTheme="minorHAnsi" w:cstheme="minorHAnsi"/>
          <w:sz w:val="20"/>
          <w:szCs w:val="20"/>
        </w:rPr>
        <w:t>Tributos a compensar</w:t>
      </w:r>
      <w:bookmarkEnd w:id="613"/>
      <w:bookmarkEnd w:id="614"/>
    </w:p>
    <w:tbl>
      <w:tblPr>
        <w:tblW w:w="5000" w:type="pct"/>
        <w:tblCellMar>
          <w:left w:w="70" w:type="dxa"/>
          <w:right w:w="70" w:type="dxa"/>
        </w:tblCellMar>
        <w:tblLook w:val="04A0" w:firstRow="1" w:lastRow="0" w:firstColumn="1" w:lastColumn="0" w:noHBand="0" w:noVBand="1"/>
      </w:tblPr>
      <w:tblGrid>
        <w:gridCol w:w="2913"/>
        <w:gridCol w:w="1709"/>
        <w:gridCol w:w="1709"/>
        <w:gridCol w:w="1709"/>
        <w:gridCol w:w="1706"/>
      </w:tblGrid>
      <w:tr w:rsidR="0013173C" w:rsidRPr="00252D7B" w14:paraId="6DAAB1D7" w14:textId="77777777" w:rsidTr="00F6584E">
        <w:trPr>
          <w:trHeight w:hRule="exact" w:val="227"/>
        </w:trPr>
        <w:tc>
          <w:tcPr>
            <w:tcW w:w="1494" w:type="pct"/>
            <w:tcBorders>
              <w:top w:val="nil"/>
              <w:left w:val="nil"/>
              <w:bottom w:val="single" w:sz="8" w:space="0" w:color="auto"/>
              <w:right w:val="nil"/>
            </w:tcBorders>
            <w:shd w:val="clear" w:color="auto" w:fill="auto"/>
            <w:noWrap/>
            <w:vAlign w:val="center"/>
            <w:hideMark/>
          </w:tcPr>
          <w:p w14:paraId="10CA8C89" w14:textId="77777777" w:rsidR="0013173C" w:rsidRPr="00252D7B" w:rsidRDefault="0013173C" w:rsidP="00F6584E">
            <w:pPr>
              <w:spacing w:after="120"/>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TRIBUTOS A COMPENSAR</w:t>
            </w:r>
          </w:p>
        </w:tc>
        <w:tc>
          <w:tcPr>
            <w:tcW w:w="877" w:type="pct"/>
            <w:tcBorders>
              <w:top w:val="nil"/>
              <w:left w:val="nil"/>
              <w:bottom w:val="single" w:sz="8" w:space="0" w:color="auto"/>
              <w:right w:val="nil"/>
            </w:tcBorders>
            <w:shd w:val="clear" w:color="auto" w:fill="auto"/>
            <w:vAlign w:val="center"/>
            <w:hideMark/>
          </w:tcPr>
          <w:p w14:paraId="457E0CD5"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Saldo em 31/12/2020</w:t>
            </w:r>
          </w:p>
        </w:tc>
        <w:tc>
          <w:tcPr>
            <w:tcW w:w="877" w:type="pct"/>
            <w:tcBorders>
              <w:top w:val="nil"/>
              <w:left w:val="nil"/>
              <w:bottom w:val="single" w:sz="8" w:space="0" w:color="auto"/>
              <w:right w:val="nil"/>
            </w:tcBorders>
            <w:shd w:val="clear" w:color="auto" w:fill="auto"/>
            <w:vAlign w:val="center"/>
            <w:hideMark/>
          </w:tcPr>
          <w:p w14:paraId="0FBF0F8A"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Ingresso</w:t>
            </w:r>
          </w:p>
        </w:tc>
        <w:tc>
          <w:tcPr>
            <w:tcW w:w="877" w:type="pct"/>
            <w:tcBorders>
              <w:top w:val="nil"/>
              <w:left w:val="nil"/>
              <w:bottom w:val="single" w:sz="8" w:space="0" w:color="auto"/>
              <w:right w:val="nil"/>
            </w:tcBorders>
            <w:shd w:val="clear" w:color="auto" w:fill="auto"/>
            <w:vAlign w:val="center"/>
            <w:hideMark/>
          </w:tcPr>
          <w:p w14:paraId="2FC3D18A"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Baixa</w:t>
            </w:r>
          </w:p>
        </w:tc>
        <w:tc>
          <w:tcPr>
            <w:tcW w:w="877" w:type="pct"/>
            <w:tcBorders>
              <w:top w:val="nil"/>
              <w:left w:val="nil"/>
              <w:bottom w:val="single" w:sz="8" w:space="0" w:color="auto"/>
              <w:right w:val="nil"/>
            </w:tcBorders>
            <w:shd w:val="clear" w:color="auto" w:fill="auto"/>
            <w:vAlign w:val="center"/>
            <w:hideMark/>
          </w:tcPr>
          <w:p w14:paraId="064A5BA6"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Saldo em 31/12/2021</w:t>
            </w:r>
          </w:p>
        </w:tc>
      </w:tr>
      <w:tr w:rsidR="0013173C" w:rsidRPr="00252D7B" w14:paraId="21960424" w14:textId="77777777" w:rsidTr="00F6584E">
        <w:trPr>
          <w:trHeight w:hRule="exact" w:val="227"/>
        </w:trPr>
        <w:tc>
          <w:tcPr>
            <w:tcW w:w="1494" w:type="pct"/>
            <w:tcBorders>
              <w:top w:val="nil"/>
              <w:left w:val="nil"/>
              <w:bottom w:val="nil"/>
              <w:right w:val="nil"/>
            </w:tcBorders>
            <w:shd w:val="clear" w:color="auto" w:fill="auto"/>
            <w:noWrap/>
            <w:vAlign w:val="center"/>
            <w:hideMark/>
          </w:tcPr>
          <w:p w14:paraId="48756A55"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COFINS a Compensar</w:t>
            </w:r>
          </w:p>
        </w:tc>
        <w:tc>
          <w:tcPr>
            <w:tcW w:w="877" w:type="pct"/>
            <w:tcBorders>
              <w:top w:val="nil"/>
              <w:left w:val="nil"/>
              <w:bottom w:val="nil"/>
              <w:right w:val="nil"/>
            </w:tcBorders>
            <w:shd w:val="clear" w:color="auto" w:fill="auto"/>
            <w:noWrap/>
            <w:vAlign w:val="center"/>
            <w:hideMark/>
          </w:tcPr>
          <w:p w14:paraId="5B7D2800"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325.576</w:t>
            </w:r>
          </w:p>
        </w:tc>
        <w:tc>
          <w:tcPr>
            <w:tcW w:w="877" w:type="pct"/>
            <w:tcBorders>
              <w:top w:val="nil"/>
              <w:left w:val="nil"/>
              <w:bottom w:val="nil"/>
              <w:right w:val="nil"/>
            </w:tcBorders>
            <w:shd w:val="clear" w:color="auto" w:fill="auto"/>
            <w:vAlign w:val="center"/>
            <w:hideMark/>
          </w:tcPr>
          <w:p w14:paraId="6B748221"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634.279</w:t>
            </w:r>
          </w:p>
        </w:tc>
        <w:tc>
          <w:tcPr>
            <w:tcW w:w="877" w:type="pct"/>
            <w:tcBorders>
              <w:top w:val="nil"/>
              <w:left w:val="nil"/>
              <w:bottom w:val="nil"/>
              <w:right w:val="nil"/>
            </w:tcBorders>
            <w:shd w:val="clear" w:color="auto" w:fill="auto"/>
            <w:vAlign w:val="center"/>
            <w:hideMark/>
          </w:tcPr>
          <w:p w14:paraId="6FB12F09"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(137.890)</w:t>
            </w:r>
          </w:p>
        </w:tc>
        <w:tc>
          <w:tcPr>
            <w:tcW w:w="877" w:type="pct"/>
            <w:tcBorders>
              <w:top w:val="nil"/>
              <w:left w:val="nil"/>
              <w:bottom w:val="nil"/>
              <w:right w:val="nil"/>
            </w:tcBorders>
            <w:shd w:val="clear" w:color="auto" w:fill="auto"/>
            <w:vAlign w:val="center"/>
            <w:hideMark/>
          </w:tcPr>
          <w:p w14:paraId="7B6660A1"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821.965</w:t>
            </w:r>
          </w:p>
        </w:tc>
      </w:tr>
      <w:tr w:rsidR="0013173C" w:rsidRPr="00252D7B" w14:paraId="221EB38B" w14:textId="77777777" w:rsidTr="00F6584E">
        <w:trPr>
          <w:trHeight w:hRule="exact" w:val="227"/>
        </w:trPr>
        <w:tc>
          <w:tcPr>
            <w:tcW w:w="1494" w:type="pct"/>
            <w:tcBorders>
              <w:top w:val="nil"/>
              <w:left w:val="nil"/>
              <w:bottom w:val="nil"/>
              <w:right w:val="nil"/>
            </w:tcBorders>
            <w:shd w:val="clear" w:color="auto" w:fill="auto"/>
            <w:noWrap/>
            <w:vAlign w:val="center"/>
            <w:hideMark/>
          </w:tcPr>
          <w:p w14:paraId="1329921A"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PIS a Compensar</w:t>
            </w:r>
          </w:p>
        </w:tc>
        <w:tc>
          <w:tcPr>
            <w:tcW w:w="877" w:type="pct"/>
            <w:tcBorders>
              <w:top w:val="nil"/>
              <w:left w:val="nil"/>
              <w:bottom w:val="nil"/>
              <w:right w:val="nil"/>
            </w:tcBorders>
            <w:shd w:val="clear" w:color="auto" w:fill="auto"/>
            <w:noWrap/>
            <w:vAlign w:val="center"/>
            <w:hideMark/>
          </w:tcPr>
          <w:p w14:paraId="3CD6ABB0"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70.937</w:t>
            </w:r>
          </w:p>
        </w:tc>
        <w:tc>
          <w:tcPr>
            <w:tcW w:w="877" w:type="pct"/>
            <w:tcBorders>
              <w:top w:val="nil"/>
              <w:left w:val="nil"/>
              <w:bottom w:val="nil"/>
              <w:right w:val="nil"/>
            </w:tcBorders>
            <w:shd w:val="clear" w:color="auto" w:fill="auto"/>
            <w:vAlign w:val="center"/>
            <w:hideMark/>
          </w:tcPr>
          <w:p w14:paraId="12855A47"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137.705</w:t>
            </w:r>
          </w:p>
        </w:tc>
        <w:tc>
          <w:tcPr>
            <w:tcW w:w="877" w:type="pct"/>
            <w:tcBorders>
              <w:top w:val="nil"/>
              <w:left w:val="nil"/>
              <w:bottom w:val="nil"/>
              <w:right w:val="nil"/>
            </w:tcBorders>
            <w:shd w:val="clear" w:color="auto" w:fill="auto"/>
            <w:vAlign w:val="center"/>
            <w:hideMark/>
          </w:tcPr>
          <w:p w14:paraId="20E51961"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(29.098)</w:t>
            </w:r>
          </w:p>
        </w:tc>
        <w:tc>
          <w:tcPr>
            <w:tcW w:w="877" w:type="pct"/>
            <w:tcBorders>
              <w:top w:val="nil"/>
              <w:left w:val="nil"/>
              <w:bottom w:val="nil"/>
              <w:right w:val="nil"/>
            </w:tcBorders>
            <w:shd w:val="clear" w:color="auto" w:fill="auto"/>
            <w:vAlign w:val="center"/>
            <w:hideMark/>
          </w:tcPr>
          <w:p w14:paraId="100B71F0"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179.544</w:t>
            </w:r>
          </w:p>
        </w:tc>
      </w:tr>
      <w:tr w:rsidR="0013173C" w:rsidRPr="00252D7B" w14:paraId="5630393E" w14:textId="77777777" w:rsidTr="00F6584E">
        <w:trPr>
          <w:trHeight w:hRule="exact" w:val="227"/>
        </w:trPr>
        <w:tc>
          <w:tcPr>
            <w:tcW w:w="1494" w:type="pct"/>
            <w:tcBorders>
              <w:top w:val="nil"/>
              <w:left w:val="nil"/>
              <w:bottom w:val="nil"/>
              <w:right w:val="nil"/>
            </w:tcBorders>
            <w:shd w:val="clear" w:color="auto" w:fill="auto"/>
            <w:noWrap/>
            <w:vAlign w:val="center"/>
            <w:hideMark/>
          </w:tcPr>
          <w:p w14:paraId="0EDAAD8C"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IRRF a Compensar</w:t>
            </w:r>
          </w:p>
        </w:tc>
        <w:tc>
          <w:tcPr>
            <w:tcW w:w="877" w:type="pct"/>
            <w:tcBorders>
              <w:top w:val="nil"/>
              <w:left w:val="nil"/>
              <w:bottom w:val="nil"/>
              <w:right w:val="nil"/>
            </w:tcBorders>
            <w:shd w:val="clear" w:color="auto" w:fill="auto"/>
            <w:noWrap/>
            <w:vAlign w:val="center"/>
            <w:hideMark/>
          </w:tcPr>
          <w:p w14:paraId="7640835C"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134</w:t>
            </w:r>
          </w:p>
        </w:tc>
        <w:tc>
          <w:tcPr>
            <w:tcW w:w="877" w:type="pct"/>
            <w:tcBorders>
              <w:top w:val="nil"/>
              <w:left w:val="nil"/>
              <w:bottom w:val="nil"/>
              <w:right w:val="nil"/>
            </w:tcBorders>
            <w:shd w:val="clear" w:color="auto" w:fill="auto"/>
            <w:vAlign w:val="center"/>
            <w:hideMark/>
          </w:tcPr>
          <w:p w14:paraId="23FC66C5"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167</w:t>
            </w:r>
          </w:p>
        </w:tc>
        <w:tc>
          <w:tcPr>
            <w:tcW w:w="877" w:type="pct"/>
            <w:tcBorders>
              <w:top w:val="nil"/>
              <w:left w:val="nil"/>
              <w:bottom w:val="nil"/>
              <w:right w:val="nil"/>
            </w:tcBorders>
            <w:shd w:val="clear" w:color="auto" w:fill="auto"/>
            <w:vAlign w:val="center"/>
            <w:hideMark/>
          </w:tcPr>
          <w:p w14:paraId="24FF6145"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(301)</w:t>
            </w:r>
          </w:p>
        </w:tc>
        <w:tc>
          <w:tcPr>
            <w:tcW w:w="877" w:type="pct"/>
            <w:tcBorders>
              <w:top w:val="nil"/>
              <w:left w:val="nil"/>
              <w:bottom w:val="nil"/>
              <w:right w:val="nil"/>
            </w:tcBorders>
            <w:shd w:val="clear" w:color="auto" w:fill="auto"/>
            <w:vAlign w:val="center"/>
            <w:hideMark/>
          </w:tcPr>
          <w:p w14:paraId="74435567"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r>
      <w:tr w:rsidR="0013173C" w:rsidRPr="00252D7B" w14:paraId="35C32A7D" w14:textId="77777777" w:rsidTr="00F6584E">
        <w:trPr>
          <w:trHeight w:hRule="exact" w:val="227"/>
        </w:trPr>
        <w:tc>
          <w:tcPr>
            <w:tcW w:w="1494" w:type="pct"/>
            <w:tcBorders>
              <w:top w:val="single" w:sz="8" w:space="0" w:color="auto"/>
              <w:left w:val="nil"/>
              <w:bottom w:val="single" w:sz="8" w:space="0" w:color="auto"/>
              <w:right w:val="nil"/>
            </w:tcBorders>
            <w:shd w:val="clear" w:color="auto" w:fill="auto"/>
            <w:noWrap/>
            <w:vAlign w:val="center"/>
            <w:hideMark/>
          </w:tcPr>
          <w:p w14:paraId="1310DDDC" w14:textId="77777777" w:rsidR="0013173C" w:rsidRPr="00252D7B" w:rsidRDefault="0013173C" w:rsidP="00F6584E">
            <w:pPr>
              <w:spacing w:after="120"/>
              <w:jc w:val="center"/>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TOTAL</w:t>
            </w:r>
          </w:p>
        </w:tc>
        <w:tc>
          <w:tcPr>
            <w:tcW w:w="877" w:type="pct"/>
            <w:tcBorders>
              <w:top w:val="single" w:sz="8" w:space="0" w:color="auto"/>
              <w:left w:val="nil"/>
              <w:bottom w:val="single" w:sz="8" w:space="0" w:color="auto"/>
              <w:right w:val="nil"/>
            </w:tcBorders>
            <w:shd w:val="clear" w:color="auto" w:fill="auto"/>
            <w:noWrap/>
            <w:vAlign w:val="center"/>
            <w:hideMark/>
          </w:tcPr>
          <w:p w14:paraId="091C0EB3"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396.647</w:t>
            </w:r>
          </w:p>
        </w:tc>
        <w:tc>
          <w:tcPr>
            <w:tcW w:w="877" w:type="pct"/>
            <w:tcBorders>
              <w:top w:val="single" w:sz="8" w:space="0" w:color="auto"/>
              <w:left w:val="nil"/>
              <w:bottom w:val="single" w:sz="8" w:space="0" w:color="auto"/>
              <w:right w:val="nil"/>
            </w:tcBorders>
            <w:shd w:val="clear" w:color="auto" w:fill="auto"/>
            <w:vAlign w:val="center"/>
            <w:hideMark/>
          </w:tcPr>
          <w:p w14:paraId="146CB156"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772.151</w:t>
            </w:r>
          </w:p>
        </w:tc>
        <w:tc>
          <w:tcPr>
            <w:tcW w:w="877" w:type="pct"/>
            <w:tcBorders>
              <w:top w:val="single" w:sz="8" w:space="0" w:color="auto"/>
              <w:left w:val="nil"/>
              <w:bottom w:val="single" w:sz="8" w:space="0" w:color="auto"/>
              <w:right w:val="nil"/>
            </w:tcBorders>
            <w:shd w:val="clear" w:color="auto" w:fill="auto"/>
            <w:vAlign w:val="center"/>
            <w:hideMark/>
          </w:tcPr>
          <w:p w14:paraId="28DBEE96"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(167.289)</w:t>
            </w:r>
          </w:p>
        </w:tc>
        <w:tc>
          <w:tcPr>
            <w:tcW w:w="877" w:type="pct"/>
            <w:tcBorders>
              <w:top w:val="single" w:sz="8" w:space="0" w:color="auto"/>
              <w:left w:val="nil"/>
              <w:bottom w:val="single" w:sz="8" w:space="0" w:color="auto"/>
              <w:right w:val="nil"/>
            </w:tcBorders>
            <w:shd w:val="clear" w:color="auto" w:fill="auto"/>
            <w:vAlign w:val="center"/>
            <w:hideMark/>
          </w:tcPr>
          <w:p w14:paraId="185CA8C4"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1.001.509</w:t>
            </w:r>
          </w:p>
        </w:tc>
      </w:tr>
    </w:tbl>
    <w:p w14:paraId="1B41DB99" w14:textId="77777777" w:rsidR="0013173C" w:rsidRPr="00252D7B" w:rsidRDefault="0013173C" w:rsidP="0013173C">
      <w:pPr>
        <w:spacing w:before="120" w:after="120"/>
        <w:jc w:val="both"/>
        <w:rPr>
          <w:rFonts w:asciiTheme="minorHAnsi" w:hAnsiTheme="minorHAnsi" w:cstheme="minorHAnsi"/>
          <w:b/>
        </w:rPr>
      </w:pPr>
    </w:p>
    <w:p w14:paraId="48923C6C" w14:textId="77777777" w:rsidR="0013173C" w:rsidRPr="00252D7B" w:rsidRDefault="0013173C" w:rsidP="0013173C">
      <w:pPr>
        <w:spacing w:before="120" w:after="120"/>
        <w:jc w:val="both"/>
        <w:rPr>
          <w:rFonts w:asciiTheme="minorHAnsi" w:hAnsiTheme="minorHAnsi" w:cstheme="minorHAnsi"/>
          <w:b/>
          <w:sz w:val="24"/>
          <w:szCs w:val="24"/>
        </w:rPr>
      </w:pPr>
      <w:r w:rsidRPr="00252D7B">
        <w:rPr>
          <w:rFonts w:asciiTheme="minorHAnsi" w:hAnsiTheme="minorHAnsi" w:cstheme="minorHAnsi"/>
          <w:b/>
          <w:sz w:val="24"/>
          <w:szCs w:val="24"/>
        </w:rPr>
        <w:t>Crédito Previdenciário a Compensar</w:t>
      </w:r>
    </w:p>
    <w:p w14:paraId="2D24CBC9" w14:textId="77777777" w:rsidR="0013173C" w:rsidRPr="00252D7B" w:rsidRDefault="0013173C" w:rsidP="0013173C">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Os seguintes fatos e princípios foram determinantes como justificativa para apuração de créditos previdenciários: Índices FAP declarados em divergência ao que determina o Portal FAPWeb; Atividades preponderantes declaradas em discordância com a real atividade exercida pelos funcionários de cada filial, conforme determina a Instrução Normativa 1.453, de 24 de fevereiro de 2014, e COSIT, de 14 de junho de 2016; Alíquota RAT declaradas em discordância com o determinado pelo Decreto 6.957, de 09 de setembro de 2009; Ausência de lançamento de desoneração em folha durante o período em que a mesma era obrigatória para o setor econômico da Valec, conforme Lei nº 12.546, de 14 de dezembro de 2011, e posteriores alterações; e Ausência de pagamento de DARF </w:t>
      </w:r>
      <w:r w:rsidRPr="00252D7B">
        <w:rPr>
          <w:rFonts w:asciiTheme="minorHAnsi" w:hAnsiTheme="minorHAnsi" w:cstheme="minorHAnsi"/>
          <w:sz w:val="24"/>
          <w:szCs w:val="24"/>
        </w:rPr>
        <w:lastRenderedPageBreak/>
        <w:t xml:space="preserve">CPRB no período em que a mesma era obrigatória para o setor econômico da Valec, conforme Lei nº 12.546, de 14 de dezembro de 2011, e posteriores alterações. </w:t>
      </w:r>
    </w:p>
    <w:p w14:paraId="77AA9B9C" w14:textId="77777777" w:rsidR="0013173C" w:rsidRPr="00252D7B" w:rsidRDefault="0013173C" w:rsidP="0013173C">
      <w:pPr>
        <w:spacing w:before="120" w:after="120"/>
        <w:jc w:val="both"/>
        <w:rPr>
          <w:rFonts w:asciiTheme="minorHAnsi" w:hAnsiTheme="minorHAnsi" w:cstheme="minorHAnsi"/>
          <w:b/>
          <w:sz w:val="24"/>
          <w:szCs w:val="24"/>
        </w:rPr>
      </w:pPr>
    </w:p>
    <w:p w14:paraId="67209559" w14:textId="475807B5" w:rsidR="0013173C" w:rsidRPr="005059B1" w:rsidRDefault="0013173C" w:rsidP="005059B1">
      <w:pPr>
        <w:pStyle w:val="Legenda"/>
        <w:jc w:val="center"/>
        <w:rPr>
          <w:rFonts w:asciiTheme="minorHAnsi" w:hAnsiTheme="minorHAnsi" w:cstheme="minorHAnsi"/>
          <w:sz w:val="20"/>
          <w:szCs w:val="20"/>
        </w:rPr>
      </w:pPr>
      <w:bookmarkStart w:id="615" w:name="_Toc97918908"/>
      <w:bookmarkStart w:id="616" w:name="_Toc103680694"/>
      <w:r w:rsidRPr="00252D7B">
        <w:rPr>
          <w:rFonts w:asciiTheme="minorHAnsi" w:hAnsiTheme="minorHAnsi" w:cstheme="minorHAnsi"/>
          <w:sz w:val="20"/>
          <w:szCs w:val="20"/>
        </w:rPr>
        <w:t xml:space="preserve">Tabela </w:t>
      </w:r>
      <w:r w:rsidRPr="005059B1">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Tabela \* ARABIC </w:instrText>
      </w:r>
      <w:r w:rsidRPr="005059B1">
        <w:rPr>
          <w:rFonts w:asciiTheme="minorHAnsi" w:hAnsiTheme="minorHAnsi" w:cstheme="minorHAnsi"/>
          <w:sz w:val="20"/>
          <w:szCs w:val="20"/>
        </w:rPr>
        <w:fldChar w:fldCharType="separate"/>
      </w:r>
      <w:r w:rsidR="00C12888">
        <w:rPr>
          <w:rFonts w:asciiTheme="minorHAnsi" w:hAnsiTheme="minorHAnsi" w:cstheme="minorHAnsi"/>
          <w:noProof/>
          <w:sz w:val="20"/>
          <w:szCs w:val="20"/>
        </w:rPr>
        <w:t>32</w:t>
      </w:r>
      <w:r w:rsidRPr="005059B1">
        <w:rPr>
          <w:rFonts w:asciiTheme="minorHAnsi" w:hAnsiTheme="minorHAnsi" w:cstheme="minorHAnsi"/>
          <w:sz w:val="20"/>
          <w:szCs w:val="20"/>
        </w:rPr>
        <w:fldChar w:fldCharType="end"/>
      </w:r>
      <w:r w:rsidRPr="00252D7B">
        <w:rPr>
          <w:rFonts w:asciiTheme="minorHAnsi" w:hAnsiTheme="minorHAnsi" w:cstheme="minorHAnsi"/>
          <w:sz w:val="20"/>
          <w:szCs w:val="20"/>
        </w:rPr>
        <w:t xml:space="preserve"> –</w:t>
      </w:r>
      <w:r w:rsidR="005059B1">
        <w:rPr>
          <w:rFonts w:asciiTheme="minorHAnsi" w:hAnsiTheme="minorHAnsi" w:cstheme="minorHAnsi"/>
          <w:sz w:val="20"/>
          <w:szCs w:val="20"/>
        </w:rPr>
        <w:t xml:space="preserve"> </w:t>
      </w:r>
      <w:r w:rsidRPr="00252D7B">
        <w:rPr>
          <w:rFonts w:asciiTheme="minorHAnsi" w:hAnsiTheme="minorHAnsi" w:cstheme="minorHAnsi"/>
          <w:sz w:val="20"/>
          <w:szCs w:val="20"/>
        </w:rPr>
        <w:t>Crédito previdenciário a compensar</w:t>
      </w:r>
      <w:bookmarkEnd w:id="615"/>
      <w:bookmarkEnd w:id="616"/>
    </w:p>
    <w:tbl>
      <w:tblPr>
        <w:tblW w:w="5000" w:type="pct"/>
        <w:tblCellMar>
          <w:left w:w="70" w:type="dxa"/>
          <w:right w:w="70" w:type="dxa"/>
        </w:tblCellMar>
        <w:tblLook w:val="04A0" w:firstRow="1" w:lastRow="0" w:firstColumn="1" w:lastColumn="0" w:noHBand="0" w:noVBand="1"/>
      </w:tblPr>
      <w:tblGrid>
        <w:gridCol w:w="6536"/>
        <w:gridCol w:w="146"/>
        <w:gridCol w:w="146"/>
        <w:gridCol w:w="965"/>
        <w:gridCol w:w="1807"/>
        <w:gridCol w:w="146"/>
      </w:tblGrid>
      <w:tr w:rsidR="0013173C" w:rsidRPr="00252D7B" w14:paraId="654C5C28" w14:textId="77777777" w:rsidTr="00F6584E">
        <w:trPr>
          <w:trHeight w:val="255"/>
        </w:trPr>
        <w:tc>
          <w:tcPr>
            <w:tcW w:w="2613" w:type="pct"/>
            <w:tcBorders>
              <w:top w:val="nil"/>
              <w:left w:val="nil"/>
              <w:bottom w:val="single" w:sz="4" w:space="0" w:color="auto"/>
              <w:right w:val="nil"/>
            </w:tcBorders>
            <w:shd w:val="clear" w:color="auto" w:fill="auto"/>
            <w:noWrap/>
            <w:vAlign w:val="bottom"/>
            <w:hideMark/>
          </w:tcPr>
          <w:p w14:paraId="680E63E7" w14:textId="77777777" w:rsidR="0013173C" w:rsidRPr="00252D7B" w:rsidRDefault="0013173C" w:rsidP="00F6584E">
            <w:pPr>
              <w:spacing w:after="120"/>
              <w:rPr>
                <w:rFonts w:asciiTheme="minorHAnsi" w:hAnsiTheme="minorHAnsi" w:cstheme="minorHAnsi"/>
                <w:b/>
                <w:bCs/>
                <w:sz w:val="20"/>
                <w:szCs w:val="20"/>
              </w:rPr>
            </w:pPr>
            <w:r w:rsidRPr="00252D7B">
              <w:rPr>
                <w:rFonts w:asciiTheme="minorHAnsi" w:hAnsiTheme="minorHAnsi" w:cstheme="minorHAnsi"/>
                <w:b/>
                <w:bCs/>
                <w:sz w:val="20"/>
                <w:szCs w:val="20"/>
              </w:rPr>
              <w:t>CRÉDITO PREVIDENCIÁRIO</w:t>
            </w:r>
          </w:p>
        </w:tc>
        <w:tc>
          <w:tcPr>
            <w:tcW w:w="339" w:type="pct"/>
            <w:tcBorders>
              <w:top w:val="nil"/>
              <w:left w:val="nil"/>
              <w:bottom w:val="single" w:sz="4" w:space="0" w:color="auto"/>
              <w:right w:val="nil"/>
            </w:tcBorders>
            <w:shd w:val="clear" w:color="auto" w:fill="auto"/>
            <w:noWrap/>
            <w:vAlign w:val="bottom"/>
            <w:hideMark/>
          </w:tcPr>
          <w:p w14:paraId="0B1B7654" w14:textId="77777777" w:rsidR="0013173C" w:rsidRPr="00252D7B" w:rsidRDefault="0013173C" w:rsidP="00F6584E">
            <w:pPr>
              <w:spacing w:after="120"/>
              <w:jc w:val="center"/>
              <w:rPr>
                <w:rFonts w:asciiTheme="minorHAnsi" w:hAnsiTheme="minorHAnsi" w:cstheme="minorHAnsi"/>
                <w:b/>
                <w:bCs/>
                <w:sz w:val="20"/>
                <w:szCs w:val="20"/>
              </w:rPr>
            </w:pPr>
          </w:p>
        </w:tc>
        <w:tc>
          <w:tcPr>
            <w:tcW w:w="135" w:type="pct"/>
            <w:tcBorders>
              <w:top w:val="nil"/>
              <w:left w:val="nil"/>
              <w:bottom w:val="single" w:sz="4" w:space="0" w:color="auto"/>
              <w:right w:val="nil"/>
            </w:tcBorders>
            <w:shd w:val="clear" w:color="auto" w:fill="auto"/>
            <w:noWrap/>
            <w:vAlign w:val="bottom"/>
            <w:hideMark/>
          </w:tcPr>
          <w:p w14:paraId="37972D16" w14:textId="77777777" w:rsidR="0013173C" w:rsidRPr="00252D7B" w:rsidRDefault="0013173C" w:rsidP="00F6584E">
            <w:pPr>
              <w:spacing w:after="120"/>
              <w:jc w:val="center"/>
              <w:rPr>
                <w:rFonts w:asciiTheme="minorHAnsi" w:hAnsiTheme="minorHAnsi" w:cstheme="minorHAnsi"/>
                <w:b/>
                <w:bCs/>
                <w:sz w:val="20"/>
                <w:szCs w:val="20"/>
              </w:rPr>
            </w:pPr>
          </w:p>
        </w:tc>
        <w:tc>
          <w:tcPr>
            <w:tcW w:w="876" w:type="pct"/>
            <w:tcBorders>
              <w:top w:val="nil"/>
              <w:left w:val="nil"/>
              <w:bottom w:val="single" w:sz="4" w:space="0" w:color="auto"/>
              <w:right w:val="nil"/>
            </w:tcBorders>
          </w:tcPr>
          <w:p w14:paraId="3DA98427" w14:textId="77777777" w:rsidR="0013173C" w:rsidRPr="00252D7B" w:rsidRDefault="0013173C" w:rsidP="00F6584E">
            <w:pPr>
              <w:spacing w:after="120"/>
              <w:jc w:val="right"/>
              <w:rPr>
                <w:rFonts w:asciiTheme="minorHAnsi" w:hAnsiTheme="minorHAnsi" w:cstheme="minorHAnsi"/>
                <w:b/>
                <w:bCs/>
                <w:sz w:val="20"/>
                <w:szCs w:val="20"/>
              </w:rPr>
            </w:pPr>
          </w:p>
        </w:tc>
        <w:tc>
          <w:tcPr>
            <w:tcW w:w="951" w:type="pct"/>
            <w:tcBorders>
              <w:top w:val="nil"/>
              <w:left w:val="nil"/>
              <w:bottom w:val="single" w:sz="4" w:space="0" w:color="auto"/>
              <w:right w:val="nil"/>
            </w:tcBorders>
            <w:shd w:val="clear" w:color="auto" w:fill="auto"/>
            <w:noWrap/>
            <w:vAlign w:val="bottom"/>
          </w:tcPr>
          <w:p w14:paraId="2B3F99DF" w14:textId="77777777" w:rsidR="0013173C" w:rsidRPr="00252D7B" w:rsidRDefault="0013173C" w:rsidP="00F6584E">
            <w:pPr>
              <w:spacing w:after="120"/>
              <w:jc w:val="right"/>
              <w:rPr>
                <w:rFonts w:asciiTheme="minorHAnsi" w:hAnsiTheme="minorHAnsi" w:cstheme="minorHAnsi"/>
                <w:b/>
                <w:bCs/>
                <w:sz w:val="20"/>
                <w:szCs w:val="20"/>
              </w:rPr>
            </w:pPr>
          </w:p>
        </w:tc>
        <w:tc>
          <w:tcPr>
            <w:tcW w:w="85" w:type="pct"/>
            <w:tcBorders>
              <w:top w:val="nil"/>
              <w:left w:val="nil"/>
              <w:bottom w:val="single" w:sz="4" w:space="0" w:color="auto"/>
              <w:right w:val="nil"/>
            </w:tcBorders>
            <w:shd w:val="clear" w:color="auto" w:fill="auto"/>
            <w:noWrap/>
            <w:vAlign w:val="bottom"/>
            <w:hideMark/>
          </w:tcPr>
          <w:p w14:paraId="41FEC159" w14:textId="77777777" w:rsidR="0013173C" w:rsidRPr="00252D7B" w:rsidRDefault="0013173C" w:rsidP="00F6584E">
            <w:pPr>
              <w:spacing w:after="120"/>
              <w:jc w:val="center"/>
              <w:rPr>
                <w:rFonts w:asciiTheme="minorHAnsi" w:hAnsiTheme="minorHAnsi" w:cstheme="minorHAnsi"/>
                <w:b/>
                <w:bCs/>
                <w:sz w:val="16"/>
                <w:szCs w:val="16"/>
              </w:rPr>
            </w:pPr>
          </w:p>
        </w:tc>
      </w:tr>
      <w:tr w:rsidR="0013173C" w:rsidRPr="00252D7B" w14:paraId="7B422EA2" w14:textId="77777777" w:rsidTr="00F6584E">
        <w:trPr>
          <w:trHeight w:val="317"/>
        </w:trPr>
        <w:tc>
          <w:tcPr>
            <w:tcW w:w="2613" w:type="pct"/>
            <w:tcBorders>
              <w:top w:val="nil"/>
              <w:left w:val="nil"/>
              <w:right w:val="nil"/>
            </w:tcBorders>
            <w:shd w:val="clear" w:color="auto" w:fill="auto"/>
            <w:noWrap/>
            <w:vAlign w:val="bottom"/>
            <w:hideMark/>
          </w:tcPr>
          <w:p w14:paraId="3D7848CB" w14:textId="77777777" w:rsidR="0013173C" w:rsidRPr="00252D7B" w:rsidRDefault="0013173C" w:rsidP="00F6584E">
            <w:pPr>
              <w:spacing w:after="120"/>
              <w:jc w:val="both"/>
              <w:rPr>
                <w:rFonts w:asciiTheme="minorHAnsi" w:hAnsiTheme="minorHAnsi" w:cstheme="minorHAnsi"/>
                <w:sz w:val="20"/>
                <w:szCs w:val="20"/>
              </w:rPr>
            </w:pPr>
            <w:r w:rsidRPr="00252D7B">
              <w:rPr>
                <w:rFonts w:asciiTheme="minorHAnsi" w:hAnsiTheme="minorHAnsi" w:cstheme="minorHAnsi"/>
                <w:sz w:val="20"/>
                <w:szCs w:val="20"/>
              </w:rPr>
              <w:t>Crédito Previdenciário</w:t>
            </w:r>
          </w:p>
        </w:tc>
        <w:tc>
          <w:tcPr>
            <w:tcW w:w="339" w:type="pct"/>
            <w:tcBorders>
              <w:top w:val="nil"/>
              <w:left w:val="nil"/>
              <w:right w:val="nil"/>
            </w:tcBorders>
            <w:shd w:val="clear" w:color="auto" w:fill="auto"/>
            <w:noWrap/>
            <w:vAlign w:val="bottom"/>
            <w:hideMark/>
          </w:tcPr>
          <w:p w14:paraId="4A8D5A8E" w14:textId="77777777" w:rsidR="0013173C" w:rsidRPr="00252D7B" w:rsidRDefault="0013173C" w:rsidP="00F6584E">
            <w:pPr>
              <w:spacing w:after="120"/>
              <w:rPr>
                <w:rFonts w:asciiTheme="minorHAnsi" w:hAnsiTheme="minorHAnsi" w:cstheme="minorHAnsi"/>
                <w:sz w:val="20"/>
                <w:szCs w:val="20"/>
              </w:rPr>
            </w:pPr>
          </w:p>
        </w:tc>
        <w:tc>
          <w:tcPr>
            <w:tcW w:w="135" w:type="pct"/>
            <w:tcBorders>
              <w:top w:val="nil"/>
              <w:left w:val="nil"/>
              <w:right w:val="nil"/>
            </w:tcBorders>
            <w:shd w:val="clear" w:color="auto" w:fill="auto"/>
            <w:noWrap/>
            <w:vAlign w:val="bottom"/>
            <w:hideMark/>
          </w:tcPr>
          <w:p w14:paraId="2BD7C604" w14:textId="77777777" w:rsidR="0013173C" w:rsidRPr="00252D7B" w:rsidRDefault="0013173C" w:rsidP="00F6584E">
            <w:pPr>
              <w:spacing w:after="120"/>
              <w:rPr>
                <w:rFonts w:asciiTheme="minorHAnsi" w:hAnsiTheme="minorHAnsi" w:cstheme="minorHAnsi"/>
                <w:b/>
                <w:bCs/>
                <w:sz w:val="20"/>
                <w:szCs w:val="20"/>
              </w:rPr>
            </w:pPr>
          </w:p>
        </w:tc>
        <w:tc>
          <w:tcPr>
            <w:tcW w:w="876" w:type="pct"/>
            <w:tcBorders>
              <w:top w:val="nil"/>
              <w:left w:val="nil"/>
              <w:right w:val="nil"/>
            </w:tcBorders>
          </w:tcPr>
          <w:p w14:paraId="0FD4456C" w14:textId="77777777" w:rsidR="0013173C" w:rsidRPr="00252D7B" w:rsidRDefault="0013173C" w:rsidP="00F6584E">
            <w:pPr>
              <w:spacing w:after="120"/>
              <w:jc w:val="right"/>
              <w:rPr>
                <w:rFonts w:asciiTheme="minorHAnsi" w:hAnsiTheme="minorHAnsi" w:cstheme="minorHAnsi"/>
                <w:sz w:val="20"/>
                <w:szCs w:val="20"/>
              </w:rPr>
            </w:pPr>
          </w:p>
        </w:tc>
        <w:tc>
          <w:tcPr>
            <w:tcW w:w="951" w:type="pct"/>
            <w:tcBorders>
              <w:top w:val="nil"/>
              <w:left w:val="nil"/>
              <w:right w:val="nil"/>
            </w:tcBorders>
            <w:shd w:val="clear" w:color="auto" w:fill="auto"/>
            <w:noWrap/>
            <w:hideMark/>
          </w:tcPr>
          <w:p w14:paraId="5D77FC07" w14:textId="77777777" w:rsidR="0013173C" w:rsidRPr="00252D7B" w:rsidRDefault="0013173C" w:rsidP="00F6584E">
            <w:pPr>
              <w:spacing w:after="120"/>
              <w:jc w:val="right"/>
              <w:rPr>
                <w:rFonts w:asciiTheme="minorHAnsi" w:hAnsiTheme="minorHAnsi" w:cstheme="minorHAnsi"/>
                <w:sz w:val="20"/>
                <w:szCs w:val="20"/>
              </w:rPr>
            </w:pPr>
            <w:r w:rsidRPr="00252D7B">
              <w:rPr>
                <w:rFonts w:asciiTheme="minorHAnsi" w:hAnsiTheme="minorHAnsi" w:cstheme="minorHAnsi"/>
                <w:sz w:val="20"/>
                <w:szCs w:val="20"/>
              </w:rPr>
              <w:t xml:space="preserve">        54.285.136 </w:t>
            </w:r>
          </w:p>
        </w:tc>
        <w:tc>
          <w:tcPr>
            <w:tcW w:w="85" w:type="pct"/>
            <w:tcBorders>
              <w:top w:val="nil"/>
              <w:left w:val="nil"/>
              <w:right w:val="nil"/>
            </w:tcBorders>
            <w:shd w:val="clear" w:color="auto" w:fill="auto"/>
            <w:noWrap/>
            <w:vAlign w:val="bottom"/>
            <w:hideMark/>
          </w:tcPr>
          <w:p w14:paraId="5F0C706F" w14:textId="77777777" w:rsidR="0013173C" w:rsidRPr="00252D7B" w:rsidRDefault="0013173C" w:rsidP="00F6584E">
            <w:pPr>
              <w:spacing w:after="120"/>
              <w:rPr>
                <w:rFonts w:asciiTheme="minorHAnsi" w:hAnsiTheme="minorHAnsi" w:cstheme="minorHAnsi"/>
                <w:sz w:val="16"/>
                <w:szCs w:val="16"/>
              </w:rPr>
            </w:pPr>
          </w:p>
        </w:tc>
      </w:tr>
      <w:tr w:rsidR="0013173C" w:rsidRPr="00252D7B" w14:paraId="2D02F0A1" w14:textId="77777777" w:rsidTr="00F6584E">
        <w:trPr>
          <w:trHeight w:val="255"/>
        </w:trPr>
        <w:tc>
          <w:tcPr>
            <w:tcW w:w="2613" w:type="pct"/>
            <w:tcBorders>
              <w:top w:val="nil"/>
              <w:left w:val="nil"/>
              <w:right w:val="nil"/>
            </w:tcBorders>
            <w:shd w:val="clear" w:color="auto" w:fill="auto"/>
            <w:noWrap/>
            <w:vAlign w:val="bottom"/>
            <w:hideMark/>
          </w:tcPr>
          <w:p w14:paraId="3503F4AA" w14:textId="77777777" w:rsidR="0013173C" w:rsidRPr="00252D7B" w:rsidRDefault="0013173C" w:rsidP="00F6584E">
            <w:pPr>
              <w:spacing w:after="120"/>
              <w:jc w:val="both"/>
              <w:rPr>
                <w:rFonts w:asciiTheme="minorHAnsi" w:hAnsiTheme="minorHAnsi" w:cstheme="minorHAnsi"/>
                <w:sz w:val="20"/>
                <w:szCs w:val="20"/>
              </w:rPr>
            </w:pPr>
            <w:r w:rsidRPr="00252D7B">
              <w:rPr>
                <w:rFonts w:asciiTheme="minorHAnsi" w:hAnsiTheme="minorHAnsi" w:cstheme="minorHAnsi"/>
                <w:sz w:val="20"/>
                <w:szCs w:val="20"/>
              </w:rPr>
              <w:t>Crédito Compensado em 2018</w:t>
            </w:r>
          </w:p>
        </w:tc>
        <w:tc>
          <w:tcPr>
            <w:tcW w:w="339" w:type="pct"/>
            <w:tcBorders>
              <w:top w:val="nil"/>
              <w:left w:val="nil"/>
              <w:right w:val="nil"/>
            </w:tcBorders>
            <w:shd w:val="clear" w:color="auto" w:fill="auto"/>
            <w:noWrap/>
            <w:vAlign w:val="bottom"/>
            <w:hideMark/>
          </w:tcPr>
          <w:p w14:paraId="73CDE250" w14:textId="77777777" w:rsidR="0013173C" w:rsidRPr="00252D7B" w:rsidRDefault="0013173C" w:rsidP="00F6584E">
            <w:pPr>
              <w:spacing w:after="120"/>
              <w:rPr>
                <w:rFonts w:asciiTheme="minorHAnsi" w:hAnsiTheme="minorHAnsi" w:cstheme="minorHAnsi"/>
                <w:sz w:val="20"/>
                <w:szCs w:val="20"/>
              </w:rPr>
            </w:pPr>
          </w:p>
        </w:tc>
        <w:tc>
          <w:tcPr>
            <w:tcW w:w="135" w:type="pct"/>
            <w:tcBorders>
              <w:top w:val="nil"/>
              <w:left w:val="nil"/>
              <w:right w:val="nil"/>
            </w:tcBorders>
            <w:shd w:val="clear" w:color="auto" w:fill="auto"/>
            <w:noWrap/>
            <w:vAlign w:val="bottom"/>
            <w:hideMark/>
          </w:tcPr>
          <w:p w14:paraId="3C701EFC" w14:textId="77777777" w:rsidR="0013173C" w:rsidRPr="00252D7B" w:rsidRDefault="0013173C" w:rsidP="00F6584E">
            <w:pPr>
              <w:spacing w:after="120"/>
              <w:rPr>
                <w:rFonts w:asciiTheme="minorHAnsi" w:hAnsiTheme="minorHAnsi" w:cstheme="minorHAnsi"/>
                <w:sz w:val="20"/>
                <w:szCs w:val="20"/>
              </w:rPr>
            </w:pPr>
          </w:p>
        </w:tc>
        <w:tc>
          <w:tcPr>
            <w:tcW w:w="876" w:type="pct"/>
            <w:tcBorders>
              <w:top w:val="nil"/>
              <w:left w:val="nil"/>
              <w:right w:val="nil"/>
            </w:tcBorders>
          </w:tcPr>
          <w:p w14:paraId="34617035" w14:textId="77777777" w:rsidR="0013173C" w:rsidRPr="00252D7B" w:rsidRDefault="0013173C" w:rsidP="00F6584E">
            <w:pPr>
              <w:spacing w:after="120"/>
              <w:jc w:val="right"/>
              <w:rPr>
                <w:rFonts w:asciiTheme="minorHAnsi" w:hAnsiTheme="minorHAnsi" w:cstheme="minorHAnsi"/>
                <w:sz w:val="20"/>
                <w:szCs w:val="20"/>
              </w:rPr>
            </w:pPr>
          </w:p>
        </w:tc>
        <w:tc>
          <w:tcPr>
            <w:tcW w:w="951" w:type="pct"/>
            <w:tcBorders>
              <w:top w:val="nil"/>
              <w:left w:val="nil"/>
              <w:right w:val="nil"/>
            </w:tcBorders>
            <w:shd w:val="clear" w:color="auto" w:fill="auto"/>
            <w:noWrap/>
          </w:tcPr>
          <w:p w14:paraId="191A5FBF" w14:textId="77777777" w:rsidR="0013173C" w:rsidRPr="00252D7B" w:rsidRDefault="0013173C" w:rsidP="00F6584E">
            <w:pPr>
              <w:spacing w:after="120"/>
              <w:jc w:val="right"/>
              <w:rPr>
                <w:rFonts w:asciiTheme="minorHAnsi" w:hAnsiTheme="minorHAnsi" w:cstheme="minorHAnsi"/>
                <w:sz w:val="20"/>
                <w:szCs w:val="20"/>
              </w:rPr>
            </w:pPr>
            <w:r w:rsidRPr="00252D7B">
              <w:rPr>
                <w:rFonts w:asciiTheme="minorHAnsi" w:hAnsiTheme="minorHAnsi" w:cstheme="minorHAnsi"/>
                <w:sz w:val="20"/>
                <w:szCs w:val="20"/>
              </w:rPr>
              <w:t xml:space="preserve">              (26.966.503)</w:t>
            </w:r>
          </w:p>
        </w:tc>
        <w:tc>
          <w:tcPr>
            <w:tcW w:w="85" w:type="pct"/>
            <w:tcBorders>
              <w:top w:val="nil"/>
              <w:left w:val="nil"/>
              <w:right w:val="nil"/>
            </w:tcBorders>
            <w:shd w:val="clear" w:color="auto" w:fill="auto"/>
            <w:noWrap/>
            <w:vAlign w:val="bottom"/>
            <w:hideMark/>
          </w:tcPr>
          <w:p w14:paraId="23D7E899" w14:textId="77777777" w:rsidR="0013173C" w:rsidRPr="00252D7B" w:rsidRDefault="0013173C" w:rsidP="00F6584E">
            <w:pPr>
              <w:spacing w:after="120"/>
              <w:rPr>
                <w:rFonts w:asciiTheme="minorHAnsi" w:hAnsiTheme="minorHAnsi" w:cstheme="minorHAnsi"/>
                <w:sz w:val="16"/>
                <w:szCs w:val="16"/>
              </w:rPr>
            </w:pPr>
          </w:p>
        </w:tc>
      </w:tr>
      <w:tr w:rsidR="0013173C" w:rsidRPr="00252D7B" w14:paraId="3B392261" w14:textId="77777777" w:rsidTr="00F6584E">
        <w:trPr>
          <w:trHeight w:val="255"/>
        </w:trPr>
        <w:tc>
          <w:tcPr>
            <w:tcW w:w="2613" w:type="pct"/>
            <w:tcBorders>
              <w:left w:val="nil"/>
              <w:right w:val="nil"/>
            </w:tcBorders>
            <w:shd w:val="clear" w:color="auto" w:fill="auto"/>
            <w:noWrap/>
            <w:vAlign w:val="bottom"/>
          </w:tcPr>
          <w:p w14:paraId="64D6090F" w14:textId="77777777" w:rsidR="0013173C" w:rsidRPr="00252D7B" w:rsidRDefault="0013173C" w:rsidP="00F6584E">
            <w:pPr>
              <w:spacing w:after="120"/>
              <w:rPr>
                <w:rFonts w:asciiTheme="minorHAnsi" w:hAnsiTheme="minorHAnsi" w:cstheme="minorHAnsi"/>
                <w:sz w:val="20"/>
                <w:szCs w:val="20"/>
              </w:rPr>
            </w:pPr>
            <w:r w:rsidRPr="00252D7B">
              <w:rPr>
                <w:rFonts w:asciiTheme="minorHAnsi" w:hAnsiTheme="minorHAnsi" w:cstheme="minorHAnsi"/>
                <w:sz w:val="20"/>
                <w:szCs w:val="20"/>
              </w:rPr>
              <w:t>Crédito Compensado em 2019</w:t>
            </w:r>
          </w:p>
        </w:tc>
        <w:tc>
          <w:tcPr>
            <w:tcW w:w="339" w:type="pct"/>
            <w:tcBorders>
              <w:left w:val="nil"/>
              <w:right w:val="nil"/>
            </w:tcBorders>
            <w:shd w:val="clear" w:color="auto" w:fill="auto"/>
            <w:noWrap/>
            <w:vAlign w:val="bottom"/>
          </w:tcPr>
          <w:p w14:paraId="0226639D" w14:textId="77777777" w:rsidR="0013173C" w:rsidRPr="00252D7B" w:rsidRDefault="0013173C" w:rsidP="00F6584E">
            <w:pPr>
              <w:spacing w:after="120"/>
              <w:rPr>
                <w:rFonts w:asciiTheme="minorHAnsi" w:hAnsiTheme="minorHAnsi" w:cstheme="minorHAnsi"/>
                <w:sz w:val="20"/>
                <w:szCs w:val="20"/>
              </w:rPr>
            </w:pPr>
          </w:p>
        </w:tc>
        <w:tc>
          <w:tcPr>
            <w:tcW w:w="135" w:type="pct"/>
            <w:tcBorders>
              <w:left w:val="nil"/>
              <w:right w:val="nil"/>
            </w:tcBorders>
            <w:shd w:val="clear" w:color="auto" w:fill="auto"/>
            <w:noWrap/>
            <w:vAlign w:val="bottom"/>
          </w:tcPr>
          <w:p w14:paraId="15C82560" w14:textId="77777777" w:rsidR="0013173C" w:rsidRPr="00252D7B" w:rsidRDefault="0013173C" w:rsidP="00F6584E">
            <w:pPr>
              <w:spacing w:after="120"/>
              <w:rPr>
                <w:rFonts w:asciiTheme="minorHAnsi" w:hAnsiTheme="minorHAnsi" w:cstheme="minorHAnsi"/>
                <w:sz w:val="20"/>
                <w:szCs w:val="20"/>
              </w:rPr>
            </w:pPr>
          </w:p>
        </w:tc>
        <w:tc>
          <w:tcPr>
            <w:tcW w:w="876" w:type="pct"/>
            <w:tcBorders>
              <w:left w:val="nil"/>
              <w:right w:val="nil"/>
            </w:tcBorders>
            <w:vAlign w:val="bottom"/>
          </w:tcPr>
          <w:p w14:paraId="3A4E9537" w14:textId="77777777" w:rsidR="0013173C" w:rsidRPr="00252D7B" w:rsidRDefault="0013173C" w:rsidP="00F6584E">
            <w:pPr>
              <w:spacing w:after="120"/>
              <w:jc w:val="right"/>
              <w:rPr>
                <w:rFonts w:asciiTheme="minorHAnsi" w:hAnsiTheme="minorHAnsi" w:cstheme="minorHAnsi"/>
                <w:sz w:val="20"/>
                <w:szCs w:val="20"/>
              </w:rPr>
            </w:pPr>
          </w:p>
        </w:tc>
        <w:tc>
          <w:tcPr>
            <w:tcW w:w="951" w:type="pct"/>
            <w:tcBorders>
              <w:left w:val="nil"/>
              <w:right w:val="nil"/>
            </w:tcBorders>
            <w:shd w:val="clear" w:color="auto" w:fill="auto"/>
            <w:noWrap/>
            <w:vAlign w:val="bottom"/>
          </w:tcPr>
          <w:p w14:paraId="73BF3871" w14:textId="77777777" w:rsidR="0013173C" w:rsidRPr="00252D7B" w:rsidRDefault="0013173C" w:rsidP="00F6584E">
            <w:pPr>
              <w:spacing w:after="120"/>
              <w:jc w:val="right"/>
              <w:rPr>
                <w:rFonts w:asciiTheme="minorHAnsi" w:hAnsiTheme="minorHAnsi" w:cstheme="minorHAnsi"/>
                <w:sz w:val="20"/>
                <w:szCs w:val="20"/>
              </w:rPr>
            </w:pPr>
            <w:r w:rsidRPr="00252D7B">
              <w:rPr>
                <w:rFonts w:asciiTheme="minorHAnsi" w:hAnsiTheme="minorHAnsi" w:cstheme="minorHAnsi"/>
                <w:sz w:val="20"/>
                <w:szCs w:val="20"/>
              </w:rPr>
              <w:t>(9.477.108)</w:t>
            </w:r>
          </w:p>
        </w:tc>
        <w:tc>
          <w:tcPr>
            <w:tcW w:w="85" w:type="pct"/>
            <w:tcBorders>
              <w:left w:val="nil"/>
              <w:right w:val="nil"/>
            </w:tcBorders>
            <w:shd w:val="clear" w:color="auto" w:fill="auto"/>
            <w:noWrap/>
            <w:vAlign w:val="bottom"/>
          </w:tcPr>
          <w:p w14:paraId="09E5429C" w14:textId="77777777" w:rsidR="0013173C" w:rsidRPr="00252D7B" w:rsidRDefault="0013173C" w:rsidP="00F6584E">
            <w:pPr>
              <w:spacing w:after="120"/>
              <w:rPr>
                <w:rFonts w:asciiTheme="minorHAnsi" w:hAnsiTheme="minorHAnsi" w:cstheme="minorHAnsi"/>
                <w:b/>
                <w:sz w:val="16"/>
                <w:szCs w:val="16"/>
              </w:rPr>
            </w:pPr>
          </w:p>
        </w:tc>
      </w:tr>
      <w:tr w:rsidR="0013173C" w:rsidRPr="00252D7B" w14:paraId="12CADBA8" w14:textId="77777777" w:rsidTr="00F6584E">
        <w:trPr>
          <w:trHeight w:val="255"/>
        </w:trPr>
        <w:tc>
          <w:tcPr>
            <w:tcW w:w="2613" w:type="pct"/>
            <w:tcBorders>
              <w:left w:val="nil"/>
              <w:right w:val="nil"/>
            </w:tcBorders>
            <w:shd w:val="clear" w:color="auto" w:fill="auto"/>
            <w:noWrap/>
            <w:vAlign w:val="center"/>
          </w:tcPr>
          <w:p w14:paraId="19E8B690" w14:textId="77777777" w:rsidR="0013173C" w:rsidRPr="00252D7B" w:rsidRDefault="0013173C" w:rsidP="00F6584E">
            <w:pPr>
              <w:spacing w:after="120"/>
              <w:rPr>
                <w:rFonts w:asciiTheme="minorHAnsi" w:hAnsiTheme="minorHAnsi" w:cstheme="minorHAnsi"/>
                <w:sz w:val="20"/>
                <w:szCs w:val="20"/>
              </w:rPr>
            </w:pPr>
            <w:r w:rsidRPr="00252D7B">
              <w:rPr>
                <w:rFonts w:asciiTheme="minorHAnsi" w:hAnsiTheme="minorHAnsi" w:cstheme="minorHAnsi"/>
                <w:sz w:val="20"/>
                <w:szCs w:val="20"/>
              </w:rPr>
              <w:t>Reconhecimento de Crédito em 2019</w:t>
            </w:r>
          </w:p>
        </w:tc>
        <w:tc>
          <w:tcPr>
            <w:tcW w:w="339" w:type="pct"/>
            <w:tcBorders>
              <w:left w:val="nil"/>
              <w:right w:val="nil"/>
            </w:tcBorders>
            <w:shd w:val="clear" w:color="auto" w:fill="auto"/>
            <w:noWrap/>
            <w:vAlign w:val="bottom"/>
          </w:tcPr>
          <w:p w14:paraId="0FB06531" w14:textId="77777777" w:rsidR="0013173C" w:rsidRPr="00252D7B" w:rsidRDefault="0013173C" w:rsidP="00F6584E">
            <w:pPr>
              <w:spacing w:after="120"/>
              <w:rPr>
                <w:rFonts w:asciiTheme="minorHAnsi" w:hAnsiTheme="minorHAnsi" w:cstheme="minorHAnsi"/>
                <w:sz w:val="20"/>
                <w:szCs w:val="20"/>
              </w:rPr>
            </w:pPr>
          </w:p>
        </w:tc>
        <w:tc>
          <w:tcPr>
            <w:tcW w:w="135" w:type="pct"/>
            <w:tcBorders>
              <w:left w:val="nil"/>
              <w:right w:val="nil"/>
            </w:tcBorders>
            <w:shd w:val="clear" w:color="auto" w:fill="auto"/>
            <w:noWrap/>
            <w:vAlign w:val="bottom"/>
          </w:tcPr>
          <w:p w14:paraId="7D26C916" w14:textId="77777777" w:rsidR="0013173C" w:rsidRPr="00252D7B" w:rsidRDefault="0013173C" w:rsidP="00F6584E">
            <w:pPr>
              <w:spacing w:after="120"/>
              <w:rPr>
                <w:rFonts w:asciiTheme="minorHAnsi" w:hAnsiTheme="minorHAnsi" w:cstheme="minorHAnsi"/>
                <w:sz w:val="20"/>
                <w:szCs w:val="20"/>
              </w:rPr>
            </w:pPr>
          </w:p>
        </w:tc>
        <w:tc>
          <w:tcPr>
            <w:tcW w:w="876" w:type="pct"/>
            <w:tcBorders>
              <w:left w:val="nil"/>
              <w:right w:val="nil"/>
            </w:tcBorders>
            <w:vAlign w:val="bottom"/>
          </w:tcPr>
          <w:p w14:paraId="53FD4B59" w14:textId="77777777" w:rsidR="0013173C" w:rsidRPr="00252D7B" w:rsidRDefault="0013173C" w:rsidP="00F6584E">
            <w:pPr>
              <w:spacing w:after="120"/>
              <w:jc w:val="right"/>
              <w:rPr>
                <w:rFonts w:asciiTheme="minorHAnsi" w:hAnsiTheme="minorHAnsi" w:cstheme="minorHAnsi"/>
                <w:sz w:val="20"/>
                <w:szCs w:val="20"/>
              </w:rPr>
            </w:pPr>
          </w:p>
        </w:tc>
        <w:tc>
          <w:tcPr>
            <w:tcW w:w="951" w:type="pct"/>
            <w:tcBorders>
              <w:left w:val="nil"/>
              <w:right w:val="nil"/>
            </w:tcBorders>
            <w:shd w:val="clear" w:color="auto" w:fill="auto"/>
            <w:noWrap/>
            <w:vAlign w:val="bottom"/>
          </w:tcPr>
          <w:p w14:paraId="37408700" w14:textId="77777777" w:rsidR="0013173C" w:rsidRPr="00252D7B" w:rsidRDefault="0013173C" w:rsidP="00F6584E">
            <w:pPr>
              <w:spacing w:after="120"/>
              <w:jc w:val="right"/>
              <w:rPr>
                <w:rFonts w:asciiTheme="minorHAnsi" w:hAnsiTheme="minorHAnsi" w:cstheme="minorHAnsi"/>
                <w:sz w:val="20"/>
                <w:szCs w:val="20"/>
              </w:rPr>
            </w:pPr>
            <w:r w:rsidRPr="00252D7B">
              <w:rPr>
                <w:rFonts w:asciiTheme="minorHAnsi" w:hAnsiTheme="minorHAnsi" w:cstheme="minorHAnsi"/>
                <w:sz w:val="20"/>
                <w:szCs w:val="20"/>
              </w:rPr>
              <w:t>16.613</w:t>
            </w:r>
          </w:p>
        </w:tc>
        <w:tc>
          <w:tcPr>
            <w:tcW w:w="85" w:type="pct"/>
            <w:tcBorders>
              <w:left w:val="nil"/>
              <w:right w:val="nil"/>
            </w:tcBorders>
            <w:shd w:val="clear" w:color="auto" w:fill="auto"/>
            <w:noWrap/>
            <w:vAlign w:val="bottom"/>
          </w:tcPr>
          <w:p w14:paraId="4187D388" w14:textId="77777777" w:rsidR="0013173C" w:rsidRPr="00252D7B" w:rsidRDefault="0013173C" w:rsidP="00F6584E">
            <w:pPr>
              <w:spacing w:after="120"/>
              <w:rPr>
                <w:rFonts w:asciiTheme="minorHAnsi" w:hAnsiTheme="minorHAnsi" w:cstheme="minorHAnsi"/>
                <w:b/>
                <w:sz w:val="16"/>
                <w:szCs w:val="16"/>
              </w:rPr>
            </w:pPr>
          </w:p>
        </w:tc>
      </w:tr>
      <w:tr w:rsidR="0013173C" w:rsidRPr="00252D7B" w14:paraId="6B3BF87D" w14:textId="77777777" w:rsidTr="00F6584E">
        <w:trPr>
          <w:trHeight w:val="255"/>
        </w:trPr>
        <w:tc>
          <w:tcPr>
            <w:tcW w:w="2613" w:type="pct"/>
            <w:tcBorders>
              <w:left w:val="nil"/>
              <w:right w:val="nil"/>
            </w:tcBorders>
            <w:shd w:val="clear" w:color="auto" w:fill="auto"/>
            <w:noWrap/>
            <w:vAlign w:val="center"/>
          </w:tcPr>
          <w:p w14:paraId="0B5967F1" w14:textId="77777777" w:rsidR="0013173C" w:rsidRPr="00252D7B" w:rsidRDefault="0013173C" w:rsidP="00F6584E">
            <w:pPr>
              <w:spacing w:after="120"/>
              <w:rPr>
                <w:rFonts w:asciiTheme="minorHAnsi" w:hAnsiTheme="minorHAnsi" w:cstheme="minorHAnsi"/>
                <w:sz w:val="20"/>
                <w:szCs w:val="20"/>
              </w:rPr>
            </w:pPr>
            <w:r w:rsidRPr="00252D7B">
              <w:rPr>
                <w:rFonts w:asciiTheme="minorHAnsi" w:hAnsiTheme="minorHAnsi" w:cstheme="minorHAnsi"/>
                <w:sz w:val="20"/>
                <w:szCs w:val="20"/>
              </w:rPr>
              <w:t>Baixa por prescrição no 4º trimestre / 2020</w:t>
            </w:r>
          </w:p>
        </w:tc>
        <w:tc>
          <w:tcPr>
            <w:tcW w:w="339" w:type="pct"/>
            <w:tcBorders>
              <w:left w:val="nil"/>
              <w:right w:val="nil"/>
            </w:tcBorders>
            <w:shd w:val="clear" w:color="auto" w:fill="auto"/>
            <w:noWrap/>
            <w:vAlign w:val="bottom"/>
          </w:tcPr>
          <w:p w14:paraId="7FF54CF5" w14:textId="77777777" w:rsidR="0013173C" w:rsidRPr="00252D7B" w:rsidRDefault="0013173C" w:rsidP="00F6584E">
            <w:pPr>
              <w:spacing w:after="120"/>
              <w:rPr>
                <w:rFonts w:asciiTheme="minorHAnsi" w:hAnsiTheme="minorHAnsi" w:cstheme="minorHAnsi"/>
                <w:sz w:val="20"/>
                <w:szCs w:val="20"/>
              </w:rPr>
            </w:pPr>
          </w:p>
        </w:tc>
        <w:tc>
          <w:tcPr>
            <w:tcW w:w="135" w:type="pct"/>
            <w:tcBorders>
              <w:left w:val="nil"/>
              <w:right w:val="nil"/>
            </w:tcBorders>
            <w:shd w:val="clear" w:color="auto" w:fill="auto"/>
            <w:noWrap/>
            <w:vAlign w:val="bottom"/>
          </w:tcPr>
          <w:p w14:paraId="00964CFE" w14:textId="77777777" w:rsidR="0013173C" w:rsidRPr="00252D7B" w:rsidRDefault="0013173C" w:rsidP="00F6584E">
            <w:pPr>
              <w:spacing w:after="120"/>
              <w:rPr>
                <w:rFonts w:asciiTheme="minorHAnsi" w:hAnsiTheme="minorHAnsi" w:cstheme="minorHAnsi"/>
                <w:sz w:val="20"/>
                <w:szCs w:val="20"/>
              </w:rPr>
            </w:pPr>
          </w:p>
        </w:tc>
        <w:tc>
          <w:tcPr>
            <w:tcW w:w="876" w:type="pct"/>
            <w:tcBorders>
              <w:left w:val="nil"/>
              <w:right w:val="nil"/>
            </w:tcBorders>
            <w:vAlign w:val="bottom"/>
          </w:tcPr>
          <w:p w14:paraId="211454A9" w14:textId="77777777" w:rsidR="0013173C" w:rsidRPr="00252D7B" w:rsidRDefault="0013173C" w:rsidP="00F6584E">
            <w:pPr>
              <w:spacing w:after="120"/>
              <w:jc w:val="right"/>
              <w:rPr>
                <w:rFonts w:asciiTheme="minorHAnsi" w:hAnsiTheme="minorHAnsi" w:cstheme="minorHAnsi"/>
                <w:sz w:val="20"/>
                <w:szCs w:val="20"/>
              </w:rPr>
            </w:pPr>
          </w:p>
        </w:tc>
        <w:tc>
          <w:tcPr>
            <w:tcW w:w="951" w:type="pct"/>
            <w:tcBorders>
              <w:left w:val="nil"/>
              <w:right w:val="nil"/>
            </w:tcBorders>
            <w:shd w:val="clear" w:color="auto" w:fill="auto"/>
            <w:noWrap/>
            <w:vAlign w:val="bottom"/>
          </w:tcPr>
          <w:p w14:paraId="2400AD91" w14:textId="77777777" w:rsidR="0013173C" w:rsidRPr="00252D7B" w:rsidRDefault="0013173C" w:rsidP="00F6584E">
            <w:pPr>
              <w:spacing w:after="120"/>
              <w:jc w:val="right"/>
              <w:rPr>
                <w:rFonts w:asciiTheme="minorHAnsi" w:hAnsiTheme="minorHAnsi" w:cstheme="minorHAnsi"/>
                <w:sz w:val="20"/>
                <w:szCs w:val="20"/>
              </w:rPr>
            </w:pPr>
            <w:r w:rsidRPr="00252D7B">
              <w:rPr>
                <w:rFonts w:asciiTheme="minorHAnsi" w:hAnsiTheme="minorHAnsi" w:cstheme="minorHAnsi"/>
                <w:sz w:val="20"/>
                <w:szCs w:val="20"/>
              </w:rPr>
              <w:t>(16.171.757)</w:t>
            </w:r>
          </w:p>
        </w:tc>
        <w:tc>
          <w:tcPr>
            <w:tcW w:w="85" w:type="pct"/>
            <w:tcBorders>
              <w:left w:val="nil"/>
              <w:right w:val="nil"/>
            </w:tcBorders>
            <w:shd w:val="clear" w:color="auto" w:fill="auto"/>
            <w:noWrap/>
            <w:vAlign w:val="bottom"/>
          </w:tcPr>
          <w:p w14:paraId="490F4E4F" w14:textId="77777777" w:rsidR="0013173C" w:rsidRPr="00252D7B" w:rsidRDefault="0013173C" w:rsidP="00F6584E">
            <w:pPr>
              <w:spacing w:after="120"/>
              <w:rPr>
                <w:rFonts w:asciiTheme="minorHAnsi" w:hAnsiTheme="minorHAnsi" w:cstheme="minorHAnsi"/>
                <w:b/>
                <w:sz w:val="16"/>
                <w:szCs w:val="16"/>
              </w:rPr>
            </w:pPr>
          </w:p>
        </w:tc>
      </w:tr>
      <w:tr w:rsidR="0013173C" w:rsidRPr="00252D7B" w14:paraId="19FC9CF0" w14:textId="77777777" w:rsidTr="00F6584E">
        <w:trPr>
          <w:trHeight w:val="255"/>
        </w:trPr>
        <w:tc>
          <w:tcPr>
            <w:tcW w:w="2613" w:type="pct"/>
            <w:tcBorders>
              <w:left w:val="nil"/>
              <w:right w:val="nil"/>
            </w:tcBorders>
            <w:shd w:val="clear" w:color="auto" w:fill="auto"/>
            <w:noWrap/>
            <w:vAlign w:val="bottom"/>
          </w:tcPr>
          <w:p w14:paraId="76B8B603" w14:textId="77777777" w:rsidR="0013173C" w:rsidRPr="00252D7B" w:rsidRDefault="0013173C" w:rsidP="00F6584E">
            <w:pPr>
              <w:spacing w:after="120"/>
              <w:rPr>
                <w:rFonts w:asciiTheme="minorHAnsi" w:hAnsiTheme="minorHAnsi" w:cstheme="minorHAnsi"/>
                <w:bCs/>
                <w:sz w:val="20"/>
                <w:szCs w:val="20"/>
              </w:rPr>
            </w:pPr>
            <w:r w:rsidRPr="00252D7B">
              <w:rPr>
                <w:rFonts w:asciiTheme="minorHAnsi" w:hAnsiTheme="minorHAnsi" w:cstheme="minorHAnsi"/>
                <w:bCs/>
                <w:sz w:val="20"/>
                <w:szCs w:val="20"/>
              </w:rPr>
              <w:t>CRÉDITO PRESCRITO EM 2021 (Até Abr/2021) RECONHECIDO NAS DFS DE 2019</w:t>
            </w:r>
          </w:p>
        </w:tc>
        <w:tc>
          <w:tcPr>
            <w:tcW w:w="339" w:type="pct"/>
            <w:tcBorders>
              <w:left w:val="nil"/>
              <w:right w:val="nil"/>
            </w:tcBorders>
            <w:shd w:val="clear" w:color="auto" w:fill="auto"/>
            <w:noWrap/>
            <w:vAlign w:val="bottom"/>
          </w:tcPr>
          <w:p w14:paraId="272B92CB" w14:textId="77777777" w:rsidR="0013173C" w:rsidRPr="00252D7B" w:rsidRDefault="0013173C" w:rsidP="00F6584E">
            <w:pPr>
              <w:spacing w:after="120"/>
              <w:rPr>
                <w:rFonts w:asciiTheme="minorHAnsi" w:hAnsiTheme="minorHAnsi" w:cstheme="minorHAnsi"/>
                <w:bCs/>
                <w:sz w:val="20"/>
                <w:szCs w:val="20"/>
              </w:rPr>
            </w:pPr>
          </w:p>
        </w:tc>
        <w:tc>
          <w:tcPr>
            <w:tcW w:w="135" w:type="pct"/>
            <w:tcBorders>
              <w:left w:val="nil"/>
              <w:right w:val="nil"/>
            </w:tcBorders>
            <w:shd w:val="clear" w:color="auto" w:fill="auto"/>
            <w:noWrap/>
            <w:vAlign w:val="bottom"/>
          </w:tcPr>
          <w:p w14:paraId="4DAB3968" w14:textId="77777777" w:rsidR="0013173C" w:rsidRPr="00252D7B" w:rsidRDefault="0013173C" w:rsidP="00F6584E">
            <w:pPr>
              <w:spacing w:after="120"/>
              <w:rPr>
                <w:rFonts w:asciiTheme="minorHAnsi" w:hAnsiTheme="minorHAnsi" w:cstheme="minorHAnsi"/>
                <w:bCs/>
                <w:sz w:val="20"/>
                <w:szCs w:val="20"/>
              </w:rPr>
            </w:pPr>
          </w:p>
        </w:tc>
        <w:tc>
          <w:tcPr>
            <w:tcW w:w="876" w:type="pct"/>
            <w:tcBorders>
              <w:left w:val="nil"/>
              <w:right w:val="nil"/>
            </w:tcBorders>
            <w:vAlign w:val="bottom"/>
          </w:tcPr>
          <w:p w14:paraId="3CC62572" w14:textId="77777777" w:rsidR="0013173C" w:rsidRPr="00252D7B" w:rsidRDefault="0013173C" w:rsidP="00F6584E">
            <w:pPr>
              <w:spacing w:after="120"/>
              <w:jc w:val="right"/>
              <w:rPr>
                <w:rFonts w:asciiTheme="minorHAnsi" w:hAnsiTheme="minorHAnsi" w:cstheme="minorHAnsi"/>
                <w:bCs/>
                <w:sz w:val="20"/>
                <w:szCs w:val="20"/>
              </w:rPr>
            </w:pPr>
          </w:p>
        </w:tc>
        <w:tc>
          <w:tcPr>
            <w:tcW w:w="951" w:type="pct"/>
            <w:tcBorders>
              <w:left w:val="nil"/>
              <w:right w:val="nil"/>
            </w:tcBorders>
            <w:shd w:val="clear" w:color="auto" w:fill="auto"/>
            <w:noWrap/>
            <w:vAlign w:val="bottom"/>
          </w:tcPr>
          <w:p w14:paraId="18975804" w14:textId="77777777" w:rsidR="0013173C" w:rsidRPr="00252D7B" w:rsidRDefault="0013173C" w:rsidP="00F6584E">
            <w:pPr>
              <w:spacing w:after="120"/>
              <w:jc w:val="right"/>
              <w:rPr>
                <w:rFonts w:asciiTheme="minorHAnsi" w:hAnsiTheme="minorHAnsi" w:cstheme="minorHAnsi"/>
                <w:bCs/>
                <w:sz w:val="20"/>
                <w:szCs w:val="20"/>
              </w:rPr>
            </w:pPr>
            <w:r w:rsidRPr="00252D7B">
              <w:rPr>
                <w:rFonts w:asciiTheme="minorHAnsi" w:hAnsiTheme="minorHAnsi" w:cstheme="minorHAnsi"/>
                <w:bCs/>
                <w:sz w:val="20"/>
                <w:szCs w:val="20"/>
              </w:rPr>
              <w:t>(271.209)</w:t>
            </w:r>
          </w:p>
        </w:tc>
        <w:tc>
          <w:tcPr>
            <w:tcW w:w="85" w:type="pct"/>
            <w:tcBorders>
              <w:left w:val="nil"/>
              <w:right w:val="nil"/>
            </w:tcBorders>
            <w:shd w:val="clear" w:color="auto" w:fill="auto"/>
            <w:noWrap/>
            <w:vAlign w:val="bottom"/>
          </w:tcPr>
          <w:p w14:paraId="01183D84" w14:textId="77777777" w:rsidR="0013173C" w:rsidRPr="00252D7B" w:rsidRDefault="0013173C" w:rsidP="00F6584E">
            <w:pPr>
              <w:spacing w:after="120"/>
              <w:rPr>
                <w:rFonts w:asciiTheme="minorHAnsi" w:hAnsiTheme="minorHAnsi" w:cstheme="minorHAnsi"/>
                <w:b/>
                <w:sz w:val="16"/>
                <w:szCs w:val="16"/>
              </w:rPr>
            </w:pPr>
          </w:p>
        </w:tc>
      </w:tr>
      <w:tr w:rsidR="0013173C" w:rsidRPr="00252D7B" w14:paraId="1D0A2AB2" w14:textId="77777777" w:rsidTr="00F6584E">
        <w:trPr>
          <w:trHeight w:val="255"/>
        </w:trPr>
        <w:tc>
          <w:tcPr>
            <w:tcW w:w="2613" w:type="pct"/>
            <w:tcBorders>
              <w:left w:val="nil"/>
              <w:bottom w:val="single" w:sz="4" w:space="0" w:color="auto"/>
              <w:right w:val="nil"/>
            </w:tcBorders>
            <w:shd w:val="clear" w:color="auto" w:fill="auto"/>
            <w:noWrap/>
            <w:vAlign w:val="bottom"/>
          </w:tcPr>
          <w:p w14:paraId="0B1D6E92" w14:textId="77777777" w:rsidR="0013173C" w:rsidRPr="00252D7B" w:rsidRDefault="0013173C" w:rsidP="00F6584E">
            <w:pPr>
              <w:spacing w:after="120"/>
              <w:rPr>
                <w:rFonts w:asciiTheme="minorHAnsi" w:hAnsiTheme="minorHAnsi" w:cstheme="minorHAnsi"/>
                <w:bCs/>
                <w:sz w:val="20"/>
                <w:szCs w:val="20"/>
              </w:rPr>
            </w:pPr>
            <w:r w:rsidRPr="00252D7B">
              <w:rPr>
                <w:rFonts w:asciiTheme="minorHAnsi" w:hAnsiTheme="minorHAnsi" w:cstheme="minorHAnsi"/>
                <w:bCs/>
                <w:sz w:val="20"/>
                <w:szCs w:val="20"/>
              </w:rPr>
              <w:t>CRÉDITO PRESCRITO EM 2021 (Até jun/2021) RECONHECIDO NAS DFS DE 2020</w:t>
            </w:r>
          </w:p>
        </w:tc>
        <w:tc>
          <w:tcPr>
            <w:tcW w:w="339" w:type="pct"/>
            <w:tcBorders>
              <w:left w:val="nil"/>
              <w:bottom w:val="single" w:sz="4" w:space="0" w:color="auto"/>
              <w:right w:val="nil"/>
            </w:tcBorders>
            <w:shd w:val="clear" w:color="auto" w:fill="auto"/>
            <w:noWrap/>
            <w:vAlign w:val="bottom"/>
          </w:tcPr>
          <w:p w14:paraId="03278BAE" w14:textId="77777777" w:rsidR="0013173C" w:rsidRPr="00252D7B" w:rsidRDefault="0013173C" w:rsidP="00F6584E">
            <w:pPr>
              <w:spacing w:after="120"/>
              <w:rPr>
                <w:rFonts w:asciiTheme="minorHAnsi" w:hAnsiTheme="minorHAnsi" w:cstheme="minorHAnsi"/>
                <w:bCs/>
                <w:sz w:val="20"/>
                <w:szCs w:val="20"/>
              </w:rPr>
            </w:pPr>
          </w:p>
        </w:tc>
        <w:tc>
          <w:tcPr>
            <w:tcW w:w="135" w:type="pct"/>
            <w:tcBorders>
              <w:left w:val="nil"/>
              <w:bottom w:val="single" w:sz="4" w:space="0" w:color="auto"/>
              <w:right w:val="nil"/>
            </w:tcBorders>
            <w:shd w:val="clear" w:color="auto" w:fill="auto"/>
            <w:noWrap/>
            <w:vAlign w:val="bottom"/>
          </w:tcPr>
          <w:p w14:paraId="1F26499F" w14:textId="77777777" w:rsidR="0013173C" w:rsidRPr="00252D7B" w:rsidRDefault="0013173C" w:rsidP="00F6584E">
            <w:pPr>
              <w:spacing w:after="120"/>
              <w:rPr>
                <w:rFonts w:asciiTheme="minorHAnsi" w:hAnsiTheme="minorHAnsi" w:cstheme="minorHAnsi"/>
                <w:bCs/>
                <w:sz w:val="20"/>
                <w:szCs w:val="20"/>
              </w:rPr>
            </w:pPr>
          </w:p>
        </w:tc>
        <w:tc>
          <w:tcPr>
            <w:tcW w:w="876" w:type="pct"/>
            <w:tcBorders>
              <w:left w:val="nil"/>
              <w:bottom w:val="single" w:sz="4" w:space="0" w:color="auto"/>
              <w:right w:val="nil"/>
            </w:tcBorders>
            <w:vAlign w:val="bottom"/>
          </w:tcPr>
          <w:p w14:paraId="1AE32BD3" w14:textId="77777777" w:rsidR="0013173C" w:rsidRPr="00252D7B" w:rsidRDefault="0013173C" w:rsidP="00F6584E">
            <w:pPr>
              <w:spacing w:after="120"/>
              <w:jc w:val="right"/>
              <w:rPr>
                <w:rFonts w:asciiTheme="minorHAnsi" w:hAnsiTheme="minorHAnsi" w:cstheme="minorHAnsi"/>
                <w:bCs/>
                <w:sz w:val="20"/>
                <w:szCs w:val="20"/>
              </w:rPr>
            </w:pPr>
          </w:p>
        </w:tc>
        <w:tc>
          <w:tcPr>
            <w:tcW w:w="951" w:type="pct"/>
            <w:tcBorders>
              <w:left w:val="nil"/>
              <w:bottom w:val="single" w:sz="4" w:space="0" w:color="auto"/>
              <w:right w:val="nil"/>
            </w:tcBorders>
            <w:shd w:val="clear" w:color="auto" w:fill="auto"/>
            <w:noWrap/>
            <w:vAlign w:val="bottom"/>
          </w:tcPr>
          <w:p w14:paraId="18150254" w14:textId="77777777" w:rsidR="0013173C" w:rsidRPr="00252D7B" w:rsidRDefault="0013173C" w:rsidP="00F6584E">
            <w:pPr>
              <w:spacing w:after="120"/>
              <w:jc w:val="right"/>
              <w:rPr>
                <w:rFonts w:asciiTheme="minorHAnsi" w:hAnsiTheme="minorHAnsi" w:cstheme="minorHAnsi"/>
                <w:bCs/>
                <w:sz w:val="20"/>
                <w:szCs w:val="20"/>
              </w:rPr>
            </w:pPr>
            <w:r w:rsidRPr="00252D7B">
              <w:rPr>
                <w:rFonts w:asciiTheme="minorHAnsi" w:hAnsiTheme="minorHAnsi" w:cstheme="minorHAnsi"/>
                <w:bCs/>
                <w:sz w:val="20"/>
                <w:szCs w:val="20"/>
              </w:rPr>
              <w:t>(132.239)</w:t>
            </w:r>
          </w:p>
        </w:tc>
        <w:tc>
          <w:tcPr>
            <w:tcW w:w="85" w:type="pct"/>
            <w:tcBorders>
              <w:left w:val="nil"/>
              <w:bottom w:val="single" w:sz="4" w:space="0" w:color="auto"/>
              <w:right w:val="nil"/>
            </w:tcBorders>
            <w:shd w:val="clear" w:color="auto" w:fill="auto"/>
            <w:noWrap/>
            <w:vAlign w:val="bottom"/>
          </w:tcPr>
          <w:p w14:paraId="790702FA" w14:textId="77777777" w:rsidR="0013173C" w:rsidRPr="00252D7B" w:rsidRDefault="0013173C" w:rsidP="00F6584E">
            <w:pPr>
              <w:spacing w:after="120"/>
              <w:rPr>
                <w:rFonts w:asciiTheme="minorHAnsi" w:hAnsiTheme="minorHAnsi" w:cstheme="minorHAnsi"/>
                <w:b/>
                <w:sz w:val="16"/>
                <w:szCs w:val="16"/>
              </w:rPr>
            </w:pPr>
          </w:p>
        </w:tc>
      </w:tr>
      <w:tr w:rsidR="0013173C" w:rsidRPr="00252D7B" w14:paraId="0F25E955" w14:textId="77777777" w:rsidTr="00F6584E">
        <w:trPr>
          <w:trHeight w:val="255"/>
        </w:trPr>
        <w:tc>
          <w:tcPr>
            <w:tcW w:w="2613" w:type="pct"/>
            <w:tcBorders>
              <w:top w:val="single" w:sz="4" w:space="0" w:color="auto"/>
              <w:left w:val="nil"/>
              <w:bottom w:val="single" w:sz="4" w:space="0" w:color="auto"/>
              <w:right w:val="nil"/>
            </w:tcBorders>
            <w:shd w:val="clear" w:color="auto" w:fill="auto"/>
            <w:noWrap/>
            <w:vAlign w:val="bottom"/>
          </w:tcPr>
          <w:p w14:paraId="2A149FE5" w14:textId="77777777" w:rsidR="0013173C" w:rsidRPr="00252D7B" w:rsidRDefault="0013173C" w:rsidP="00F6584E">
            <w:pPr>
              <w:spacing w:after="120"/>
              <w:rPr>
                <w:rFonts w:asciiTheme="minorHAnsi" w:hAnsiTheme="minorHAnsi" w:cstheme="minorHAnsi"/>
                <w:b/>
                <w:sz w:val="20"/>
                <w:szCs w:val="20"/>
              </w:rPr>
            </w:pPr>
            <w:r w:rsidRPr="00252D7B">
              <w:rPr>
                <w:rFonts w:asciiTheme="minorHAnsi" w:hAnsiTheme="minorHAnsi" w:cstheme="minorHAnsi"/>
                <w:b/>
                <w:sz w:val="20"/>
                <w:szCs w:val="20"/>
              </w:rPr>
              <w:t>SALDO DE CRÉDITO PREVIDENCIÁRIO EM 31/12/2020</w:t>
            </w:r>
          </w:p>
        </w:tc>
        <w:tc>
          <w:tcPr>
            <w:tcW w:w="339" w:type="pct"/>
            <w:tcBorders>
              <w:top w:val="single" w:sz="4" w:space="0" w:color="auto"/>
              <w:left w:val="nil"/>
              <w:bottom w:val="single" w:sz="4" w:space="0" w:color="auto"/>
              <w:right w:val="nil"/>
            </w:tcBorders>
            <w:shd w:val="clear" w:color="auto" w:fill="auto"/>
            <w:noWrap/>
            <w:vAlign w:val="bottom"/>
          </w:tcPr>
          <w:p w14:paraId="7446D4A0" w14:textId="77777777" w:rsidR="0013173C" w:rsidRPr="00252D7B" w:rsidRDefault="0013173C" w:rsidP="00F6584E">
            <w:pPr>
              <w:spacing w:after="120"/>
              <w:rPr>
                <w:rFonts w:asciiTheme="minorHAnsi" w:hAnsiTheme="minorHAnsi" w:cstheme="minorHAnsi"/>
                <w:b/>
                <w:sz w:val="20"/>
                <w:szCs w:val="20"/>
              </w:rPr>
            </w:pPr>
          </w:p>
        </w:tc>
        <w:tc>
          <w:tcPr>
            <w:tcW w:w="135" w:type="pct"/>
            <w:tcBorders>
              <w:top w:val="single" w:sz="4" w:space="0" w:color="auto"/>
              <w:left w:val="nil"/>
              <w:bottom w:val="single" w:sz="4" w:space="0" w:color="auto"/>
              <w:right w:val="nil"/>
            </w:tcBorders>
            <w:shd w:val="clear" w:color="auto" w:fill="auto"/>
            <w:noWrap/>
            <w:vAlign w:val="bottom"/>
          </w:tcPr>
          <w:p w14:paraId="5C58066B" w14:textId="77777777" w:rsidR="0013173C" w:rsidRPr="00252D7B" w:rsidRDefault="0013173C" w:rsidP="00F6584E">
            <w:pPr>
              <w:spacing w:after="120"/>
              <w:rPr>
                <w:rFonts w:asciiTheme="minorHAnsi" w:hAnsiTheme="minorHAnsi" w:cstheme="minorHAnsi"/>
                <w:b/>
                <w:sz w:val="20"/>
                <w:szCs w:val="20"/>
              </w:rPr>
            </w:pPr>
          </w:p>
        </w:tc>
        <w:tc>
          <w:tcPr>
            <w:tcW w:w="876" w:type="pct"/>
            <w:tcBorders>
              <w:top w:val="single" w:sz="4" w:space="0" w:color="auto"/>
              <w:left w:val="nil"/>
              <w:bottom w:val="single" w:sz="4" w:space="0" w:color="auto"/>
              <w:right w:val="nil"/>
            </w:tcBorders>
            <w:vAlign w:val="bottom"/>
          </w:tcPr>
          <w:p w14:paraId="37FB204C" w14:textId="77777777" w:rsidR="0013173C" w:rsidRPr="00252D7B" w:rsidRDefault="0013173C" w:rsidP="00F6584E">
            <w:pPr>
              <w:spacing w:after="120"/>
              <w:jc w:val="right"/>
              <w:rPr>
                <w:rFonts w:asciiTheme="minorHAnsi" w:hAnsiTheme="minorHAnsi" w:cstheme="minorHAnsi"/>
                <w:b/>
                <w:sz w:val="20"/>
                <w:szCs w:val="20"/>
              </w:rPr>
            </w:pPr>
          </w:p>
        </w:tc>
        <w:tc>
          <w:tcPr>
            <w:tcW w:w="951" w:type="pct"/>
            <w:tcBorders>
              <w:top w:val="single" w:sz="4" w:space="0" w:color="auto"/>
              <w:left w:val="nil"/>
              <w:bottom w:val="single" w:sz="4" w:space="0" w:color="auto"/>
              <w:right w:val="nil"/>
            </w:tcBorders>
            <w:shd w:val="clear" w:color="auto" w:fill="auto"/>
            <w:noWrap/>
            <w:vAlign w:val="bottom"/>
          </w:tcPr>
          <w:p w14:paraId="3812CCE4" w14:textId="77777777" w:rsidR="0013173C" w:rsidRPr="00252D7B" w:rsidRDefault="0013173C" w:rsidP="00F6584E">
            <w:pPr>
              <w:spacing w:after="120"/>
              <w:jc w:val="right"/>
              <w:rPr>
                <w:rFonts w:asciiTheme="minorHAnsi" w:hAnsiTheme="minorHAnsi" w:cstheme="minorHAnsi"/>
                <w:b/>
                <w:sz w:val="20"/>
                <w:szCs w:val="20"/>
              </w:rPr>
            </w:pPr>
            <w:r w:rsidRPr="00252D7B">
              <w:rPr>
                <w:rFonts w:asciiTheme="minorHAnsi" w:hAnsiTheme="minorHAnsi" w:cstheme="minorHAnsi"/>
                <w:b/>
                <w:sz w:val="20"/>
                <w:szCs w:val="20"/>
              </w:rPr>
              <w:t>1.282.933</w:t>
            </w:r>
          </w:p>
        </w:tc>
        <w:tc>
          <w:tcPr>
            <w:tcW w:w="85" w:type="pct"/>
            <w:tcBorders>
              <w:top w:val="single" w:sz="4" w:space="0" w:color="auto"/>
              <w:left w:val="nil"/>
              <w:bottom w:val="single" w:sz="4" w:space="0" w:color="auto"/>
              <w:right w:val="nil"/>
            </w:tcBorders>
            <w:shd w:val="clear" w:color="auto" w:fill="auto"/>
            <w:noWrap/>
            <w:vAlign w:val="bottom"/>
          </w:tcPr>
          <w:p w14:paraId="444B1308" w14:textId="77777777" w:rsidR="0013173C" w:rsidRPr="00252D7B" w:rsidRDefault="0013173C" w:rsidP="00F6584E">
            <w:pPr>
              <w:spacing w:after="120"/>
              <w:rPr>
                <w:rFonts w:asciiTheme="minorHAnsi" w:hAnsiTheme="minorHAnsi" w:cstheme="minorHAnsi"/>
                <w:b/>
                <w:sz w:val="16"/>
                <w:szCs w:val="16"/>
              </w:rPr>
            </w:pPr>
          </w:p>
        </w:tc>
      </w:tr>
      <w:tr w:rsidR="0013173C" w:rsidRPr="00252D7B" w14:paraId="068E88F8" w14:textId="77777777" w:rsidTr="00F6584E">
        <w:trPr>
          <w:trHeight w:val="255"/>
        </w:trPr>
        <w:tc>
          <w:tcPr>
            <w:tcW w:w="2613" w:type="pct"/>
            <w:tcBorders>
              <w:top w:val="single" w:sz="4" w:space="0" w:color="auto"/>
              <w:left w:val="nil"/>
              <w:bottom w:val="single" w:sz="4" w:space="0" w:color="auto"/>
              <w:right w:val="nil"/>
            </w:tcBorders>
            <w:shd w:val="clear" w:color="auto" w:fill="auto"/>
            <w:noWrap/>
            <w:vAlign w:val="bottom"/>
          </w:tcPr>
          <w:p w14:paraId="3C752A09" w14:textId="77777777" w:rsidR="0013173C" w:rsidRPr="00252D7B" w:rsidRDefault="0013173C" w:rsidP="00F6584E">
            <w:pPr>
              <w:spacing w:after="120"/>
              <w:rPr>
                <w:rFonts w:asciiTheme="minorHAnsi" w:hAnsiTheme="minorHAnsi" w:cstheme="minorHAnsi"/>
                <w:b/>
                <w:sz w:val="20"/>
                <w:szCs w:val="20"/>
              </w:rPr>
            </w:pPr>
            <w:r w:rsidRPr="00252D7B">
              <w:rPr>
                <w:rFonts w:asciiTheme="minorHAnsi" w:hAnsiTheme="minorHAnsi" w:cstheme="minorHAnsi"/>
                <w:b/>
                <w:sz w:val="20"/>
                <w:szCs w:val="20"/>
              </w:rPr>
              <w:t>CRÉDITO PRESCRITO EM 2021 RECONHECIDO NAS DFS DE 2021</w:t>
            </w:r>
          </w:p>
        </w:tc>
        <w:tc>
          <w:tcPr>
            <w:tcW w:w="339" w:type="pct"/>
            <w:tcBorders>
              <w:top w:val="single" w:sz="4" w:space="0" w:color="auto"/>
              <w:left w:val="nil"/>
              <w:bottom w:val="single" w:sz="4" w:space="0" w:color="auto"/>
              <w:right w:val="nil"/>
            </w:tcBorders>
            <w:shd w:val="clear" w:color="auto" w:fill="auto"/>
            <w:noWrap/>
            <w:vAlign w:val="bottom"/>
          </w:tcPr>
          <w:p w14:paraId="75DA7209" w14:textId="77777777" w:rsidR="0013173C" w:rsidRPr="00252D7B" w:rsidRDefault="0013173C" w:rsidP="00F6584E">
            <w:pPr>
              <w:spacing w:after="120"/>
              <w:rPr>
                <w:rFonts w:asciiTheme="minorHAnsi" w:hAnsiTheme="minorHAnsi" w:cstheme="minorHAnsi"/>
                <w:b/>
                <w:sz w:val="20"/>
                <w:szCs w:val="20"/>
              </w:rPr>
            </w:pPr>
          </w:p>
        </w:tc>
        <w:tc>
          <w:tcPr>
            <w:tcW w:w="135" w:type="pct"/>
            <w:tcBorders>
              <w:top w:val="single" w:sz="4" w:space="0" w:color="auto"/>
              <w:left w:val="nil"/>
              <w:bottom w:val="single" w:sz="4" w:space="0" w:color="auto"/>
              <w:right w:val="nil"/>
            </w:tcBorders>
            <w:shd w:val="clear" w:color="auto" w:fill="auto"/>
            <w:noWrap/>
            <w:vAlign w:val="bottom"/>
          </w:tcPr>
          <w:p w14:paraId="5855AA25" w14:textId="77777777" w:rsidR="0013173C" w:rsidRPr="00252D7B" w:rsidRDefault="0013173C" w:rsidP="00F6584E">
            <w:pPr>
              <w:spacing w:after="120"/>
              <w:rPr>
                <w:rFonts w:asciiTheme="minorHAnsi" w:hAnsiTheme="minorHAnsi" w:cstheme="minorHAnsi"/>
                <w:b/>
                <w:sz w:val="20"/>
                <w:szCs w:val="20"/>
              </w:rPr>
            </w:pPr>
          </w:p>
        </w:tc>
        <w:tc>
          <w:tcPr>
            <w:tcW w:w="876" w:type="pct"/>
            <w:tcBorders>
              <w:top w:val="single" w:sz="4" w:space="0" w:color="auto"/>
              <w:left w:val="nil"/>
              <w:bottom w:val="single" w:sz="4" w:space="0" w:color="auto"/>
              <w:right w:val="nil"/>
            </w:tcBorders>
            <w:vAlign w:val="bottom"/>
          </w:tcPr>
          <w:p w14:paraId="696D366A" w14:textId="77777777" w:rsidR="0013173C" w:rsidRPr="00252D7B" w:rsidRDefault="0013173C" w:rsidP="00F6584E">
            <w:pPr>
              <w:spacing w:after="120"/>
              <w:jc w:val="right"/>
              <w:rPr>
                <w:rFonts w:asciiTheme="minorHAnsi" w:hAnsiTheme="minorHAnsi" w:cstheme="minorHAnsi"/>
                <w:b/>
                <w:sz w:val="20"/>
                <w:szCs w:val="20"/>
              </w:rPr>
            </w:pPr>
          </w:p>
        </w:tc>
        <w:tc>
          <w:tcPr>
            <w:tcW w:w="951" w:type="pct"/>
            <w:tcBorders>
              <w:top w:val="single" w:sz="4" w:space="0" w:color="auto"/>
              <w:left w:val="nil"/>
              <w:bottom w:val="single" w:sz="4" w:space="0" w:color="auto"/>
              <w:right w:val="nil"/>
            </w:tcBorders>
            <w:shd w:val="clear" w:color="auto" w:fill="auto"/>
            <w:noWrap/>
            <w:vAlign w:val="bottom"/>
          </w:tcPr>
          <w:p w14:paraId="1DCD6CB5" w14:textId="77777777" w:rsidR="0013173C" w:rsidRPr="00252D7B" w:rsidRDefault="0013173C" w:rsidP="00F6584E">
            <w:pPr>
              <w:spacing w:after="120"/>
              <w:jc w:val="right"/>
              <w:rPr>
                <w:rFonts w:asciiTheme="minorHAnsi" w:hAnsiTheme="minorHAnsi" w:cstheme="minorHAnsi"/>
                <w:b/>
                <w:sz w:val="20"/>
                <w:szCs w:val="20"/>
              </w:rPr>
            </w:pPr>
            <w:r w:rsidRPr="00252D7B">
              <w:rPr>
                <w:rFonts w:asciiTheme="minorHAnsi" w:hAnsiTheme="minorHAnsi" w:cstheme="minorHAnsi"/>
                <w:b/>
                <w:sz w:val="20"/>
                <w:szCs w:val="20"/>
              </w:rPr>
              <w:t>(510.827)</w:t>
            </w:r>
          </w:p>
        </w:tc>
        <w:tc>
          <w:tcPr>
            <w:tcW w:w="85" w:type="pct"/>
            <w:tcBorders>
              <w:top w:val="single" w:sz="4" w:space="0" w:color="auto"/>
              <w:left w:val="nil"/>
              <w:bottom w:val="single" w:sz="4" w:space="0" w:color="auto"/>
              <w:right w:val="nil"/>
            </w:tcBorders>
            <w:shd w:val="clear" w:color="auto" w:fill="auto"/>
            <w:noWrap/>
            <w:vAlign w:val="bottom"/>
          </w:tcPr>
          <w:p w14:paraId="6CD01A51" w14:textId="77777777" w:rsidR="0013173C" w:rsidRPr="00252D7B" w:rsidRDefault="0013173C" w:rsidP="00F6584E">
            <w:pPr>
              <w:spacing w:after="120"/>
              <w:rPr>
                <w:rFonts w:asciiTheme="minorHAnsi" w:hAnsiTheme="minorHAnsi" w:cstheme="minorHAnsi"/>
                <w:b/>
                <w:sz w:val="16"/>
                <w:szCs w:val="16"/>
              </w:rPr>
            </w:pPr>
          </w:p>
        </w:tc>
      </w:tr>
      <w:tr w:rsidR="0013173C" w:rsidRPr="00252D7B" w14:paraId="661F7B11" w14:textId="77777777" w:rsidTr="00F6584E">
        <w:trPr>
          <w:trHeight w:val="255"/>
        </w:trPr>
        <w:tc>
          <w:tcPr>
            <w:tcW w:w="2613" w:type="pct"/>
            <w:tcBorders>
              <w:top w:val="single" w:sz="4" w:space="0" w:color="auto"/>
              <w:left w:val="nil"/>
              <w:bottom w:val="single" w:sz="4" w:space="0" w:color="auto"/>
              <w:right w:val="nil"/>
            </w:tcBorders>
            <w:shd w:val="clear" w:color="auto" w:fill="auto"/>
            <w:noWrap/>
            <w:vAlign w:val="bottom"/>
          </w:tcPr>
          <w:p w14:paraId="2529492B" w14:textId="77777777" w:rsidR="0013173C" w:rsidRPr="00252D7B" w:rsidRDefault="0013173C" w:rsidP="00F6584E">
            <w:pPr>
              <w:spacing w:after="120"/>
              <w:rPr>
                <w:rFonts w:asciiTheme="minorHAnsi" w:hAnsiTheme="minorHAnsi" w:cstheme="minorHAnsi"/>
                <w:b/>
                <w:sz w:val="20"/>
                <w:szCs w:val="20"/>
              </w:rPr>
            </w:pPr>
            <w:r w:rsidRPr="00252D7B">
              <w:rPr>
                <w:rFonts w:asciiTheme="minorHAnsi" w:hAnsiTheme="minorHAnsi" w:cstheme="minorHAnsi"/>
                <w:b/>
                <w:sz w:val="20"/>
                <w:szCs w:val="20"/>
              </w:rPr>
              <w:t>SALDO DE CRÉDITO PREVIDENCIÁRIO EM 31/12/2021</w:t>
            </w:r>
          </w:p>
        </w:tc>
        <w:tc>
          <w:tcPr>
            <w:tcW w:w="339" w:type="pct"/>
            <w:tcBorders>
              <w:top w:val="single" w:sz="4" w:space="0" w:color="auto"/>
              <w:left w:val="nil"/>
              <w:bottom w:val="single" w:sz="4" w:space="0" w:color="auto"/>
              <w:right w:val="nil"/>
            </w:tcBorders>
            <w:shd w:val="clear" w:color="auto" w:fill="auto"/>
            <w:noWrap/>
            <w:vAlign w:val="bottom"/>
          </w:tcPr>
          <w:p w14:paraId="3BE8BD81" w14:textId="77777777" w:rsidR="0013173C" w:rsidRPr="00252D7B" w:rsidRDefault="0013173C" w:rsidP="00F6584E">
            <w:pPr>
              <w:spacing w:after="120"/>
              <w:rPr>
                <w:rFonts w:asciiTheme="minorHAnsi" w:hAnsiTheme="minorHAnsi" w:cstheme="minorHAnsi"/>
                <w:b/>
                <w:sz w:val="20"/>
                <w:szCs w:val="20"/>
              </w:rPr>
            </w:pPr>
          </w:p>
        </w:tc>
        <w:tc>
          <w:tcPr>
            <w:tcW w:w="135" w:type="pct"/>
            <w:tcBorders>
              <w:top w:val="single" w:sz="4" w:space="0" w:color="auto"/>
              <w:left w:val="nil"/>
              <w:bottom w:val="single" w:sz="4" w:space="0" w:color="auto"/>
              <w:right w:val="nil"/>
            </w:tcBorders>
            <w:shd w:val="clear" w:color="auto" w:fill="auto"/>
            <w:noWrap/>
            <w:vAlign w:val="bottom"/>
          </w:tcPr>
          <w:p w14:paraId="6ABAD142" w14:textId="77777777" w:rsidR="0013173C" w:rsidRPr="00252D7B" w:rsidRDefault="0013173C" w:rsidP="00F6584E">
            <w:pPr>
              <w:spacing w:after="120"/>
              <w:rPr>
                <w:rFonts w:asciiTheme="minorHAnsi" w:hAnsiTheme="minorHAnsi" w:cstheme="minorHAnsi"/>
                <w:b/>
                <w:sz w:val="20"/>
                <w:szCs w:val="20"/>
              </w:rPr>
            </w:pPr>
          </w:p>
        </w:tc>
        <w:tc>
          <w:tcPr>
            <w:tcW w:w="876" w:type="pct"/>
            <w:tcBorders>
              <w:top w:val="single" w:sz="4" w:space="0" w:color="auto"/>
              <w:left w:val="nil"/>
              <w:bottom w:val="single" w:sz="4" w:space="0" w:color="auto"/>
              <w:right w:val="nil"/>
            </w:tcBorders>
            <w:vAlign w:val="bottom"/>
          </w:tcPr>
          <w:p w14:paraId="1BFAB130" w14:textId="77777777" w:rsidR="0013173C" w:rsidRPr="00252D7B" w:rsidRDefault="0013173C" w:rsidP="00F6584E">
            <w:pPr>
              <w:spacing w:after="120"/>
              <w:jc w:val="right"/>
              <w:rPr>
                <w:rFonts w:asciiTheme="minorHAnsi" w:hAnsiTheme="minorHAnsi" w:cstheme="minorHAnsi"/>
                <w:b/>
                <w:sz w:val="20"/>
                <w:szCs w:val="20"/>
              </w:rPr>
            </w:pPr>
          </w:p>
        </w:tc>
        <w:tc>
          <w:tcPr>
            <w:tcW w:w="951" w:type="pct"/>
            <w:tcBorders>
              <w:top w:val="single" w:sz="4" w:space="0" w:color="auto"/>
              <w:left w:val="nil"/>
              <w:bottom w:val="single" w:sz="4" w:space="0" w:color="auto"/>
              <w:right w:val="nil"/>
            </w:tcBorders>
            <w:shd w:val="clear" w:color="auto" w:fill="auto"/>
            <w:noWrap/>
            <w:vAlign w:val="bottom"/>
          </w:tcPr>
          <w:p w14:paraId="7B6C3A9A" w14:textId="77777777" w:rsidR="0013173C" w:rsidRPr="00252D7B" w:rsidRDefault="0013173C" w:rsidP="00F6584E">
            <w:pPr>
              <w:spacing w:after="120"/>
              <w:jc w:val="right"/>
              <w:rPr>
                <w:rFonts w:asciiTheme="minorHAnsi" w:hAnsiTheme="minorHAnsi" w:cstheme="minorHAnsi"/>
                <w:b/>
                <w:sz w:val="20"/>
                <w:szCs w:val="20"/>
              </w:rPr>
            </w:pPr>
            <w:r w:rsidRPr="00252D7B">
              <w:rPr>
                <w:rFonts w:asciiTheme="minorHAnsi" w:hAnsiTheme="minorHAnsi" w:cstheme="minorHAnsi"/>
                <w:b/>
                <w:sz w:val="20"/>
                <w:szCs w:val="20"/>
              </w:rPr>
              <w:t>772.106</w:t>
            </w:r>
          </w:p>
        </w:tc>
        <w:tc>
          <w:tcPr>
            <w:tcW w:w="85" w:type="pct"/>
            <w:tcBorders>
              <w:top w:val="single" w:sz="4" w:space="0" w:color="auto"/>
              <w:left w:val="nil"/>
              <w:bottom w:val="single" w:sz="4" w:space="0" w:color="auto"/>
              <w:right w:val="nil"/>
            </w:tcBorders>
            <w:shd w:val="clear" w:color="auto" w:fill="auto"/>
            <w:noWrap/>
            <w:vAlign w:val="bottom"/>
          </w:tcPr>
          <w:p w14:paraId="021120AF" w14:textId="77777777" w:rsidR="0013173C" w:rsidRPr="00252D7B" w:rsidRDefault="0013173C" w:rsidP="00F6584E">
            <w:pPr>
              <w:spacing w:after="120"/>
              <w:rPr>
                <w:rFonts w:asciiTheme="minorHAnsi" w:hAnsiTheme="minorHAnsi" w:cstheme="minorHAnsi"/>
                <w:b/>
                <w:sz w:val="16"/>
                <w:szCs w:val="16"/>
              </w:rPr>
            </w:pPr>
          </w:p>
        </w:tc>
      </w:tr>
    </w:tbl>
    <w:p w14:paraId="60C11C6F" w14:textId="77777777" w:rsidR="0013173C" w:rsidRPr="00252D7B" w:rsidRDefault="0013173C" w:rsidP="0013173C">
      <w:pPr>
        <w:spacing w:before="120" w:after="120"/>
        <w:jc w:val="both"/>
        <w:rPr>
          <w:rFonts w:asciiTheme="minorHAnsi" w:hAnsiTheme="minorHAnsi" w:cstheme="minorHAnsi"/>
          <w:sz w:val="24"/>
          <w:szCs w:val="24"/>
        </w:rPr>
      </w:pPr>
    </w:p>
    <w:p w14:paraId="6B6CB653" w14:textId="77777777" w:rsidR="0013173C" w:rsidRPr="00252D7B" w:rsidRDefault="0013173C" w:rsidP="0013173C">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Os créditos previdenciários estão sendo compensados nas guias de pagamentos do INSS referentes às folhas de pagamentos da Valec e das extintas empresas Rede Ferroviária Federal S/A – RFFSA e Empresa Brasileira de Planejamento de Transportes – GEIPOT.</w:t>
      </w:r>
    </w:p>
    <w:p w14:paraId="449B6C7D" w14:textId="77777777" w:rsidR="0013173C" w:rsidRPr="00252D7B" w:rsidRDefault="0013173C" w:rsidP="0013173C">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No final do segundo trimestre de 2019, houve a suspensão das compensações de créditos previdenciários, para aguardar a homologação por parte da Receita Federal do Brasil referente aos créditos já compensados, visto que, caso a Receita Federal do Brasil negue provimento à demanda, a Valec deverá pagar com juros e multas todos os encargos que já foram compensados. </w:t>
      </w:r>
    </w:p>
    <w:p w14:paraId="199DC543" w14:textId="77777777" w:rsidR="0013173C" w:rsidRPr="00252D7B" w:rsidRDefault="0013173C" w:rsidP="0013173C">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Em dezembro de 2020, verificou-se que seria necessário realizar uma baixa por prescrição do direito a recuperar no valor de R$ 16 milhões do saldo de INSS a compensar, restando como saldo a compensar o valor de R$ R$ 1,6 milhão, o qual está sendo baixado proporcionalmente à medida que os créditos prescrevem.</w:t>
      </w:r>
    </w:p>
    <w:p w14:paraId="54A56A9D" w14:textId="77777777" w:rsidR="0013173C" w:rsidRPr="00252D7B" w:rsidRDefault="0013173C" w:rsidP="0013173C">
      <w:pPr>
        <w:spacing w:after="120"/>
        <w:jc w:val="both"/>
        <w:rPr>
          <w:rFonts w:asciiTheme="minorHAnsi" w:hAnsiTheme="minorHAnsi" w:cstheme="minorHAnsi"/>
        </w:rPr>
      </w:pPr>
    </w:p>
    <w:p w14:paraId="68F7E99E" w14:textId="77777777" w:rsidR="0013173C" w:rsidRPr="0081054B" w:rsidRDefault="0013173C" w:rsidP="0081054B">
      <w:pPr>
        <w:pStyle w:val="Ttulo4"/>
        <w:rPr>
          <w:rFonts w:asciiTheme="minorHAnsi" w:hAnsiTheme="minorHAnsi" w:cstheme="minorHAnsi"/>
        </w:rPr>
      </w:pPr>
      <w:bookmarkStart w:id="617" w:name="_Toc97918827"/>
      <w:bookmarkStart w:id="618" w:name="_Toc103680629"/>
      <w:r w:rsidRPr="0081054B">
        <w:rPr>
          <w:rFonts w:asciiTheme="minorHAnsi" w:hAnsiTheme="minorHAnsi" w:cstheme="minorHAnsi"/>
        </w:rPr>
        <w:t>Depósitos judiciais</w:t>
      </w:r>
      <w:bookmarkStart w:id="619" w:name="_Toc94012590"/>
      <w:bookmarkStart w:id="620" w:name="_Toc95830319"/>
      <w:bookmarkEnd w:id="609"/>
      <w:bookmarkEnd w:id="610"/>
      <w:bookmarkEnd w:id="617"/>
      <w:bookmarkEnd w:id="618"/>
    </w:p>
    <w:p w14:paraId="09CA3169" w14:textId="77777777" w:rsidR="0013173C" w:rsidRPr="00252D7B" w:rsidRDefault="0013173C" w:rsidP="0013173C">
      <w:pPr>
        <w:rPr>
          <w:rFonts w:asciiTheme="minorHAnsi" w:hAnsiTheme="minorHAnsi" w:cstheme="minorHAnsi"/>
        </w:rPr>
      </w:pPr>
    </w:p>
    <w:p w14:paraId="2CD648E9" w14:textId="37B3DEB3" w:rsidR="0013173C" w:rsidRPr="005059B1" w:rsidRDefault="0013173C" w:rsidP="005059B1">
      <w:pPr>
        <w:pStyle w:val="Legenda"/>
        <w:jc w:val="center"/>
        <w:rPr>
          <w:rFonts w:asciiTheme="minorHAnsi" w:hAnsiTheme="minorHAnsi" w:cstheme="minorHAnsi"/>
          <w:sz w:val="20"/>
          <w:szCs w:val="20"/>
        </w:rPr>
      </w:pPr>
      <w:bookmarkStart w:id="621" w:name="_Toc97918909"/>
      <w:bookmarkStart w:id="622" w:name="_Toc103680695"/>
      <w:r w:rsidRPr="00252D7B">
        <w:rPr>
          <w:rFonts w:asciiTheme="minorHAnsi" w:hAnsiTheme="minorHAnsi" w:cstheme="minorHAnsi"/>
          <w:sz w:val="20"/>
          <w:szCs w:val="20"/>
        </w:rPr>
        <w:t xml:space="preserve">Tabela </w:t>
      </w:r>
      <w:r w:rsidRPr="005059B1">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Tabela \* ARABIC </w:instrText>
      </w:r>
      <w:r w:rsidRPr="005059B1">
        <w:rPr>
          <w:rFonts w:asciiTheme="minorHAnsi" w:hAnsiTheme="minorHAnsi" w:cstheme="minorHAnsi"/>
          <w:sz w:val="20"/>
          <w:szCs w:val="20"/>
        </w:rPr>
        <w:fldChar w:fldCharType="separate"/>
      </w:r>
      <w:r w:rsidR="00C12888">
        <w:rPr>
          <w:rFonts w:asciiTheme="minorHAnsi" w:hAnsiTheme="minorHAnsi" w:cstheme="minorHAnsi"/>
          <w:noProof/>
          <w:sz w:val="20"/>
          <w:szCs w:val="20"/>
        </w:rPr>
        <w:t>33</w:t>
      </w:r>
      <w:r w:rsidRPr="005059B1">
        <w:rPr>
          <w:rFonts w:asciiTheme="minorHAnsi" w:hAnsiTheme="minorHAnsi" w:cstheme="minorHAnsi"/>
          <w:sz w:val="20"/>
          <w:szCs w:val="20"/>
        </w:rPr>
        <w:fldChar w:fldCharType="end"/>
      </w:r>
      <w:r w:rsidRPr="00252D7B">
        <w:rPr>
          <w:rFonts w:asciiTheme="minorHAnsi" w:hAnsiTheme="minorHAnsi" w:cstheme="minorHAnsi"/>
          <w:sz w:val="20"/>
          <w:szCs w:val="20"/>
        </w:rPr>
        <w:t xml:space="preserve"> – Depósitos judiciais</w:t>
      </w:r>
      <w:bookmarkEnd w:id="621"/>
      <w:bookmarkEnd w:id="622"/>
    </w:p>
    <w:tbl>
      <w:tblPr>
        <w:tblW w:w="5000" w:type="pct"/>
        <w:tblCellMar>
          <w:left w:w="70" w:type="dxa"/>
          <w:right w:w="70" w:type="dxa"/>
        </w:tblCellMar>
        <w:tblLook w:val="04A0" w:firstRow="1" w:lastRow="0" w:firstColumn="1" w:lastColumn="0" w:noHBand="0" w:noVBand="1"/>
      </w:tblPr>
      <w:tblGrid>
        <w:gridCol w:w="1851"/>
        <w:gridCol w:w="1600"/>
        <w:gridCol w:w="1214"/>
        <w:gridCol w:w="1362"/>
        <w:gridCol w:w="1861"/>
        <w:gridCol w:w="1858"/>
      </w:tblGrid>
      <w:tr w:rsidR="0013173C" w:rsidRPr="00252D7B" w14:paraId="00C8BE95" w14:textId="77777777" w:rsidTr="00F6584E">
        <w:trPr>
          <w:trHeight w:hRule="exact" w:val="227"/>
        </w:trPr>
        <w:tc>
          <w:tcPr>
            <w:tcW w:w="949" w:type="pct"/>
            <w:tcBorders>
              <w:top w:val="nil"/>
              <w:left w:val="nil"/>
              <w:bottom w:val="single" w:sz="4" w:space="0" w:color="auto"/>
              <w:right w:val="nil"/>
            </w:tcBorders>
            <w:shd w:val="clear" w:color="auto" w:fill="auto"/>
            <w:noWrap/>
            <w:vAlign w:val="bottom"/>
            <w:hideMark/>
          </w:tcPr>
          <w:p w14:paraId="33B7DC3A" w14:textId="77777777" w:rsidR="0013173C" w:rsidRPr="00252D7B" w:rsidRDefault="0013173C" w:rsidP="00F6584E">
            <w:pPr>
              <w:spacing w:after="120"/>
              <w:rPr>
                <w:rFonts w:asciiTheme="minorHAnsi" w:hAnsiTheme="minorHAnsi" w:cstheme="minorHAnsi"/>
                <w:b/>
                <w:bCs/>
                <w:sz w:val="20"/>
                <w:szCs w:val="20"/>
              </w:rPr>
            </w:pPr>
            <w:r w:rsidRPr="00252D7B">
              <w:rPr>
                <w:rFonts w:asciiTheme="minorHAnsi" w:hAnsiTheme="minorHAnsi" w:cstheme="minorHAnsi"/>
                <w:b/>
                <w:bCs/>
                <w:sz w:val="20"/>
                <w:szCs w:val="20"/>
              </w:rPr>
              <w:t>AÇÕES</w:t>
            </w:r>
          </w:p>
        </w:tc>
        <w:tc>
          <w:tcPr>
            <w:tcW w:w="821" w:type="pct"/>
            <w:tcBorders>
              <w:top w:val="nil"/>
              <w:left w:val="nil"/>
              <w:bottom w:val="single" w:sz="4" w:space="0" w:color="auto"/>
              <w:right w:val="nil"/>
            </w:tcBorders>
            <w:shd w:val="clear" w:color="auto" w:fill="auto"/>
            <w:vAlign w:val="bottom"/>
            <w:hideMark/>
          </w:tcPr>
          <w:p w14:paraId="2F885EC9" w14:textId="77777777" w:rsidR="0013173C" w:rsidRPr="00252D7B" w:rsidRDefault="0013173C" w:rsidP="00F6584E">
            <w:pPr>
              <w:spacing w:after="120"/>
              <w:jc w:val="center"/>
              <w:rPr>
                <w:rFonts w:asciiTheme="minorHAnsi" w:hAnsiTheme="minorHAnsi" w:cstheme="minorHAnsi"/>
                <w:b/>
                <w:bCs/>
                <w:sz w:val="20"/>
                <w:szCs w:val="20"/>
              </w:rPr>
            </w:pPr>
            <w:r w:rsidRPr="00252D7B">
              <w:rPr>
                <w:rFonts w:asciiTheme="minorHAnsi" w:hAnsiTheme="minorHAnsi" w:cstheme="minorHAnsi"/>
                <w:b/>
                <w:bCs/>
                <w:sz w:val="20"/>
                <w:szCs w:val="20"/>
              </w:rPr>
              <w:t xml:space="preserve">SALDO EM 31/12/2020 </w:t>
            </w:r>
          </w:p>
        </w:tc>
        <w:tc>
          <w:tcPr>
            <w:tcW w:w="623" w:type="pct"/>
            <w:tcBorders>
              <w:top w:val="nil"/>
              <w:left w:val="nil"/>
              <w:bottom w:val="single" w:sz="4" w:space="0" w:color="auto"/>
              <w:right w:val="nil"/>
            </w:tcBorders>
            <w:shd w:val="clear" w:color="auto" w:fill="auto"/>
            <w:vAlign w:val="bottom"/>
            <w:hideMark/>
          </w:tcPr>
          <w:p w14:paraId="1DA903F6" w14:textId="77777777" w:rsidR="0013173C" w:rsidRPr="00252D7B" w:rsidRDefault="0013173C" w:rsidP="00F6584E">
            <w:pPr>
              <w:spacing w:after="120"/>
              <w:jc w:val="center"/>
              <w:rPr>
                <w:rFonts w:asciiTheme="minorHAnsi" w:hAnsiTheme="minorHAnsi" w:cstheme="minorHAnsi"/>
                <w:b/>
                <w:bCs/>
                <w:sz w:val="20"/>
                <w:szCs w:val="20"/>
              </w:rPr>
            </w:pPr>
            <w:r w:rsidRPr="00252D7B">
              <w:rPr>
                <w:rFonts w:asciiTheme="minorHAnsi" w:hAnsiTheme="minorHAnsi" w:cstheme="minorHAnsi"/>
                <w:b/>
                <w:bCs/>
                <w:sz w:val="20"/>
                <w:szCs w:val="20"/>
              </w:rPr>
              <w:t>INGRESSO</w:t>
            </w:r>
          </w:p>
        </w:tc>
        <w:tc>
          <w:tcPr>
            <w:tcW w:w="699" w:type="pct"/>
            <w:tcBorders>
              <w:top w:val="nil"/>
              <w:left w:val="nil"/>
              <w:bottom w:val="single" w:sz="4" w:space="0" w:color="auto"/>
              <w:right w:val="nil"/>
            </w:tcBorders>
            <w:shd w:val="clear" w:color="auto" w:fill="auto"/>
            <w:vAlign w:val="bottom"/>
            <w:hideMark/>
          </w:tcPr>
          <w:p w14:paraId="7809BE05" w14:textId="77777777" w:rsidR="0013173C" w:rsidRPr="00252D7B" w:rsidRDefault="0013173C" w:rsidP="00F6584E">
            <w:pPr>
              <w:spacing w:after="120"/>
              <w:jc w:val="center"/>
              <w:rPr>
                <w:rFonts w:asciiTheme="minorHAnsi" w:hAnsiTheme="minorHAnsi" w:cstheme="minorHAnsi"/>
                <w:b/>
                <w:bCs/>
                <w:sz w:val="20"/>
                <w:szCs w:val="20"/>
              </w:rPr>
            </w:pPr>
            <w:r w:rsidRPr="00252D7B">
              <w:rPr>
                <w:rFonts w:asciiTheme="minorHAnsi" w:hAnsiTheme="minorHAnsi" w:cstheme="minorHAnsi"/>
                <w:b/>
                <w:bCs/>
                <w:sz w:val="20"/>
                <w:szCs w:val="20"/>
              </w:rPr>
              <w:t>BAIXA</w:t>
            </w:r>
          </w:p>
        </w:tc>
        <w:tc>
          <w:tcPr>
            <w:tcW w:w="955" w:type="pct"/>
            <w:tcBorders>
              <w:top w:val="nil"/>
              <w:left w:val="nil"/>
              <w:right w:val="nil"/>
            </w:tcBorders>
            <w:vAlign w:val="bottom"/>
          </w:tcPr>
          <w:p w14:paraId="28CBB4DD" w14:textId="77777777" w:rsidR="0013173C" w:rsidRPr="00252D7B" w:rsidRDefault="0013173C" w:rsidP="00F6584E">
            <w:pPr>
              <w:spacing w:after="120"/>
              <w:jc w:val="center"/>
              <w:rPr>
                <w:rFonts w:asciiTheme="minorHAnsi" w:hAnsiTheme="minorHAnsi" w:cstheme="minorHAnsi"/>
                <w:b/>
                <w:bCs/>
                <w:sz w:val="20"/>
                <w:szCs w:val="20"/>
              </w:rPr>
            </w:pPr>
            <w:r w:rsidRPr="00252D7B">
              <w:rPr>
                <w:rFonts w:asciiTheme="minorHAnsi" w:hAnsiTheme="minorHAnsi" w:cstheme="minorHAnsi"/>
                <w:b/>
                <w:bCs/>
                <w:sz w:val="20"/>
                <w:szCs w:val="20"/>
              </w:rPr>
              <w:t>BAIXA ATUAL.  MONET</w:t>
            </w:r>
          </w:p>
        </w:tc>
        <w:tc>
          <w:tcPr>
            <w:tcW w:w="954" w:type="pct"/>
            <w:tcBorders>
              <w:top w:val="nil"/>
              <w:left w:val="nil"/>
              <w:bottom w:val="single" w:sz="4" w:space="0" w:color="auto"/>
              <w:right w:val="nil"/>
            </w:tcBorders>
            <w:shd w:val="clear" w:color="auto" w:fill="auto"/>
            <w:vAlign w:val="bottom"/>
            <w:hideMark/>
          </w:tcPr>
          <w:p w14:paraId="29E63D41" w14:textId="77777777" w:rsidR="0013173C" w:rsidRPr="00252D7B" w:rsidRDefault="0013173C" w:rsidP="00F6584E">
            <w:pPr>
              <w:spacing w:after="120"/>
              <w:jc w:val="center"/>
              <w:rPr>
                <w:rFonts w:asciiTheme="minorHAnsi" w:hAnsiTheme="minorHAnsi" w:cstheme="minorHAnsi"/>
                <w:b/>
                <w:bCs/>
                <w:sz w:val="20"/>
                <w:szCs w:val="20"/>
              </w:rPr>
            </w:pPr>
            <w:r w:rsidRPr="00252D7B">
              <w:rPr>
                <w:rFonts w:asciiTheme="minorHAnsi" w:hAnsiTheme="minorHAnsi" w:cstheme="minorHAnsi"/>
                <w:b/>
                <w:bCs/>
                <w:sz w:val="20"/>
                <w:szCs w:val="20"/>
              </w:rPr>
              <w:t>SALDO EM 31/12/2021</w:t>
            </w:r>
          </w:p>
        </w:tc>
      </w:tr>
      <w:tr w:rsidR="0013173C" w:rsidRPr="00252D7B" w14:paraId="6EE7FEDD" w14:textId="77777777" w:rsidTr="00F6584E">
        <w:trPr>
          <w:trHeight w:hRule="exact" w:val="227"/>
        </w:trPr>
        <w:tc>
          <w:tcPr>
            <w:tcW w:w="949" w:type="pct"/>
            <w:tcBorders>
              <w:top w:val="single" w:sz="4" w:space="0" w:color="auto"/>
              <w:left w:val="nil"/>
              <w:bottom w:val="nil"/>
              <w:right w:val="nil"/>
            </w:tcBorders>
            <w:shd w:val="clear" w:color="auto" w:fill="auto"/>
            <w:noWrap/>
            <w:vAlign w:val="center"/>
            <w:hideMark/>
          </w:tcPr>
          <w:p w14:paraId="3044170C" w14:textId="77777777" w:rsidR="0013173C" w:rsidRPr="00252D7B" w:rsidRDefault="0013173C" w:rsidP="00F6584E">
            <w:pPr>
              <w:spacing w:after="120"/>
              <w:rPr>
                <w:rFonts w:asciiTheme="minorHAnsi" w:hAnsiTheme="minorHAnsi" w:cstheme="minorHAnsi"/>
                <w:sz w:val="20"/>
                <w:szCs w:val="20"/>
              </w:rPr>
            </w:pPr>
            <w:r w:rsidRPr="00252D7B">
              <w:rPr>
                <w:rFonts w:asciiTheme="minorHAnsi" w:hAnsiTheme="minorHAnsi" w:cstheme="minorHAnsi"/>
                <w:sz w:val="20"/>
                <w:szCs w:val="20"/>
              </w:rPr>
              <w:t>Cíveis</w:t>
            </w:r>
          </w:p>
        </w:tc>
        <w:tc>
          <w:tcPr>
            <w:tcW w:w="821" w:type="pct"/>
            <w:tcBorders>
              <w:top w:val="single" w:sz="4" w:space="0" w:color="auto"/>
              <w:left w:val="nil"/>
              <w:bottom w:val="nil"/>
              <w:right w:val="nil"/>
            </w:tcBorders>
            <w:shd w:val="clear" w:color="auto" w:fill="auto"/>
            <w:noWrap/>
            <w:vAlign w:val="center"/>
            <w:hideMark/>
          </w:tcPr>
          <w:p w14:paraId="3F34F4B0" w14:textId="77777777" w:rsidR="0013173C" w:rsidRPr="00252D7B" w:rsidRDefault="0013173C" w:rsidP="00F6584E">
            <w:pPr>
              <w:spacing w:after="120"/>
              <w:jc w:val="center"/>
              <w:rPr>
                <w:rFonts w:asciiTheme="minorHAnsi" w:hAnsiTheme="minorHAnsi" w:cstheme="minorHAnsi"/>
                <w:sz w:val="20"/>
                <w:szCs w:val="20"/>
              </w:rPr>
            </w:pPr>
            <w:r w:rsidRPr="00252D7B">
              <w:rPr>
                <w:rFonts w:asciiTheme="minorHAnsi" w:hAnsiTheme="minorHAnsi" w:cstheme="minorHAnsi"/>
                <w:sz w:val="20"/>
                <w:szCs w:val="20"/>
              </w:rPr>
              <w:t>51.641.802</w:t>
            </w:r>
          </w:p>
        </w:tc>
        <w:tc>
          <w:tcPr>
            <w:tcW w:w="623" w:type="pct"/>
            <w:tcBorders>
              <w:top w:val="single" w:sz="4" w:space="0" w:color="auto"/>
              <w:left w:val="nil"/>
              <w:bottom w:val="nil"/>
              <w:right w:val="nil"/>
            </w:tcBorders>
            <w:shd w:val="clear" w:color="auto" w:fill="auto"/>
            <w:noWrap/>
            <w:vAlign w:val="center"/>
          </w:tcPr>
          <w:p w14:paraId="6D9BD44C" w14:textId="77777777" w:rsidR="0013173C" w:rsidRPr="00252D7B" w:rsidRDefault="0013173C" w:rsidP="00F6584E">
            <w:pPr>
              <w:spacing w:after="120"/>
              <w:jc w:val="center"/>
              <w:rPr>
                <w:rFonts w:asciiTheme="minorHAnsi" w:hAnsiTheme="minorHAnsi" w:cstheme="minorHAnsi"/>
                <w:sz w:val="20"/>
                <w:szCs w:val="20"/>
              </w:rPr>
            </w:pPr>
            <w:r w:rsidRPr="00252D7B">
              <w:rPr>
                <w:rFonts w:asciiTheme="minorHAnsi" w:hAnsiTheme="minorHAnsi" w:cstheme="minorHAnsi"/>
                <w:sz w:val="20"/>
                <w:szCs w:val="20"/>
              </w:rPr>
              <w:t>0</w:t>
            </w:r>
          </w:p>
        </w:tc>
        <w:tc>
          <w:tcPr>
            <w:tcW w:w="699" w:type="pct"/>
            <w:tcBorders>
              <w:top w:val="single" w:sz="4" w:space="0" w:color="auto"/>
              <w:left w:val="nil"/>
              <w:bottom w:val="nil"/>
              <w:right w:val="nil"/>
            </w:tcBorders>
            <w:shd w:val="clear" w:color="auto" w:fill="auto"/>
            <w:noWrap/>
            <w:vAlign w:val="center"/>
          </w:tcPr>
          <w:p w14:paraId="0E2C4D5E" w14:textId="77777777" w:rsidR="0013173C" w:rsidRPr="00252D7B" w:rsidRDefault="0013173C" w:rsidP="00F6584E">
            <w:pPr>
              <w:spacing w:after="120"/>
              <w:jc w:val="center"/>
              <w:rPr>
                <w:rFonts w:asciiTheme="minorHAnsi" w:hAnsiTheme="minorHAnsi" w:cstheme="minorHAnsi"/>
                <w:sz w:val="20"/>
                <w:szCs w:val="20"/>
              </w:rPr>
            </w:pPr>
            <w:r w:rsidRPr="00252D7B">
              <w:rPr>
                <w:rFonts w:asciiTheme="minorHAnsi" w:hAnsiTheme="minorHAnsi" w:cstheme="minorHAnsi"/>
                <w:sz w:val="20"/>
                <w:szCs w:val="20"/>
              </w:rPr>
              <w:t>0</w:t>
            </w:r>
          </w:p>
        </w:tc>
        <w:tc>
          <w:tcPr>
            <w:tcW w:w="955" w:type="pct"/>
            <w:tcBorders>
              <w:top w:val="single" w:sz="4" w:space="0" w:color="auto"/>
              <w:left w:val="nil"/>
              <w:bottom w:val="nil"/>
              <w:right w:val="nil"/>
            </w:tcBorders>
            <w:vAlign w:val="center"/>
          </w:tcPr>
          <w:p w14:paraId="54A0B609" w14:textId="77777777" w:rsidR="0013173C" w:rsidRPr="00252D7B" w:rsidRDefault="0013173C" w:rsidP="00F6584E">
            <w:pPr>
              <w:spacing w:after="120"/>
              <w:jc w:val="center"/>
              <w:rPr>
                <w:rFonts w:asciiTheme="minorHAnsi" w:hAnsiTheme="minorHAnsi" w:cstheme="minorHAnsi"/>
                <w:sz w:val="20"/>
                <w:szCs w:val="20"/>
                <w:highlight w:val="yellow"/>
              </w:rPr>
            </w:pPr>
            <w:r w:rsidRPr="00252D7B">
              <w:rPr>
                <w:rFonts w:asciiTheme="minorHAnsi" w:hAnsiTheme="minorHAnsi" w:cstheme="minorHAnsi"/>
                <w:sz w:val="20"/>
                <w:szCs w:val="20"/>
              </w:rPr>
              <w:t>0</w:t>
            </w:r>
          </w:p>
        </w:tc>
        <w:tc>
          <w:tcPr>
            <w:tcW w:w="954" w:type="pct"/>
            <w:tcBorders>
              <w:top w:val="single" w:sz="4" w:space="0" w:color="auto"/>
              <w:left w:val="nil"/>
              <w:bottom w:val="nil"/>
              <w:right w:val="nil"/>
            </w:tcBorders>
            <w:shd w:val="clear" w:color="auto" w:fill="auto"/>
            <w:noWrap/>
            <w:vAlign w:val="center"/>
          </w:tcPr>
          <w:p w14:paraId="34745B86" w14:textId="77777777" w:rsidR="0013173C" w:rsidRPr="00252D7B" w:rsidRDefault="0013173C" w:rsidP="00F6584E">
            <w:pPr>
              <w:spacing w:after="120"/>
              <w:jc w:val="center"/>
              <w:rPr>
                <w:rFonts w:asciiTheme="minorHAnsi" w:hAnsiTheme="minorHAnsi" w:cstheme="minorHAnsi"/>
                <w:sz w:val="20"/>
                <w:szCs w:val="20"/>
              </w:rPr>
            </w:pPr>
            <w:r w:rsidRPr="00252D7B">
              <w:rPr>
                <w:rFonts w:asciiTheme="minorHAnsi" w:hAnsiTheme="minorHAnsi" w:cstheme="minorHAnsi"/>
                <w:sz w:val="20"/>
                <w:szCs w:val="20"/>
              </w:rPr>
              <w:t>51.641.802</w:t>
            </w:r>
          </w:p>
        </w:tc>
      </w:tr>
      <w:tr w:rsidR="0013173C" w:rsidRPr="00252D7B" w14:paraId="60CE2CEE" w14:textId="77777777" w:rsidTr="00F6584E">
        <w:trPr>
          <w:trHeight w:hRule="exact" w:val="227"/>
        </w:trPr>
        <w:tc>
          <w:tcPr>
            <w:tcW w:w="949" w:type="pct"/>
            <w:tcBorders>
              <w:top w:val="nil"/>
              <w:left w:val="nil"/>
              <w:bottom w:val="nil"/>
              <w:right w:val="nil"/>
            </w:tcBorders>
            <w:shd w:val="clear" w:color="auto" w:fill="auto"/>
            <w:noWrap/>
            <w:vAlign w:val="center"/>
            <w:hideMark/>
          </w:tcPr>
          <w:p w14:paraId="552966A9" w14:textId="77777777" w:rsidR="0013173C" w:rsidRPr="00252D7B" w:rsidRDefault="0013173C" w:rsidP="00F6584E">
            <w:pPr>
              <w:spacing w:after="120"/>
              <w:rPr>
                <w:rFonts w:asciiTheme="minorHAnsi" w:hAnsiTheme="minorHAnsi" w:cstheme="minorHAnsi"/>
                <w:sz w:val="20"/>
                <w:szCs w:val="20"/>
              </w:rPr>
            </w:pPr>
            <w:r w:rsidRPr="00252D7B">
              <w:rPr>
                <w:rFonts w:asciiTheme="minorHAnsi" w:hAnsiTheme="minorHAnsi" w:cstheme="minorHAnsi"/>
                <w:sz w:val="20"/>
                <w:szCs w:val="20"/>
              </w:rPr>
              <w:t>Trabalhistas</w:t>
            </w:r>
          </w:p>
        </w:tc>
        <w:tc>
          <w:tcPr>
            <w:tcW w:w="821" w:type="pct"/>
            <w:tcBorders>
              <w:top w:val="nil"/>
              <w:left w:val="nil"/>
              <w:bottom w:val="nil"/>
              <w:right w:val="nil"/>
            </w:tcBorders>
            <w:shd w:val="clear" w:color="auto" w:fill="auto"/>
            <w:noWrap/>
            <w:vAlign w:val="center"/>
            <w:hideMark/>
          </w:tcPr>
          <w:p w14:paraId="30543D55" w14:textId="77777777" w:rsidR="0013173C" w:rsidRPr="00252D7B" w:rsidRDefault="0013173C" w:rsidP="00F6584E">
            <w:pPr>
              <w:spacing w:after="120"/>
              <w:jc w:val="center"/>
              <w:rPr>
                <w:rFonts w:asciiTheme="minorHAnsi" w:hAnsiTheme="minorHAnsi" w:cstheme="minorHAnsi"/>
                <w:sz w:val="20"/>
                <w:szCs w:val="20"/>
              </w:rPr>
            </w:pPr>
            <w:r w:rsidRPr="00252D7B">
              <w:rPr>
                <w:rFonts w:asciiTheme="minorHAnsi" w:hAnsiTheme="minorHAnsi" w:cstheme="minorHAnsi"/>
                <w:sz w:val="20"/>
                <w:szCs w:val="20"/>
              </w:rPr>
              <w:t>38.513.185</w:t>
            </w:r>
          </w:p>
        </w:tc>
        <w:tc>
          <w:tcPr>
            <w:tcW w:w="623" w:type="pct"/>
            <w:tcBorders>
              <w:top w:val="nil"/>
              <w:left w:val="nil"/>
              <w:bottom w:val="nil"/>
              <w:right w:val="nil"/>
            </w:tcBorders>
            <w:shd w:val="clear" w:color="auto" w:fill="auto"/>
            <w:noWrap/>
            <w:vAlign w:val="center"/>
          </w:tcPr>
          <w:p w14:paraId="2AC1BAD9" w14:textId="77777777" w:rsidR="0013173C" w:rsidRPr="00252D7B" w:rsidRDefault="0013173C" w:rsidP="00F6584E">
            <w:pPr>
              <w:spacing w:after="120"/>
              <w:jc w:val="center"/>
              <w:rPr>
                <w:rFonts w:asciiTheme="minorHAnsi" w:hAnsiTheme="minorHAnsi" w:cstheme="minorHAnsi"/>
                <w:sz w:val="20"/>
                <w:szCs w:val="20"/>
              </w:rPr>
            </w:pPr>
            <w:r w:rsidRPr="00252D7B">
              <w:rPr>
                <w:rFonts w:asciiTheme="minorHAnsi" w:hAnsiTheme="minorHAnsi" w:cstheme="minorHAnsi"/>
                <w:sz w:val="20"/>
                <w:szCs w:val="20"/>
              </w:rPr>
              <w:t>353.918</w:t>
            </w:r>
          </w:p>
        </w:tc>
        <w:tc>
          <w:tcPr>
            <w:tcW w:w="699" w:type="pct"/>
            <w:tcBorders>
              <w:top w:val="nil"/>
              <w:left w:val="nil"/>
              <w:bottom w:val="nil"/>
              <w:right w:val="nil"/>
            </w:tcBorders>
            <w:shd w:val="clear" w:color="auto" w:fill="auto"/>
            <w:noWrap/>
            <w:vAlign w:val="center"/>
          </w:tcPr>
          <w:p w14:paraId="6529EFEB" w14:textId="77777777" w:rsidR="0013173C" w:rsidRPr="00252D7B" w:rsidRDefault="0013173C" w:rsidP="00F6584E">
            <w:pPr>
              <w:spacing w:after="120"/>
              <w:jc w:val="center"/>
              <w:rPr>
                <w:rFonts w:asciiTheme="minorHAnsi" w:hAnsiTheme="minorHAnsi" w:cstheme="minorHAnsi"/>
                <w:sz w:val="20"/>
                <w:szCs w:val="20"/>
              </w:rPr>
            </w:pPr>
            <w:r w:rsidRPr="00252D7B">
              <w:rPr>
                <w:rFonts w:asciiTheme="minorHAnsi" w:hAnsiTheme="minorHAnsi" w:cstheme="minorHAnsi"/>
                <w:sz w:val="20"/>
                <w:szCs w:val="20"/>
              </w:rPr>
              <w:t>(709.936)</w:t>
            </w:r>
          </w:p>
        </w:tc>
        <w:tc>
          <w:tcPr>
            <w:tcW w:w="955" w:type="pct"/>
            <w:tcBorders>
              <w:top w:val="nil"/>
              <w:left w:val="nil"/>
              <w:bottom w:val="nil"/>
              <w:right w:val="nil"/>
            </w:tcBorders>
            <w:vAlign w:val="center"/>
          </w:tcPr>
          <w:p w14:paraId="14E60974" w14:textId="77777777" w:rsidR="0013173C" w:rsidRPr="00252D7B" w:rsidRDefault="0013173C" w:rsidP="00F6584E">
            <w:pPr>
              <w:spacing w:after="120"/>
              <w:jc w:val="center"/>
              <w:rPr>
                <w:rFonts w:asciiTheme="minorHAnsi" w:hAnsiTheme="minorHAnsi" w:cstheme="minorHAnsi"/>
                <w:sz w:val="20"/>
                <w:szCs w:val="20"/>
              </w:rPr>
            </w:pPr>
            <w:r w:rsidRPr="00252D7B">
              <w:rPr>
                <w:rFonts w:asciiTheme="minorHAnsi" w:hAnsiTheme="minorHAnsi" w:cstheme="minorHAnsi"/>
                <w:sz w:val="20"/>
                <w:szCs w:val="20"/>
              </w:rPr>
              <w:t>(85.340)</w:t>
            </w:r>
          </w:p>
        </w:tc>
        <w:tc>
          <w:tcPr>
            <w:tcW w:w="954" w:type="pct"/>
            <w:tcBorders>
              <w:top w:val="nil"/>
              <w:left w:val="nil"/>
              <w:bottom w:val="nil"/>
              <w:right w:val="nil"/>
            </w:tcBorders>
            <w:shd w:val="clear" w:color="auto" w:fill="auto"/>
            <w:noWrap/>
            <w:vAlign w:val="center"/>
          </w:tcPr>
          <w:p w14:paraId="58055D03" w14:textId="77777777" w:rsidR="0013173C" w:rsidRPr="00252D7B" w:rsidRDefault="0013173C" w:rsidP="00F6584E">
            <w:pPr>
              <w:spacing w:after="120"/>
              <w:jc w:val="center"/>
              <w:rPr>
                <w:rFonts w:asciiTheme="minorHAnsi" w:hAnsiTheme="minorHAnsi" w:cstheme="minorHAnsi"/>
                <w:sz w:val="20"/>
                <w:szCs w:val="20"/>
              </w:rPr>
            </w:pPr>
            <w:r w:rsidRPr="00252D7B">
              <w:rPr>
                <w:rFonts w:asciiTheme="minorHAnsi" w:hAnsiTheme="minorHAnsi" w:cstheme="minorHAnsi"/>
                <w:sz w:val="20"/>
                <w:szCs w:val="20"/>
              </w:rPr>
              <w:t>38.071.827</w:t>
            </w:r>
          </w:p>
        </w:tc>
      </w:tr>
      <w:tr w:rsidR="0013173C" w:rsidRPr="00252D7B" w14:paraId="58F59F41" w14:textId="77777777" w:rsidTr="00F6584E">
        <w:trPr>
          <w:trHeight w:hRule="exact" w:val="227"/>
        </w:trPr>
        <w:tc>
          <w:tcPr>
            <w:tcW w:w="949" w:type="pct"/>
            <w:tcBorders>
              <w:top w:val="single" w:sz="4" w:space="0" w:color="auto"/>
              <w:left w:val="nil"/>
              <w:bottom w:val="single" w:sz="4" w:space="0" w:color="auto"/>
              <w:right w:val="nil"/>
            </w:tcBorders>
            <w:shd w:val="clear" w:color="auto" w:fill="auto"/>
            <w:noWrap/>
            <w:vAlign w:val="center"/>
            <w:hideMark/>
          </w:tcPr>
          <w:p w14:paraId="609E956E" w14:textId="77777777" w:rsidR="0013173C" w:rsidRPr="00252D7B" w:rsidRDefault="0013173C" w:rsidP="00F6584E">
            <w:pPr>
              <w:spacing w:after="120"/>
              <w:rPr>
                <w:rFonts w:asciiTheme="minorHAnsi" w:hAnsiTheme="minorHAnsi" w:cstheme="minorHAnsi"/>
                <w:b/>
                <w:bCs/>
                <w:sz w:val="20"/>
                <w:szCs w:val="20"/>
              </w:rPr>
            </w:pPr>
            <w:r w:rsidRPr="00252D7B">
              <w:rPr>
                <w:rFonts w:asciiTheme="minorHAnsi" w:hAnsiTheme="minorHAnsi" w:cstheme="minorHAnsi"/>
                <w:b/>
                <w:bCs/>
                <w:sz w:val="20"/>
                <w:szCs w:val="20"/>
              </w:rPr>
              <w:t>TOTAL</w:t>
            </w:r>
          </w:p>
        </w:tc>
        <w:tc>
          <w:tcPr>
            <w:tcW w:w="821" w:type="pct"/>
            <w:tcBorders>
              <w:top w:val="single" w:sz="4" w:space="0" w:color="auto"/>
              <w:left w:val="nil"/>
              <w:bottom w:val="single" w:sz="4" w:space="0" w:color="auto"/>
              <w:right w:val="nil"/>
            </w:tcBorders>
            <w:shd w:val="clear" w:color="auto" w:fill="auto"/>
            <w:noWrap/>
            <w:vAlign w:val="center"/>
            <w:hideMark/>
          </w:tcPr>
          <w:p w14:paraId="3ED7772D" w14:textId="77777777" w:rsidR="0013173C" w:rsidRPr="00252D7B" w:rsidRDefault="0013173C" w:rsidP="00F6584E">
            <w:pPr>
              <w:spacing w:after="120"/>
              <w:jc w:val="center"/>
              <w:rPr>
                <w:rFonts w:asciiTheme="minorHAnsi" w:hAnsiTheme="minorHAnsi" w:cstheme="minorHAnsi"/>
                <w:b/>
                <w:bCs/>
                <w:sz w:val="20"/>
                <w:szCs w:val="20"/>
              </w:rPr>
            </w:pPr>
            <w:r w:rsidRPr="00252D7B">
              <w:rPr>
                <w:rFonts w:asciiTheme="minorHAnsi" w:hAnsiTheme="minorHAnsi" w:cstheme="minorHAnsi"/>
                <w:b/>
                <w:bCs/>
                <w:sz w:val="20"/>
                <w:szCs w:val="20"/>
              </w:rPr>
              <w:t>90.154.987</w:t>
            </w:r>
          </w:p>
        </w:tc>
        <w:tc>
          <w:tcPr>
            <w:tcW w:w="623" w:type="pct"/>
            <w:tcBorders>
              <w:top w:val="single" w:sz="4" w:space="0" w:color="auto"/>
              <w:left w:val="nil"/>
              <w:bottom w:val="single" w:sz="4" w:space="0" w:color="auto"/>
              <w:right w:val="nil"/>
            </w:tcBorders>
            <w:shd w:val="clear" w:color="auto" w:fill="auto"/>
            <w:noWrap/>
            <w:vAlign w:val="center"/>
          </w:tcPr>
          <w:p w14:paraId="6B03C77F" w14:textId="77777777" w:rsidR="0013173C" w:rsidRPr="00252D7B" w:rsidRDefault="0013173C" w:rsidP="00F6584E">
            <w:pPr>
              <w:spacing w:after="120"/>
              <w:jc w:val="center"/>
              <w:rPr>
                <w:rFonts w:asciiTheme="minorHAnsi" w:hAnsiTheme="minorHAnsi" w:cstheme="minorHAnsi"/>
                <w:b/>
                <w:bCs/>
                <w:sz w:val="20"/>
                <w:szCs w:val="20"/>
              </w:rPr>
            </w:pPr>
            <w:r w:rsidRPr="00252D7B">
              <w:rPr>
                <w:rFonts w:asciiTheme="minorHAnsi" w:hAnsiTheme="minorHAnsi" w:cstheme="minorHAnsi"/>
                <w:b/>
                <w:bCs/>
                <w:sz w:val="20"/>
                <w:szCs w:val="20"/>
              </w:rPr>
              <w:t>353.918</w:t>
            </w:r>
          </w:p>
        </w:tc>
        <w:tc>
          <w:tcPr>
            <w:tcW w:w="699" w:type="pct"/>
            <w:tcBorders>
              <w:top w:val="single" w:sz="4" w:space="0" w:color="auto"/>
              <w:left w:val="nil"/>
              <w:bottom w:val="single" w:sz="4" w:space="0" w:color="auto"/>
              <w:right w:val="nil"/>
            </w:tcBorders>
            <w:shd w:val="clear" w:color="auto" w:fill="auto"/>
            <w:noWrap/>
            <w:vAlign w:val="center"/>
          </w:tcPr>
          <w:p w14:paraId="0B093E4A" w14:textId="77777777" w:rsidR="0013173C" w:rsidRPr="00252D7B" w:rsidRDefault="0013173C" w:rsidP="00F6584E">
            <w:pPr>
              <w:spacing w:after="120"/>
              <w:jc w:val="center"/>
              <w:rPr>
                <w:rFonts w:asciiTheme="minorHAnsi" w:hAnsiTheme="minorHAnsi" w:cstheme="minorHAnsi"/>
                <w:b/>
                <w:bCs/>
                <w:sz w:val="20"/>
                <w:szCs w:val="20"/>
              </w:rPr>
            </w:pPr>
            <w:r w:rsidRPr="00252D7B">
              <w:rPr>
                <w:rFonts w:asciiTheme="minorHAnsi" w:hAnsiTheme="minorHAnsi" w:cstheme="minorHAnsi"/>
                <w:b/>
                <w:bCs/>
                <w:sz w:val="20"/>
                <w:szCs w:val="20"/>
              </w:rPr>
              <w:t>(709.936)</w:t>
            </w:r>
          </w:p>
        </w:tc>
        <w:tc>
          <w:tcPr>
            <w:tcW w:w="955" w:type="pct"/>
            <w:tcBorders>
              <w:top w:val="single" w:sz="4" w:space="0" w:color="auto"/>
              <w:left w:val="nil"/>
              <w:bottom w:val="single" w:sz="4" w:space="0" w:color="auto"/>
              <w:right w:val="nil"/>
            </w:tcBorders>
            <w:vAlign w:val="center"/>
          </w:tcPr>
          <w:p w14:paraId="7CA746C4" w14:textId="77777777" w:rsidR="0013173C" w:rsidRPr="00252D7B" w:rsidRDefault="0013173C" w:rsidP="00F6584E">
            <w:pPr>
              <w:spacing w:after="120"/>
              <w:jc w:val="center"/>
              <w:rPr>
                <w:rFonts w:asciiTheme="minorHAnsi" w:hAnsiTheme="minorHAnsi" w:cstheme="minorHAnsi"/>
                <w:b/>
                <w:bCs/>
                <w:sz w:val="20"/>
                <w:szCs w:val="20"/>
              </w:rPr>
            </w:pPr>
            <w:r w:rsidRPr="00252D7B">
              <w:rPr>
                <w:rFonts w:asciiTheme="minorHAnsi" w:hAnsiTheme="minorHAnsi" w:cstheme="minorHAnsi"/>
                <w:b/>
                <w:bCs/>
                <w:sz w:val="20"/>
                <w:szCs w:val="20"/>
              </w:rPr>
              <w:t>(85.340)</w:t>
            </w:r>
          </w:p>
        </w:tc>
        <w:tc>
          <w:tcPr>
            <w:tcW w:w="954" w:type="pct"/>
            <w:tcBorders>
              <w:top w:val="single" w:sz="4" w:space="0" w:color="auto"/>
              <w:left w:val="nil"/>
              <w:bottom w:val="single" w:sz="4" w:space="0" w:color="auto"/>
              <w:right w:val="nil"/>
            </w:tcBorders>
            <w:shd w:val="clear" w:color="auto" w:fill="auto"/>
            <w:noWrap/>
            <w:vAlign w:val="center"/>
          </w:tcPr>
          <w:p w14:paraId="3852BBA6" w14:textId="77777777" w:rsidR="0013173C" w:rsidRPr="00252D7B" w:rsidRDefault="0013173C" w:rsidP="00F6584E">
            <w:pPr>
              <w:spacing w:after="120"/>
              <w:jc w:val="center"/>
              <w:rPr>
                <w:rFonts w:asciiTheme="minorHAnsi" w:hAnsiTheme="minorHAnsi" w:cstheme="minorHAnsi"/>
                <w:b/>
                <w:bCs/>
                <w:sz w:val="20"/>
                <w:szCs w:val="20"/>
              </w:rPr>
            </w:pPr>
            <w:r w:rsidRPr="00252D7B">
              <w:rPr>
                <w:rFonts w:asciiTheme="minorHAnsi" w:hAnsiTheme="minorHAnsi" w:cstheme="minorHAnsi"/>
                <w:b/>
                <w:bCs/>
                <w:sz w:val="20"/>
                <w:szCs w:val="20"/>
              </w:rPr>
              <w:t>89.713.629</w:t>
            </w:r>
          </w:p>
        </w:tc>
      </w:tr>
    </w:tbl>
    <w:p w14:paraId="61EB532F" w14:textId="77777777" w:rsidR="0013173C" w:rsidRPr="00252D7B" w:rsidRDefault="0013173C" w:rsidP="0013173C">
      <w:pPr>
        <w:spacing w:before="120" w:after="120"/>
        <w:jc w:val="both"/>
        <w:rPr>
          <w:rFonts w:asciiTheme="minorHAnsi" w:hAnsiTheme="minorHAnsi" w:cstheme="minorHAnsi"/>
          <w:sz w:val="24"/>
          <w:szCs w:val="24"/>
        </w:rPr>
      </w:pPr>
    </w:p>
    <w:p w14:paraId="1BE3125C" w14:textId="77777777" w:rsidR="0013173C" w:rsidRPr="00252D7B" w:rsidRDefault="0013173C" w:rsidP="0013173C">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O montante de R$ 89,7 milhões compreende os valores depositados em juízo referentes a depósitos recursais, provenientes das ações trabalhistas e cíveis impetradas pelas partes autoras contra a Valec e as extintas empresas Rede Ferroviária Federal S/A – RFFSA e Empresa Brasileira de Planejamento de Transportes – GEIPOT, atualizados monetariamente pela taxa JAM-FGTS (ações trabalhistas) ou </w:t>
      </w:r>
      <w:r w:rsidRPr="00252D7B">
        <w:rPr>
          <w:rFonts w:asciiTheme="minorHAnsi" w:hAnsiTheme="minorHAnsi" w:cstheme="minorHAnsi"/>
          <w:sz w:val="24"/>
          <w:szCs w:val="24"/>
        </w:rPr>
        <w:lastRenderedPageBreak/>
        <w:t>pela taxa Selic (ações cíveis) até 31 de dezembro de 2018.</w:t>
      </w:r>
    </w:p>
    <w:p w14:paraId="7144168E" w14:textId="77777777" w:rsidR="0013173C" w:rsidRPr="00252D7B" w:rsidRDefault="0013173C" w:rsidP="0013173C">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Trimestralmente, é realizada a conciliação contábil dos depósitos judiciais junto à Procuradoria Jurídica da Valec, o que justifica a baixa de R$ 709 mil em depósitos trabalhistas e a baixa de R$ 85 mil referente à atualização monetária até 2018.</w:t>
      </w:r>
    </w:p>
    <w:p w14:paraId="5C223C32" w14:textId="77777777" w:rsidR="0013173C" w:rsidRPr="00252D7B" w:rsidRDefault="0013173C" w:rsidP="0013173C">
      <w:pPr>
        <w:spacing w:before="120" w:after="120"/>
        <w:rPr>
          <w:rFonts w:asciiTheme="minorHAnsi" w:hAnsiTheme="minorHAnsi" w:cstheme="minorHAnsi"/>
        </w:rPr>
      </w:pPr>
    </w:p>
    <w:p w14:paraId="286C38AF" w14:textId="77777777" w:rsidR="0013173C" w:rsidRPr="0081054B" w:rsidRDefault="0013173C" w:rsidP="0081054B">
      <w:pPr>
        <w:pStyle w:val="Ttulo4"/>
        <w:rPr>
          <w:rFonts w:asciiTheme="minorHAnsi" w:hAnsiTheme="minorHAnsi" w:cstheme="minorHAnsi"/>
        </w:rPr>
      </w:pPr>
      <w:bookmarkStart w:id="623" w:name="_Toc97918828"/>
      <w:bookmarkStart w:id="624" w:name="_Toc103680630"/>
      <w:r w:rsidRPr="0081054B">
        <w:rPr>
          <w:rFonts w:asciiTheme="minorHAnsi" w:hAnsiTheme="minorHAnsi" w:cstheme="minorHAnsi"/>
        </w:rPr>
        <w:t>Permissão de uso de pátio a receber</w:t>
      </w:r>
      <w:bookmarkEnd w:id="619"/>
      <w:bookmarkEnd w:id="620"/>
      <w:bookmarkEnd w:id="623"/>
      <w:bookmarkEnd w:id="624"/>
    </w:p>
    <w:p w14:paraId="5AC76857" w14:textId="77777777" w:rsidR="0013173C" w:rsidRPr="00252D7B" w:rsidRDefault="0013173C" w:rsidP="0013173C">
      <w:pPr>
        <w:spacing w:before="120" w:after="120"/>
        <w:jc w:val="both"/>
        <w:rPr>
          <w:rFonts w:asciiTheme="minorHAnsi" w:hAnsiTheme="minorHAnsi" w:cstheme="minorHAnsi"/>
          <w:sz w:val="24"/>
          <w:szCs w:val="24"/>
        </w:rPr>
      </w:pPr>
      <w:bookmarkStart w:id="625" w:name="_Toc94012591"/>
      <w:bookmarkStart w:id="626" w:name="_Toc95830320"/>
      <w:r w:rsidRPr="00252D7B">
        <w:rPr>
          <w:rFonts w:asciiTheme="minorHAnsi" w:hAnsiTheme="minorHAnsi" w:cstheme="minorHAnsi"/>
          <w:sz w:val="24"/>
          <w:szCs w:val="24"/>
        </w:rPr>
        <w:t>Para fomentar o transporte ferroviário, a Valec outorga por meio de Contratos de Permissão de Uso, Pátios de Integração Multimodal, por prazo não inferior a 15 anos.  As receitas provindas dessas permissões são consideradas receitas operacionais diferidas pelo prazo do contrato e o recebimento é parcelado conforme acordo contratual. Os saldos dos recursos a receber de curto e longo prazo referentes à Permissão para Uso de Pátios, em 31 de dezembro de 2021, são apresentados na Tabela 59 e Tabela 60.</w:t>
      </w:r>
    </w:p>
    <w:p w14:paraId="2EFAB87C" w14:textId="77777777" w:rsidR="0013173C" w:rsidRPr="00252D7B" w:rsidRDefault="0013173C" w:rsidP="0013173C">
      <w:pPr>
        <w:spacing w:before="120" w:after="120"/>
        <w:jc w:val="both"/>
        <w:rPr>
          <w:rFonts w:asciiTheme="minorHAnsi" w:hAnsiTheme="minorHAnsi" w:cstheme="minorHAnsi"/>
          <w:sz w:val="24"/>
          <w:szCs w:val="24"/>
        </w:rPr>
      </w:pPr>
    </w:p>
    <w:p w14:paraId="63842F95" w14:textId="7C599699" w:rsidR="0013173C" w:rsidRPr="005059B1" w:rsidRDefault="0013173C" w:rsidP="005059B1">
      <w:pPr>
        <w:pStyle w:val="Legenda"/>
        <w:jc w:val="center"/>
        <w:rPr>
          <w:rFonts w:asciiTheme="minorHAnsi" w:hAnsiTheme="minorHAnsi" w:cstheme="minorHAnsi"/>
          <w:sz w:val="20"/>
          <w:szCs w:val="20"/>
        </w:rPr>
      </w:pPr>
      <w:bookmarkStart w:id="627" w:name="_Toc97918910"/>
      <w:bookmarkStart w:id="628" w:name="_Toc103680696"/>
      <w:r w:rsidRPr="00252D7B">
        <w:rPr>
          <w:rFonts w:asciiTheme="minorHAnsi" w:hAnsiTheme="minorHAnsi" w:cstheme="minorHAnsi"/>
          <w:sz w:val="20"/>
          <w:szCs w:val="20"/>
        </w:rPr>
        <w:t xml:space="preserve">Tabela </w:t>
      </w:r>
      <w:r w:rsidRPr="005059B1">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Tabela \* ARABIC </w:instrText>
      </w:r>
      <w:r w:rsidRPr="005059B1">
        <w:rPr>
          <w:rFonts w:asciiTheme="minorHAnsi" w:hAnsiTheme="minorHAnsi" w:cstheme="minorHAnsi"/>
          <w:sz w:val="20"/>
          <w:szCs w:val="20"/>
        </w:rPr>
        <w:fldChar w:fldCharType="separate"/>
      </w:r>
      <w:r w:rsidR="00C12888">
        <w:rPr>
          <w:rFonts w:asciiTheme="minorHAnsi" w:hAnsiTheme="minorHAnsi" w:cstheme="minorHAnsi"/>
          <w:noProof/>
          <w:sz w:val="20"/>
          <w:szCs w:val="20"/>
        </w:rPr>
        <w:t>34</w:t>
      </w:r>
      <w:r w:rsidRPr="005059B1">
        <w:rPr>
          <w:rFonts w:asciiTheme="minorHAnsi" w:hAnsiTheme="minorHAnsi" w:cstheme="minorHAnsi"/>
          <w:sz w:val="20"/>
          <w:szCs w:val="20"/>
        </w:rPr>
        <w:fldChar w:fldCharType="end"/>
      </w:r>
      <w:r w:rsidRPr="00252D7B">
        <w:rPr>
          <w:rFonts w:asciiTheme="minorHAnsi" w:hAnsiTheme="minorHAnsi" w:cstheme="minorHAnsi"/>
          <w:sz w:val="20"/>
          <w:szCs w:val="20"/>
        </w:rPr>
        <w:t xml:space="preserve"> – Realizáveis a curto prazo</w:t>
      </w:r>
      <w:bookmarkEnd w:id="627"/>
      <w:bookmarkEnd w:id="628"/>
    </w:p>
    <w:p w14:paraId="61224C5B" w14:textId="77777777" w:rsidR="0013173C" w:rsidRPr="00252D7B" w:rsidRDefault="0013173C" w:rsidP="0013173C">
      <w:pPr>
        <w:widowControl/>
        <w:autoSpaceDE/>
        <w:autoSpaceDN/>
        <w:spacing w:before="120" w:after="120"/>
        <w:jc w:val="center"/>
        <w:rPr>
          <w:rFonts w:asciiTheme="minorHAnsi" w:hAnsiTheme="minorHAnsi" w:cstheme="minorHAnsi"/>
          <w:b/>
          <w:sz w:val="24"/>
          <w:szCs w:val="24"/>
        </w:rPr>
      </w:pPr>
      <w:r w:rsidRPr="00252D7B">
        <w:rPr>
          <w:rFonts w:asciiTheme="minorHAnsi" w:hAnsiTheme="minorHAnsi" w:cstheme="minorHAnsi"/>
          <w:b/>
          <w:sz w:val="24"/>
          <w:szCs w:val="24"/>
        </w:rPr>
        <w:t>Realizáveis a Curto Prazo</w:t>
      </w:r>
    </w:p>
    <w:tbl>
      <w:tblPr>
        <w:tblW w:w="5000" w:type="pct"/>
        <w:tblCellMar>
          <w:left w:w="70" w:type="dxa"/>
          <w:right w:w="70" w:type="dxa"/>
        </w:tblCellMar>
        <w:tblLook w:val="04A0" w:firstRow="1" w:lastRow="0" w:firstColumn="1" w:lastColumn="0" w:noHBand="0" w:noVBand="1"/>
      </w:tblPr>
      <w:tblGrid>
        <w:gridCol w:w="5075"/>
        <w:gridCol w:w="682"/>
        <w:gridCol w:w="682"/>
        <w:gridCol w:w="975"/>
        <w:gridCol w:w="1209"/>
        <w:gridCol w:w="1123"/>
      </w:tblGrid>
      <w:tr w:rsidR="0013173C" w:rsidRPr="00252D7B" w14:paraId="7D565E44" w14:textId="77777777" w:rsidTr="00F6584E">
        <w:trPr>
          <w:trHeight w:hRule="exact" w:val="227"/>
        </w:trPr>
        <w:tc>
          <w:tcPr>
            <w:tcW w:w="3304" w:type="pct"/>
            <w:gridSpan w:val="3"/>
            <w:tcBorders>
              <w:top w:val="nil"/>
              <w:left w:val="nil"/>
              <w:bottom w:val="single" w:sz="8" w:space="0" w:color="auto"/>
              <w:right w:val="nil"/>
            </w:tcBorders>
            <w:shd w:val="clear" w:color="auto" w:fill="auto"/>
            <w:noWrap/>
            <w:vAlign w:val="center"/>
            <w:hideMark/>
          </w:tcPr>
          <w:p w14:paraId="7BD8281B" w14:textId="77777777" w:rsidR="0013173C" w:rsidRPr="00252D7B" w:rsidRDefault="0013173C" w:rsidP="00F6584E">
            <w:pPr>
              <w:spacing w:after="120"/>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PERMISSÃO PARA USO DE PÁTIOS A RECEBER - CIRCULANTE</w:t>
            </w:r>
          </w:p>
        </w:tc>
        <w:tc>
          <w:tcPr>
            <w:tcW w:w="500" w:type="pct"/>
            <w:tcBorders>
              <w:top w:val="nil"/>
              <w:left w:val="nil"/>
              <w:bottom w:val="single" w:sz="8" w:space="0" w:color="auto"/>
              <w:right w:val="nil"/>
            </w:tcBorders>
            <w:shd w:val="clear" w:color="auto" w:fill="auto"/>
            <w:noWrap/>
            <w:vAlign w:val="center"/>
            <w:hideMark/>
          </w:tcPr>
          <w:p w14:paraId="2E8786FA"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w:t>
            </w:r>
          </w:p>
        </w:tc>
        <w:tc>
          <w:tcPr>
            <w:tcW w:w="620" w:type="pct"/>
            <w:tcBorders>
              <w:top w:val="nil"/>
              <w:left w:val="nil"/>
              <w:bottom w:val="single" w:sz="8" w:space="0" w:color="auto"/>
              <w:right w:val="nil"/>
            </w:tcBorders>
            <w:shd w:val="clear" w:color="auto" w:fill="auto"/>
            <w:noWrap/>
            <w:vAlign w:val="center"/>
            <w:hideMark/>
          </w:tcPr>
          <w:p w14:paraId="2051DF57"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31/12/2021</w:t>
            </w:r>
          </w:p>
        </w:tc>
        <w:tc>
          <w:tcPr>
            <w:tcW w:w="576" w:type="pct"/>
            <w:tcBorders>
              <w:top w:val="nil"/>
              <w:left w:val="nil"/>
              <w:bottom w:val="single" w:sz="8" w:space="0" w:color="auto"/>
              <w:right w:val="nil"/>
            </w:tcBorders>
            <w:shd w:val="clear" w:color="auto" w:fill="auto"/>
            <w:vAlign w:val="center"/>
            <w:hideMark/>
          </w:tcPr>
          <w:p w14:paraId="7FF1E11F"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31/12/2020</w:t>
            </w:r>
          </w:p>
        </w:tc>
      </w:tr>
      <w:tr w:rsidR="0013173C" w:rsidRPr="00252D7B" w14:paraId="1C5B6FE0" w14:textId="77777777" w:rsidTr="00F6584E">
        <w:trPr>
          <w:trHeight w:hRule="exact" w:val="227"/>
        </w:trPr>
        <w:tc>
          <w:tcPr>
            <w:tcW w:w="3304" w:type="pct"/>
            <w:gridSpan w:val="3"/>
            <w:tcBorders>
              <w:top w:val="single" w:sz="8" w:space="0" w:color="auto"/>
              <w:left w:val="nil"/>
              <w:bottom w:val="nil"/>
              <w:right w:val="nil"/>
            </w:tcBorders>
            <w:shd w:val="clear" w:color="auto" w:fill="auto"/>
            <w:noWrap/>
            <w:vAlign w:val="center"/>
            <w:hideMark/>
          </w:tcPr>
          <w:p w14:paraId="756B4837"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Saldo do exercício anterior</w:t>
            </w:r>
          </w:p>
        </w:tc>
        <w:tc>
          <w:tcPr>
            <w:tcW w:w="500" w:type="pct"/>
            <w:tcBorders>
              <w:top w:val="nil"/>
              <w:left w:val="nil"/>
              <w:bottom w:val="nil"/>
              <w:right w:val="nil"/>
            </w:tcBorders>
            <w:shd w:val="clear" w:color="auto" w:fill="auto"/>
            <w:noWrap/>
            <w:vAlign w:val="center"/>
            <w:hideMark/>
          </w:tcPr>
          <w:p w14:paraId="2FBE6D61" w14:textId="77777777" w:rsidR="0013173C" w:rsidRPr="00252D7B" w:rsidRDefault="0013173C" w:rsidP="00F6584E">
            <w:pPr>
              <w:spacing w:after="120"/>
              <w:rPr>
                <w:rFonts w:asciiTheme="minorHAnsi" w:hAnsiTheme="minorHAnsi" w:cstheme="minorHAnsi"/>
                <w:color w:val="000000"/>
                <w:sz w:val="20"/>
                <w:szCs w:val="20"/>
              </w:rPr>
            </w:pPr>
          </w:p>
        </w:tc>
        <w:tc>
          <w:tcPr>
            <w:tcW w:w="620" w:type="pct"/>
            <w:tcBorders>
              <w:top w:val="nil"/>
              <w:left w:val="nil"/>
              <w:bottom w:val="nil"/>
              <w:right w:val="nil"/>
            </w:tcBorders>
            <w:shd w:val="clear" w:color="auto" w:fill="auto"/>
            <w:noWrap/>
            <w:vAlign w:val="center"/>
            <w:hideMark/>
          </w:tcPr>
          <w:p w14:paraId="3776DE68"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1.487.338</w:t>
            </w:r>
          </w:p>
        </w:tc>
        <w:tc>
          <w:tcPr>
            <w:tcW w:w="576" w:type="pct"/>
            <w:tcBorders>
              <w:top w:val="nil"/>
              <w:left w:val="nil"/>
              <w:bottom w:val="nil"/>
              <w:right w:val="nil"/>
            </w:tcBorders>
            <w:shd w:val="clear" w:color="auto" w:fill="auto"/>
            <w:vAlign w:val="center"/>
            <w:hideMark/>
          </w:tcPr>
          <w:p w14:paraId="663F1026"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740.142</w:t>
            </w:r>
          </w:p>
        </w:tc>
      </w:tr>
      <w:tr w:rsidR="0013173C" w:rsidRPr="00252D7B" w14:paraId="0563862A" w14:textId="77777777" w:rsidTr="00F6584E">
        <w:trPr>
          <w:trHeight w:hRule="exact" w:val="227"/>
        </w:trPr>
        <w:tc>
          <w:tcPr>
            <w:tcW w:w="2954" w:type="pct"/>
            <w:gridSpan w:val="2"/>
            <w:tcBorders>
              <w:top w:val="nil"/>
              <w:left w:val="nil"/>
              <w:bottom w:val="nil"/>
              <w:right w:val="nil"/>
            </w:tcBorders>
            <w:shd w:val="clear" w:color="auto" w:fill="auto"/>
            <w:noWrap/>
            <w:vAlign w:val="center"/>
            <w:hideMark/>
          </w:tcPr>
          <w:p w14:paraId="7ADFB7B1"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Recebimentos</w:t>
            </w:r>
          </w:p>
        </w:tc>
        <w:tc>
          <w:tcPr>
            <w:tcW w:w="350" w:type="pct"/>
            <w:tcBorders>
              <w:top w:val="nil"/>
              <w:left w:val="nil"/>
              <w:bottom w:val="nil"/>
              <w:right w:val="nil"/>
            </w:tcBorders>
            <w:shd w:val="clear" w:color="auto" w:fill="auto"/>
            <w:noWrap/>
            <w:vAlign w:val="center"/>
            <w:hideMark/>
          </w:tcPr>
          <w:p w14:paraId="739700E7" w14:textId="77777777" w:rsidR="0013173C" w:rsidRPr="00252D7B" w:rsidRDefault="0013173C" w:rsidP="00F6584E">
            <w:pPr>
              <w:spacing w:after="120"/>
              <w:rPr>
                <w:rFonts w:asciiTheme="minorHAnsi" w:hAnsiTheme="minorHAnsi" w:cstheme="minorHAnsi"/>
                <w:color w:val="000000"/>
                <w:sz w:val="20"/>
                <w:szCs w:val="20"/>
              </w:rPr>
            </w:pPr>
          </w:p>
        </w:tc>
        <w:tc>
          <w:tcPr>
            <w:tcW w:w="500" w:type="pct"/>
            <w:tcBorders>
              <w:top w:val="nil"/>
              <w:left w:val="nil"/>
              <w:bottom w:val="nil"/>
              <w:right w:val="nil"/>
            </w:tcBorders>
            <w:shd w:val="clear" w:color="auto" w:fill="auto"/>
            <w:noWrap/>
            <w:vAlign w:val="center"/>
            <w:hideMark/>
          </w:tcPr>
          <w:p w14:paraId="030A84A6" w14:textId="77777777" w:rsidR="0013173C" w:rsidRPr="00252D7B" w:rsidRDefault="0013173C" w:rsidP="00F6584E">
            <w:pPr>
              <w:spacing w:after="120"/>
              <w:rPr>
                <w:rFonts w:asciiTheme="minorHAnsi" w:hAnsiTheme="minorHAnsi" w:cstheme="minorHAnsi"/>
                <w:sz w:val="20"/>
                <w:szCs w:val="20"/>
              </w:rPr>
            </w:pPr>
          </w:p>
        </w:tc>
        <w:tc>
          <w:tcPr>
            <w:tcW w:w="620" w:type="pct"/>
            <w:tcBorders>
              <w:top w:val="nil"/>
              <w:left w:val="nil"/>
              <w:bottom w:val="nil"/>
              <w:right w:val="nil"/>
            </w:tcBorders>
            <w:shd w:val="clear" w:color="auto" w:fill="auto"/>
            <w:vAlign w:val="center"/>
            <w:hideMark/>
          </w:tcPr>
          <w:p w14:paraId="458F88FB"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(1.453.905)</w:t>
            </w:r>
          </w:p>
        </w:tc>
        <w:tc>
          <w:tcPr>
            <w:tcW w:w="576" w:type="pct"/>
            <w:tcBorders>
              <w:top w:val="nil"/>
              <w:left w:val="nil"/>
              <w:bottom w:val="nil"/>
              <w:right w:val="nil"/>
            </w:tcBorders>
            <w:shd w:val="clear" w:color="auto" w:fill="auto"/>
            <w:noWrap/>
            <w:vAlign w:val="center"/>
            <w:hideMark/>
          </w:tcPr>
          <w:p w14:paraId="2E86D343"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(1.002.436)</w:t>
            </w:r>
          </w:p>
        </w:tc>
      </w:tr>
      <w:tr w:rsidR="0013173C" w:rsidRPr="00252D7B" w14:paraId="425F1F48" w14:textId="77777777" w:rsidTr="00F6584E">
        <w:trPr>
          <w:trHeight w:hRule="exact" w:val="227"/>
        </w:trPr>
        <w:tc>
          <w:tcPr>
            <w:tcW w:w="2954" w:type="pct"/>
            <w:gridSpan w:val="2"/>
            <w:tcBorders>
              <w:top w:val="nil"/>
              <w:left w:val="nil"/>
              <w:bottom w:val="nil"/>
              <w:right w:val="nil"/>
            </w:tcBorders>
            <w:shd w:val="clear" w:color="auto" w:fill="auto"/>
            <w:noWrap/>
            <w:vAlign w:val="center"/>
            <w:hideMark/>
          </w:tcPr>
          <w:p w14:paraId="561E9E0C"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Transf. do não circulante para circulante</w:t>
            </w:r>
          </w:p>
        </w:tc>
        <w:tc>
          <w:tcPr>
            <w:tcW w:w="350" w:type="pct"/>
            <w:tcBorders>
              <w:top w:val="nil"/>
              <w:left w:val="nil"/>
              <w:bottom w:val="nil"/>
              <w:right w:val="nil"/>
            </w:tcBorders>
            <w:shd w:val="clear" w:color="auto" w:fill="auto"/>
            <w:noWrap/>
            <w:vAlign w:val="center"/>
            <w:hideMark/>
          </w:tcPr>
          <w:p w14:paraId="6FA21350" w14:textId="77777777" w:rsidR="0013173C" w:rsidRPr="00252D7B" w:rsidRDefault="0013173C" w:rsidP="00F6584E">
            <w:pPr>
              <w:spacing w:after="120"/>
              <w:rPr>
                <w:rFonts w:asciiTheme="minorHAnsi" w:hAnsiTheme="minorHAnsi" w:cstheme="minorHAnsi"/>
                <w:color w:val="000000"/>
                <w:sz w:val="20"/>
                <w:szCs w:val="20"/>
              </w:rPr>
            </w:pPr>
          </w:p>
        </w:tc>
        <w:tc>
          <w:tcPr>
            <w:tcW w:w="500" w:type="pct"/>
            <w:tcBorders>
              <w:top w:val="nil"/>
              <w:left w:val="nil"/>
              <w:bottom w:val="nil"/>
              <w:right w:val="nil"/>
            </w:tcBorders>
            <w:shd w:val="clear" w:color="auto" w:fill="auto"/>
            <w:noWrap/>
            <w:vAlign w:val="center"/>
            <w:hideMark/>
          </w:tcPr>
          <w:p w14:paraId="37CBE5EA" w14:textId="77777777" w:rsidR="0013173C" w:rsidRPr="00252D7B" w:rsidRDefault="0013173C" w:rsidP="00F6584E">
            <w:pPr>
              <w:spacing w:after="120"/>
              <w:rPr>
                <w:rFonts w:asciiTheme="minorHAnsi" w:hAnsiTheme="minorHAnsi" w:cstheme="minorHAnsi"/>
                <w:sz w:val="20"/>
                <w:szCs w:val="20"/>
              </w:rPr>
            </w:pPr>
          </w:p>
        </w:tc>
        <w:tc>
          <w:tcPr>
            <w:tcW w:w="620" w:type="pct"/>
            <w:tcBorders>
              <w:top w:val="nil"/>
              <w:left w:val="nil"/>
              <w:bottom w:val="nil"/>
              <w:right w:val="nil"/>
            </w:tcBorders>
            <w:shd w:val="clear" w:color="auto" w:fill="auto"/>
            <w:vAlign w:val="center"/>
            <w:hideMark/>
          </w:tcPr>
          <w:p w14:paraId="2440139B"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1.242.315</w:t>
            </w:r>
          </w:p>
        </w:tc>
        <w:tc>
          <w:tcPr>
            <w:tcW w:w="576" w:type="pct"/>
            <w:tcBorders>
              <w:top w:val="nil"/>
              <w:left w:val="nil"/>
              <w:bottom w:val="nil"/>
              <w:right w:val="nil"/>
            </w:tcBorders>
            <w:shd w:val="clear" w:color="auto" w:fill="auto"/>
            <w:noWrap/>
            <w:vAlign w:val="center"/>
            <w:hideMark/>
          </w:tcPr>
          <w:p w14:paraId="493CF3BB"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687.436</w:t>
            </w:r>
          </w:p>
        </w:tc>
      </w:tr>
      <w:tr w:rsidR="0013173C" w:rsidRPr="00252D7B" w14:paraId="4F648201" w14:textId="77777777" w:rsidTr="00F6584E">
        <w:trPr>
          <w:trHeight w:hRule="exact" w:val="227"/>
        </w:trPr>
        <w:tc>
          <w:tcPr>
            <w:tcW w:w="2954" w:type="pct"/>
            <w:gridSpan w:val="2"/>
            <w:tcBorders>
              <w:top w:val="nil"/>
              <w:left w:val="nil"/>
              <w:bottom w:val="nil"/>
              <w:right w:val="nil"/>
            </w:tcBorders>
            <w:shd w:val="clear" w:color="auto" w:fill="auto"/>
            <w:noWrap/>
            <w:vAlign w:val="center"/>
            <w:hideMark/>
          </w:tcPr>
          <w:p w14:paraId="563FD888"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Atualização monetária do período</w:t>
            </w:r>
          </w:p>
        </w:tc>
        <w:tc>
          <w:tcPr>
            <w:tcW w:w="350" w:type="pct"/>
            <w:tcBorders>
              <w:top w:val="nil"/>
              <w:left w:val="nil"/>
              <w:bottom w:val="nil"/>
              <w:right w:val="nil"/>
            </w:tcBorders>
            <w:shd w:val="clear" w:color="auto" w:fill="auto"/>
            <w:noWrap/>
            <w:vAlign w:val="center"/>
            <w:hideMark/>
          </w:tcPr>
          <w:p w14:paraId="6A62CF44" w14:textId="77777777" w:rsidR="0013173C" w:rsidRPr="00252D7B" w:rsidRDefault="0013173C" w:rsidP="00F6584E">
            <w:pPr>
              <w:spacing w:after="120"/>
              <w:rPr>
                <w:rFonts w:asciiTheme="minorHAnsi" w:hAnsiTheme="minorHAnsi" w:cstheme="minorHAnsi"/>
                <w:color w:val="000000"/>
                <w:sz w:val="20"/>
                <w:szCs w:val="20"/>
              </w:rPr>
            </w:pPr>
          </w:p>
        </w:tc>
        <w:tc>
          <w:tcPr>
            <w:tcW w:w="500" w:type="pct"/>
            <w:tcBorders>
              <w:top w:val="nil"/>
              <w:left w:val="nil"/>
              <w:bottom w:val="nil"/>
              <w:right w:val="nil"/>
            </w:tcBorders>
            <w:shd w:val="clear" w:color="auto" w:fill="auto"/>
            <w:noWrap/>
            <w:vAlign w:val="center"/>
            <w:hideMark/>
          </w:tcPr>
          <w:p w14:paraId="6BB65930" w14:textId="77777777" w:rsidR="0013173C" w:rsidRPr="00252D7B" w:rsidRDefault="0013173C" w:rsidP="00F6584E">
            <w:pPr>
              <w:spacing w:after="120"/>
              <w:rPr>
                <w:rFonts w:asciiTheme="minorHAnsi" w:hAnsiTheme="minorHAnsi" w:cstheme="minorHAnsi"/>
                <w:sz w:val="20"/>
                <w:szCs w:val="20"/>
              </w:rPr>
            </w:pPr>
          </w:p>
        </w:tc>
        <w:tc>
          <w:tcPr>
            <w:tcW w:w="620" w:type="pct"/>
            <w:tcBorders>
              <w:top w:val="nil"/>
              <w:left w:val="nil"/>
              <w:bottom w:val="nil"/>
              <w:right w:val="nil"/>
            </w:tcBorders>
            <w:shd w:val="clear" w:color="auto" w:fill="auto"/>
            <w:vAlign w:val="center"/>
            <w:hideMark/>
          </w:tcPr>
          <w:p w14:paraId="4D887F72"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(33.438)</w:t>
            </w:r>
          </w:p>
        </w:tc>
        <w:tc>
          <w:tcPr>
            <w:tcW w:w="576" w:type="pct"/>
            <w:tcBorders>
              <w:top w:val="nil"/>
              <w:left w:val="nil"/>
              <w:bottom w:val="nil"/>
              <w:right w:val="nil"/>
            </w:tcBorders>
            <w:shd w:val="clear" w:color="auto" w:fill="auto"/>
            <w:noWrap/>
            <w:vAlign w:val="center"/>
            <w:hideMark/>
          </w:tcPr>
          <w:p w14:paraId="088E1FBE"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12.196</w:t>
            </w:r>
          </w:p>
        </w:tc>
      </w:tr>
      <w:tr w:rsidR="0013173C" w:rsidRPr="00252D7B" w14:paraId="35C511B7" w14:textId="77777777" w:rsidTr="00F6584E">
        <w:trPr>
          <w:trHeight w:hRule="exact" w:val="227"/>
        </w:trPr>
        <w:tc>
          <w:tcPr>
            <w:tcW w:w="2954" w:type="pct"/>
            <w:gridSpan w:val="2"/>
            <w:tcBorders>
              <w:top w:val="nil"/>
              <w:left w:val="nil"/>
              <w:bottom w:val="single" w:sz="8" w:space="0" w:color="auto"/>
              <w:right w:val="nil"/>
            </w:tcBorders>
            <w:shd w:val="clear" w:color="auto" w:fill="auto"/>
            <w:noWrap/>
            <w:vAlign w:val="center"/>
            <w:hideMark/>
          </w:tcPr>
          <w:p w14:paraId="5DDC533A"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Novas permissões</w:t>
            </w:r>
          </w:p>
        </w:tc>
        <w:tc>
          <w:tcPr>
            <w:tcW w:w="350" w:type="pct"/>
            <w:tcBorders>
              <w:top w:val="nil"/>
              <w:left w:val="nil"/>
              <w:bottom w:val="single" w:sz="8" w:space="0" w:color="auto"/>
              <w:right w:val="nil"/>
            </w:tcBorders>
            <w:shd w:val="clear" w:color="auto" w:fill="auto"/>
            <w:noWrap/>
            <w:vAlign w:val="center"/>
            <w:hideMark/>
          </w:tcPr>
          <w:p w14:paraId="6871C35E"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 </w:t>
            </w:r>
          </w:p>
        </w:tc>
        <w:tc>
          <w:tcPr>
            <w:tcW w:w="500" w:type="pct"/>
            <w:tcBorders>
              <w:top w:val="nil"/>
              <w:left w:val="nil"/>
              <w:bottom w:val="single" w:sz="8" w:space="0" w:color="auto"/>
              <w:right w:val="nil"/>
            </w:tcBorders>
            <w:shd w:val="clear" w:color="auto" w:fill="auto"/>
            <w:noWrap/>
            <w:vAlign w:val="center"/>
            <w:hideMark/>
          </w:tcPr>
          <w:p w14:paraId="6F60CB2E"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 </w:t>
            </w:r>
          </w:p>
        </w:tc>
        <w:tc>
          <w:tcPr>
            <w:tcW w:w="620" w:type="pct"/>
            <w:tcBorders>
              <w:top w:val="nil"/>
              <w:left w:val="nil"/>
              <w:bottom w:val="single" w:sz="8" w:space="0" w:color="auto"/>
              <w:right w:val="nil"/>
            </w:tcBorders>
            <w:shd w:val="clear" w:color="auto" w:fill="auto"/>
            <w:vAlign w:val="center"/>
            <w:hideMark/>
          </w:tcPr>
          <w:p w14:paraId="6F5FA256"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 xml:space="preserve">902.582   </w:t>
            </w:r>
          </w:p>
        </w:tc>
        <w:tc>
          <w:tcPr>
            <w:tcW w:w="576" w:type="pct"/>
            <w:tcBorders>
              <w:top w:val="nil"/>
              <w:left w:val="nil"/>
              <w:bottom w:val="single" w:sz="8" w:space="0" w:color="auto"/>
              <w:right w:val="nil"/>
            </w:tcBorders>
            <w:shd w:val="clear" w:color="auto" w:fill="auto"/>
            <w:noWrap/>
            <w:vAlign w:val="center"/>
            <w:hideMark/>
          </w:tcPr>
          <w:p w14:paraId="42E3BC8C"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1.050.000</w:t>
            </w:r>
          </w:p>
        </w:tc>
      </w:tr>
      <w:tr w:rsidR="0013173C" w:rsidRPr="00252D7B" w14:paraId="78740077" w14:textId="77777777" w:rsidTr="00F6584E">
        <w:trPr>
          <w:trHeight w:hRule="exact" w:val="227"/>
        </w:trPr>
        <w:tc>
          <w:tcPr>
            <w:tcW w:w="2604" w:type="pct"/>
            <w:tcBorders>
              <w:top w:val="nil"/>
              <w:left w:val="nil"/>
              <w:bottom w:val="single" w:sz="8" w:space="0" w:color="auto"/>
              <w:right w:val="nil"/>
            </w:tcBorders>
            <w:shd w:val="clear" w:color="auto" w:fill="auto"/>
            <w:noWrap/>
            <w:vAlign w:val="center"/>
            <w:hideMark/>
          </w:tcPr>
          <w:p w14:paraId="64455E90" w14:textId="77777777" w:rsidR="0013173C" w:rsidRPr="00252D7B" w:rsidRDefault="0013173C" w:rsidP="00F6584E">
            <w:pPr>
              <w:spacing w:after="120"/>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xml:space="preserve"> TOTAL </w:t>
            </w:r>
          </w:p>
        </w:tc>
        <w:tc>
          <w:tcPr>
            <w:tcW w:w="350" w:type="pct"/>
            <w:tcBorders>
              <w:top w:val="nil"/>
              <w:left w:val="nil"/>
              <w:bottom w:val="single" w:sz="8" w:space="0" w:color="auto"/>
              <w:right w:val="nil"/>
            </w:tcBorders>
            <w:shd w:val="clear" w:color="auto" w:fill="auto"/>
            <w:noWrap/>
            <w:vAlign w:val="center"/>
            <w:hideMark/>
          </w:tcPr>
          <w:p w14:paraId="5449A649"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 </w:t>
            </w:r>
          </w:p>
        </w:tc>
        <w:tc>
          <w:tcPr>
            <w:tcW w:w="350" w:type="pct"/>
            <w:tcBorders>
              <w:top w:val="nil"/>
              <w:left w:val="nil"/>
              <w:bottom w:val="single" w:sz="8" w:space="0" w:color="auto"/>
              <w:right w:val="nil"/>
            </w:tcBorders>
            <w:shd w:val="clear" w:color="auto" w:fill="auto"/>
            <w:noWrap/>
            <w:vAlign w:val="center"/>
            <w:hideMark/>
          </w:tcPr>
          <w:p w14:paraId="287D0E8B"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w:t>
            </w:r>
          </w:p>
        </w:tc>
        <w:tc>
          <w:tcPr>
            <w:tcW w:w="500" w:type="pct"/>
            <w:tcBorders>
              <w:top w:val="nil"/>
              <w:left w:val="nil"/>
              <w:bottom w:val="single" w:sz="8" w:space="0" w:color="auto"/>
              <w:right w:val="nil"/>
            </w:tcBorders>
            <w:shd w:val="clear" w:color="auto" w:fill="auto"/>
            <w:vAlign w:val="center"/>
            <w:hideMark/>
          </w:tcPr>
          <w:p w14:paraId="60A3C409"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w:t>
            </w:r>
          </w:p>
        </w:tc>
        <w:tc>
          <w:tcPr>
            <w:tcW w:w="620" w:type="pct"/>
            <w:tcBorders>
              <w:top w:val="nil"/>
              <w:left w:val="nil"/>
              <w:bottom w:val="single" w:sz="8" w:space="0" w:color="auto"/>
              <w:right w:val="nil"/>
            </w:tcBorders>
            <w:shd w:val="clear" w:color="auto" w:fill="auto"/>
            <w:noWrap/>
            <w:vAlign w:val="center"/>
            <w:hideMark/>
          </w:tcPr>
          <w:p w14:paraId="05A4696F"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2.144.892</w:t>
            </w:r>
          </w:p>
        </w:tc>
        <w:tc>
          <w:tcPr>
            <w:tcW w:w="576" w:type="pct"/>
            <w:tcBorders>
              <w:top w:val="nil"/>
              <w:left w:val="nil"/>
              <w:bottom w:val="single" w:sz="8" w:space="0" w:color="auto"/>
              <w:right w:val="nil"/>
            </w:tcBorders>
            <w:shd w:val="clear" w:color="auto" w:fill="auto"/>
            <w:noWrap/>
            <w:vAlign w:val="center"/>
            <w:hideMark/>
          </w:tcPr>
          <w:p w14:paraId="0F6D8AD7"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1.487.338</w:t>
            </w:r>
          </w:p>
        </w:tc>
      </w:tr>
    </w:tbl>
    <w:p w14:paraId="1542D570" w14:textId="77777777" w:rsidR="0013173C" w:rsidRPr="00252D7B" w:rsidRDefault="0013173C" w:rsidP="0013173C">
      <w:pPr>
        <w:spacing w:before="120" w:after="120"/>
        <w:jc w:val="both"/>
        <w:rPr>
          <w:rFonts w:asciiTheme="minorHAnsi" w:hAnsiTheme="minorHAnsi" w:cstheme="minorHAnsi"/>
          <w:color w:val="000000" w:themeColor="text1"/>
          <w:sz w:val="20"/>
          <w:szCs w:val="20"/>
        </w:rPr>
      </w:pPr>
    </w:p>
    <w:p w14:paraId="4002D512" w14:textId="020A778A" w:rsidR="0013173C" w:rsidRPr="005059B1" w:rsidRDefault="0013173C" w:rsidP="005059B1">
      <w:pPr>
        <w:pStyle w:val="Legenda"/>
        <w:jc w:val="center"/>
        <w:rPr>
          <w:rFonts w:asciiTheme="minorHAnsi" w:hAnsiTheme="minorHAnsi" w:cstheme="minorHAnsi"/>
          <w:sz w:val="20"/>
          <w:szCs w:val="20"/>
        </w:rPr>
      </w:pPr>
      <w:bookmarkStart w:id="629" w:name="_Toc97918911"/>
      <w:bookmarkStart w:id="630" w:name="_Toc103680697"/>
      <w:r w:rsidRPr="00252D7B">
        <w:rPr>
          <w:rFonts w:asciiTheme="minorHAnsi" w:hAnsiTheme="minorHAnsi" w:cstheme="minorHAnsi"/>
          <w:sz w:val="20"/>
          <w:szCs w:val="20"/>
        </w:rPr>
        <w:t xml:space="preserve">Tabela </w:t>
      </w:r>
      <w:r w:rsidRPr="005059B1">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Tabela \* ARABIC </w:instrText>
      </w:r>
      <w:r w:rsidRPr="005059B1">
        <w:rPr>
          <w:rFonts w:asciiTheme="minorHAnsi" w:hAnsiTheme="minorHAnsi" w:cstheme="minorHAnsi"/>
          <w:sz w:val="20"/>
          <w:szCs w:val="20"/>
        </w:rPr>
        <w:fldChar w:fldCharType="separate"/>
      </w:r>
      <w:r w:rsidR="00C12888">
        <w:rPr>
          <w:rFonts w:asciiTheme="minorHAnsi" w:hAnsiTheme="minorHAnsi" w:cstheme="minorHAnsi"/>
          <w:noProof/>
          <w:sz w:val="20"/>
          <w:szCs w:val="20"/>
        </w:rPr>
        <w:t>35</w:t>
      </w:r>
      <w:r w:rsidRPr="005059B1">
        <w:rPr>
          <w:rFonts w:asciiTheme="minorHAnsi" w:hAnsiTheme="minorHAnsi" w:cstheme="minorHAnsi"/>
          <w:sz w:val="20"/>
          <w:szCs w:val="20"/>
        </w:rPr>
        <w:fldChar w:fldCharType="end"/>
      </w:r>
      <w:r w:rsidRPr="00252D7B">
        <w:rPr>
          <w:rFonts w:asciiTheme="minorHAnsi" w:hAnsiTheme="minorHAnsi" w:cstheme="minorHAnsi"/>
          <w:sz w:val="20"/>
          <w:szCs w:val="20"/>
        </w:rPr>
        <w:t xml:space="preserve"> – Realizável a longo prazo</w:t>
      </w:r>
      <w:bookmarkEnd w:id="629"/>
      <w:bookmarkEnd w:id="630"/>
    </w:p>
    <w:p w14:paraId="47B4F3E6" w14:textId="77777777" w:rsidR="0013173C" w:rsidRPr="00252D7B" w:rsidRDefault="0013173C" w:rsidP="0013173C">
      <w:pPr>
        <w:widowControl/>
        <w:autoSpaceDE/>
        <w:autoSpaceDN/>
        <w:spacing w:before="240" w:after="120"/>
        <w:jc w:val="center"/>
        <w:rPr>
          <w:rFonts w:asciiTheme="minorHAnsi" w:hAnsiTheme="minorHAnsi" w:cstheme="minorHAnsi"/>
          <w:b/>
          <w:sz w:val="24"/>
          <w:szCs w:val="24"/>
        </w:rPr>
      </w:pPr>
      <w:r w:rsidRPr="00252D7B">
        <w:rPr>
          <w:rFonts w:asciiTheme="minorHAnsi" w:hAnsiTheme="minorHAnsi" w:cstheme="minorHAnsi"/>
          <w:b/>
          <w:sz w:val="24"/>
          <w:szCs w:val="24"/>
        </w:rPr>
        <w:t>Realizável a Longo Prazo</w:t>
      </w:r>
    </w:p>
    <w:tbl>
      <w:tblPr>
        <w:tblW w:w="5000" w:type="pct"/>
        <w:tblCellMar>
          <w:left w:w="70" w:type="dxa"/>
          <w:right w:w="70" w:type="dxa"/>
        </w:tblCellMar>
        <w:tblLook w:val="04A0" w:firstRow="1" w:lastRow="0" w:firstColumn="1" w:lastColumn="0" w:noHBand="0" w:noVBand="1"/>
      </w:tblPr>
      <w:tblGrid>
        <w:gridCol w:w="5194"/>
        <w:gridCol w:w="272"/>
        <w:gridCol w:w="974"/>
        <w:gridCol w:w="974"/>
        <w:gridCol w:w="1209"/>
        <w:gridCol w:w="1123"/>
      </w:tblGrid>
      <w:tr w:rsidR="0013173C" w:rsidRPr="00252D7B" w14:paraId="31DDB0AB" w14:textId="77777777" w:rsidTr="00F6584E">
        <w:trPr>
          <w:trHeight w:hRule="exact" w:val="227"/>
        </w:trPr>
        <w:tc>
          <w:tcPr>
            <w:tcW w:w="2805" w:type="pct"/>
            <w:gridSpan w:val="2"/>
            <w:tcBorders>
              <w:top w:val="nil"/>
              <w:left w:val="nil"/>
              <w:bottom w:val="single" w:sz="8" w:space="0" w:color="auto"/>
              <w:right w:val="nil"/>
            </w:tcBorders>
            <w:shd w:val="clear" w:color="auto" w:fill="auto"/>
            <w:noWrap/>
            <w:vAlign w:val="center"/>
            <w:hideMark/>
          </w:tcPr>
          <w:p w14:paraId="03FD88AA" w14:textId="77777777" w:rsidR="0013173C" w:rsidRPr="00252D7B" w:rsidRDefault="0013173C" w:rsidP="00F6584E">
            <w:pPr>
              <w:spacing w:after="120"/>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PERMISSÃO DE USO DE PÁTIOS A RECEBER – NÃO CIRCULANTE</w:t>
            </w:r>
          </w:p>
        </w:tc>
        <w:tc>
          <w:tcPr>
            <w:tcW w:w="1000" w:type="pct"/>
            <w:gridSpan w:val="2"/>
            <w:tcBorders>
              <w:top w:val="nil"/>
              <w:left w:val="nil"/>
              <w:bottom w:val="single" w:sz="8" w:space="0" w:color="auto"/>
              <w:right w:val="nil"/>
            </w:tcBorders>
            <w:shd w:val="clear" w:color="auto" w:fill="auto"/>
            <w:noWrap/>
            <w:vAlign w:val="center"/>
            <w:hideMark/>
          </w:tcPr>
          <w:p w14:paraId="30708786"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w:t>
            </w:r>
          </w:p>
        </w:tc>
        <w:tc>
          <w:tcPr>
            <w:tcW w:w="620" w:type="pct"/>
            <w:tcBorders>
              <w:top w:val="nil"/>
              <w:left w:val="nil"/>
              <w:bottom w:val="single" w:sz="8" w:space="0" w:color="auto"/>
              <w:right w:val="nil"/>
            </w:tcBorders>
            <w:shd w:val="clear" w:color="auto" w:fill="auto"/>
            <w:noWrap/>
            <w:vAlign w:val="center"/>
            <w:hideMark/>
          </w:tcPr>
          <w:p w14:paraId="680BE822"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31/12/2021</w:t>
            </w:r>
          </w:p>
        </w:tc>
        <w:tc>
          <w:tcPr>
            <w:tcW w:w="575" w:type="pct"/>
            <w:tcBorders>
              <w:top w:val="nil"/>
              <w:left w:val="nil"/>
              <w:bottom w:val="single" w:sz="8" w:space="0" w:color="auto"/>
              <w:right w:val="nil"/>
            </w:tcBorders>
            <w:shd w:val="clear" w:color="auto" w:fill="auto"/>
            <w:noWrap/>
            <w:vAlign w:val="center"/>
            <w:hideMark/>
          </w:tcPr>
          <w:p w14:paraId="2BD552FE"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31/12/2020</w:t>
            </w:r>
          </w:p>
        </w:tc>
      </w:tr>
      <w:tr w:rsidR="0013173C" w:rsidRPr="00252D7B" w14:paraId="1E36FA29" w14:textId="77777777" w:rsidTr="00F6584E">
        <w:trPr>
          <w:trHeight w:hRule="exact" w:val="227"/>
        </w:trPr>
        <w:tc>
          <w:tcPr>
            <w:tcW w:w="2805" w:type="pct"/>
            <w:gridSpan w:val="2"/>
            <w:tcBorders>
              <w:top w:val="single" w:sz="8" w:space="0" w:color="auto"/>
              <w:left w:val="nil"/>
              <w:bottom w:val="nil"/>
              <w:right w:val="nil"/>
            </w:tcBorders>
            <w:shd w:val="clear" w:color="auto" w:fill="auto"/>
            <w:noWrap/>
            <w:vAlign w:val="center"/>
            <w:hideMark/>
          </w:tcPr>
          <w:p w14:paraId="20CF5429"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Saldo do exercício anterior</w:t>
            </w:r>
          </w:p>
        </w:tc>
        <w:tc>
          <w:tcPr>
            <w:tcW w:w="1000" w:type="pct"/>
            <w:gridSpan w:val="2"/>
            <w:tcBorders>
              <w:top w:val="single" w:sz="8" w:space="0" w:color="auto"/>
              <w:left w:val="nil"/>
              <w:bottom w:val="nil"/>
              <w:right w:val="nil"/>
            </w:tcBorders>
            <w:shd w:val="clear" w:color="auto" w:fill="auto"/>
            <w:noWrap/>
            <w:vAlign w:val="center"/>
            <w:hideMark/>
          </w:tcPr>
          <w:p w14:paraId="4CDC59AC"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 </w:t>
            </w:r>
          </w:p>
        </w:tc>
        <w:tc>
          <w:tcPr>
            <w:tcW w:w="620" w:type="pct"/>
            <w:tcBorders>
              <w:top w:val="nil"/>
              <w:left w:val="nil"/>
              <w:bottom w:val="nil"/>
              <w:right w:val="nil"/>
            </w:tcBorders>
            <w:shd w:val="clear" w:color="auto" w:fill="auto"/>
            <w:noWrap/>
            <w:vAlign w:val="center"/>
            <w:hideMark/>
          </w:tcPr>
          <w:p w14:paraId="3C68FED7"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25.488.517</w:t>
            </w:r>
          </w:p>
        </w:tc>
        <w:tc>
          <w:tcPr>
            <w:tcW w:w="575" w:type="pct"/>
            <w:tcBorders>
              <w:top w:val="nil"/>
              <w:left w:val="nil"/>
              <w:bottom w:val="nil"/>
              <w:right w:val="nil"/>
            </w:tcBorders>
            <w:shd w:val="clear" w:color="auto" w:fill="auto"/>
            <w:noWrap/>
            <w:vAlign w:val="center"/>
            <w:hideMark/>
          </w:tcPr>
          <w:p w14:paraId="23055267"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21.387.934</w:t>
            </w:r>
          </w:p>
        </w:tc>
      </w:tr>
      <w:tr w:rsidR="0013173C" w:rsidRPr="00252D7B" w14:paraId="67FC15F2" w14:textId="77777777" w:rsidTr="00F6584E">
        <w:trPr>
          <w:trHeight w:hRule="exact" w:val="227"/>
        </w:trPr>
        <w:tc>
          <w:tcPr>
            <w:tcW w:w="2805" w:type="pct"/>
            <w:gridSpan w:val="2"/>
            <w:tcBorders>
              <w:top w:val="nil"/>
              <w:left w:val="nil"/>
              <w:bottom w:val="nil"/>
              <w:right w:val="nil"/>
            </w:tcBorders>
            <w:shd w:val="clear" w:color="auto" w:fill="auto"/>
            <w:noWrap/>
            <w:vAlign w:val="center"/>
            <w:hideMark/>
          </w:tcPr>
          <w:p w14:paraId="3E27A7F9"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 xml:space="preserve">Recebimentos </w:t>
            </w:r>
          </w:p>
        </w:tc>
        <w:tc>
          <w:tcPr>
            <w:tcW w:w="500" w:type="pct"/>
            <w:tcBorders>
              <w:top w:val="nil"/>
              <w:left w:val="nil"/>
              <w:bottom w:val="nil"/>
              <w:right w:val="nil"/>
            </w:tcBorders>
            <w:shd w:val="clear" w:color="auto" w:fill="auto"/>
            <w:noWrap/>
            <w:vAlign w:val="center"/>
            <w:hideMark/>
          </w:tcPr>
          <w:p w14:paraId="1263D453" w14:textId="77777777" w:rsidR="0013173C" w:rsidRPr="00252D7B" w:rsidRDefault="0013173C" w:rsidP="00F6584E">
            <w:pPr>
              <w:spacing w:after="120"/>
              <w:rPr>
                <w:rFonts w:asciiTheme="minorHAnsi" w:hAnsiTheme="minorHAnsi" w:cstheme="minorHAnsi"/>
                <w:color w:val="000000"/>
                <w:sz w:val="20"/>
                <w:szCs w:val="20"/>
              </w:rPr>
            </w:pPr>
          </w:p>
        </w:tc>
        <w:tc>
          <w:tcPr>
            <w:tcW w:w="500" w:type="pct"/>
            <w:tcBorders>
              <w:top w:val="nil"/>
              <w:left w:val="nil"/>
              <w:bottom w:val="nil"/>
              <w:right w:val="nil"/>
            </w:tcBorders>
            <w:shd w:val="clear" w:color="auto" w:fill="auto"/>
            <w:noWrap/>
            <w:vAlign w:val="center"/>
            <w:hideMark/>
          </w:tcPr>
          <w:p w14:paraId="1AD537F7" w14:textId="77777777" w:rsidR="0013173C" w:rsidRPr="00252D7B" w:rsidRDefault="0013173C" w:rsidP="00F6584E">
            <w:pPr>
              <w:spacing w:after="120"/>
              <w:rPr>
                <w:rFonts w:asciiTheme="minorHAnsi" w:hAnsiTheme="minorHAnsi" w:cstheme="minorHAnsi"/>
                <w:sz w:val="20"/>
                <w:szCs w:val="20"/>
              </w:rPr>
            </w:pPr>
          </w:p>
        </w:tc>
        <w:tc>
          <w:tcPr>
            <w:tcW w:w="620" w:type="pct"/>
            <w:tcBorders>
              <w:top w:val="nil"/>
              <w:left w:val="nil"/>
              <w:bottom w:val="nil"/>
              <w:right w:val="nil"/>
            </w:tcBorders>
            <w:shd w:val="clear" w:color="auto" w:fill="auto"/>
            <w:noWrap/>
            <w:vAlign w:val="center"/>
            <w:hideMark/>
          </w:tcPr>
          <w:p w14:paraId="00D0C0F9"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 xml:space="preserve">(395.501) </w:t>
            </w:r>
          </w:p>
        </w:tc>
        <w:tc>
          <w:tcPr>
            <w:tcW w:w="575" w:type="pct"/>
            <w:tcBorders>
              <w:top w:val="nil"/>
              <w:left w:val="nil"/>
              <w:bottom w:val="nil"/>
              <w:right w:val="nil"/>
            </w:tcBorders>
            <w:shd w:val="clear" w:color="auto" w:fill="auto"/>
            <w:noWrap/>
            <w:vAlign w:val="center"/>
            <w:hideMark/>
          </w:tcPr>
          <w:p w14:paraId="6387B372"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(150.505)</w:t>
            </w:r>
          </w:p>
        </w:tc>
      </w:tr>
      <w:tr w:rsidR="0013173C" w:rsidRPr="00252D7B" w14:paraId="6BAF629D" w14:textId="77777777" w:rsidTr="00F6584E">
        <w:trPr>
          <w:trHeight w:hRule="exact" w:val="227"/>
        </w:trPr>
        <w:tc>
          <w:tcPr>
            <w:tcW w:w="2805" w:type="pct"/>
            <w:gridSpan w:val="2"/>
            <w:tcBorders>
              <w:top w:val="nil"/>
              <w:left w:val="nil"/>
              <w:bottom w:val="nil"/>
              <w:right w:val="nil"/>
            </w:tcBorders>
            <w:shd w:val="clear" w:color="auto" w:fill="auto"/>
            <w:noWrap/>
            <w:vAlign w:val="center"/>
            <w:hideMark/>
          </w:tcPr>
          <w:p w14:paraId="4CE2E20B"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Transf. do não circulante para circulante</w:t>
            </w:r>
          </w:p>
        </w:tc>
        <w:tc>
          <w:tcPr>
            <w:tcW w:w="500" w:type="pct"/>
            <w:tcBorders>
              <w:top w:val="nil"/>
              <w:left w:val="nil"/>
              <w:bottom w:val="nil"/>
              <w:right w:val="nil"/>
            </w:tcBorders>
            <w:shd w:val="clear" w:color="auto" w:fill="auto"/>
            <w:noWrap/>
            <w:vAlign w:val="center"/>
            <w:hideMark/>
          </w:tcPr>
          <w:p w14:paraId="3706A6E0" w14:textId="77777777" w:rsidR="0013173C" w:rsidRPr="00252D7B" w:rsidRDefault="0013173C" w:rsidP="00F6584E">
            <w:pPr>
              <w:spacing w:after="120"/>
              <w:rPr>
                <w:rFonts w:asciiTheme="minorHAnsi" w:hAnsiTheme="minorHAnsi" w:cstheme="minorHAnsi"/>
                <w:color w:val="000000"/>
                <w:sz w:val="20"/>
                <w:szCs w:val="20"/>
              </w:rPr>
            </w:pPr>
          </w:p>
        </w:tc>
        <w:tc>
          <w:tcPr>
            <w:tcW w:w="500" w:type="pct"/>
            <w:tcBorders>
              <w:top w:val="nil"/>
              <w:left w:val="nil"/>
              <w:bottom w:val="nil"/>
              <w:right w:val="nil"/>
            </w:tcBorders>
            <w:shd w:val="clear" w:color="auto" w:fill="auto"/>
            <w:noWrap/>
            <w:vAlign w:val="center"/>
            <w:hideMark/>
          </w:tcPr>
          <w:p w14:paraId="153CA1EA" w14:textId="77777777" w:rsidR="0013173C" w:rsidRPr="00252D7B" w:rsidRDefault="0013173C" w:rsidP="00F6584E">
            <w:pPr>
              <w:spacing w:after="120"/>
              <w:rPr>
                <w:rFonts w:asciiTheme="minorHAnsi" w:hAnsiTheme="minorHAnsi" w:cstheme="minorHAnsi"/>
                <w:sz w:val="20"/>
                <w:szCs w:val="20"/>
              </w:rPr>
            </w:pPr>
          </w:p>
        </w:tc>
        <w:tc>
          <w:tcPr>
            <w:tcW w:w="620" w:type="pct"/>
            <w:tcBorders>
              <w:top w:val="nil"/>
              <w:left w:val="nil"/>
              <w:bottom w:val="nil"/>
              <w:right w:val="nil"/>
            </w:tcBorders>
            <w:shd w:val="clear" w:color="auto" w:fill="auto"/>
            <w:vAlign w:val="center"/>
            <w:hideMark/>
          </w:tcPr>
          <w:p w14:paraId="521C4CDF"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(1.242.315)</w:t>
            </w:r>
          </w:p>
        </w:tc>
        <w:tc>
          <w:tcPr>
            <w:tcW w:w="575" w:type="pct"/>
            <w:tcBorders>
              <w:top w:val="nil"/>
              <w:left w:val="nil"/>
              <w:bottom w:val="nil"/>
              <w:right w:val="nil"/>
            </w:tcBorders>
            <w:shd w:val="clear" w:color="auto" w:fill="auto"/>
            <w:noWrap/>
            <w:vAlign w:val="center"/>
            <w:hideMark/>
          </w:tcPr>
          <w:p w14:paraId="22BDF010"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(687.436)</w:t>
            </w:r>
          </w:p>
        </w:tc>
      </w:tr>
      <w:tr w:rsidR="0013173C" w:rsidRPr="00252D7B" w14:paraId="79C57CE3" w14:textId="77777777" w:rsidTr="00F6584E">
        <w:trPr>
          <w:trHeight w:hRule="exact" w:val="227"/>
        </w:trPr>
        <w:tc>
          <w:tcPr>
            <w:tcW w:w="2805" w:type="pct"/>
            <w:gridSpan w:val="2"/>
            <w:tcBorders>
              <w:top w:val="nil"/>
              <w:left w:val="nil"/>
              <w:bottom w:val="nil"/>
              <w:right w:val="nil"/>
            </w:tcBorders>
            <w:shd w:val="clear" w:color="auto" w:fill="auto"/>
            <w:noWrap/>
            <w:vAlign w:val="center"/>
            <w:hideMark/>
          </w:tcPr>
          <w:p w14:paraId="426701D8"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Atualização monetária do período</w:t>
            </w:r>
          </w:p>
        </w:tc>
        <w:tc>
          <w:tcPr>
            <w:tcW w:w="1000" w:type="pct"/>
            <w:gridSpan w:val="2"/>
            <w:tcBorders>
              <w:top w:val="nil"/>
              <w:left w:val="nil"/>
              <w:bottom w:val="nil"/>
              <w:right w:val="nil"/>
            </w:tcBorders>
            <w:shd w:val="clear" w:color="auto" w:fill="auto"/>
            <w:noWrap/>
            <w:vAlign w:val="center"/>
            <w:hideMark/>
          </w:tcPr>
          <w:p w14:paraId="04BE8906" w14:textId="77777777" w:rsidR="0013173C" w:rsidRPr="00252D7B" w:rsidRDefault="0013173C" w:rsidP="00F6584E">
            <w:pPr>
              <w:spacing w:after="120"/>
              <w:rPr>
                <w:rFonts w:asciiTheme="minorHAnsi" w:hAnsiTheme="minorHAnsi" w:cstheme="minorHAnsi"/>
                <w:color w:val="000000"/>
                <w:sz w:val="20"/>
                <w:szCs w:val="20"/>
              </w:rPr>
            </w:pPr>
          </w:p>
        </w:tc>
        <w:tc>
          <w:tcPr>
            <w:tcW w:w="620" w:type="pct"/>
            <w:tcBorders>
              <w:top w:val="nil"/>
              <w:left w:val="nil"/>
              <w:bottom w:val="nil"/>
              <w:right w:val="nil"/>
            </w:tcBorders>
            <w:shd w:val="clear" w:color="auto" w:fill="auto"/>
            <w:noWrap/>
            <w:vAlign w:val="center"/>
            <w:hideMark/>
          </w:tcPr>
          <w:p w14:paraId="1C9B5E95"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4.754.140</w:t>
            </w:r>
          </w:p>
        </w:tc>
        <w:tc>
          <w:tcPr>
            <w:tcW w:w="575" w:type="pct"/>
            <w:tcBorders>
              <w:top w:val="nil"/>
              <w:left w:val="nil"/>
              <w:bottom w:val="nil"/>
              <w:right w:val="nil"/>
            </w:tcBorders>
            <w:shd w:val="clear" w:color="auto" w:fill="auto"/>
            <w:noWrap/>
            <w:vAlign w:val="center"/>
            <w:hideMark/>
          </w:tcPr>
          <w:p w14:paraId="0F8844D6"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4.938.524</w:t>
            </w:r>
          </w:p>
        </w:tc>
      </w:tr>
      <w:tr w:rsidR="0013173C" w:rsidRPr="00252D7B" w14:paraId="324AFDA7" w14:textId="77777777" w:rsidTr="00F6584E">
        <w:trPr>
          <w:trHeight w:hRule="exact" w:val="227"/>
        </w:trPr>
        <w:tc>
          <w:tcPr>
            <w:tcW w:w="2805" w:type="pct"/>
            <w:gridSpan w:val="2"/>
            <w:tcBorders>
              <w:top w:val="nil"/>
              <w:left w:val="nil"/>
              <w:bottom w:val="single" w:sz="8" w:space="0" w:color="auto"/>
              <w:right w:val="nil"/>
            </w:tcBorders>
            <w:shd w:val="clear" w:color="auto" w:fill="auto"/>
            <w:noWrap/>
            <w:vAlign w:val="center"/>
            <w:hideMark/>
          </w:tcPr>
          <w:p w14:paraId="285504AE"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Novas permissões</w:t>
            </w:r>
          </w:p>
        </w:tc>
        <w:tc>
          <w:tcPr>
            <w:tcW w:w="500" w:type="pct"/>
            <w:tcBorders>
              <w:top w:val="nil"/>
              <w:left w:val="nil"/>
              <w:bottom w:val="single" w:sz="8" w:space="0" w:color="auto"/>
              <w:right w:val="nil"/>
            </w:tcBorders>
            <w:shd w:val="clear" w:color="auto" w:fill="auto"/>
            <w:noWrap/>
            <w:vAlign w:val="center"/>
            <w:hideMark/>
          </w:tcPr>
          <w:p w14:paraId="60A1568F"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 </w:t>
            </w:r>
          </w:p>
        </w:tc>
        <w:tc>
          <w:tcPr>
            <w:tcW w:w="500" w:type="pct"/>
            <w:tcBorders>
              <w:top w:val="nil"/>
              <w:left w:val="nil"/>
              <w:bottom w:val="single" w:sz="8" w:space="0" w:color="auto"/>
              <w:right w:val="nil"/>
            </w:tcBorders>
            <w:shd w:val="clear" w:color="auto" w:fill="auto"/>
            <w:noWrap/>
            <w:vAlign w:val="center"/>
            <w:hideMark/>
          </w:tcPr>
          <w:p w14:paraId="28829380"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 </w:t>
            </w:r>
          </w:p>
        </w:tc>
        <w:tc>
          <w:tcPr>
            <w:tcW w:w="620" w:type="pct"/>
            <w:tcBorders>
              <w:top w:val="nil"/>
              <w:left w:val="nil"/>
              <w:bottom w:val="single" w:sz="8" w:space="0" w:color="auto"/>
              <w:right w:val="nil"/>
            </w:tcBorders>
            <w:shd w:val="clear" w:color="auto" w:fill="auto"/>
            <w:noWrap/>
            <w:vAlign w:val="center"/>
            <w:hideMark/>
          </w:tcPr>
          <w:p w14:paraId="34617064"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12.507.421</w:t>
            </w:r>
          </w:p>
        </w:tc>
        <w:tc>
          <w:tcPr>
            <w:tcW w:w="575" w:type="pct"/>
            <w:tcBorders>
              <w:top w:val="nil"/>
              <w:left w:val="nil"/>
              <w:bottom w:val="single" w:sz="8" w:space="0" w:color="auto"/>
              <w:right w:val="nil"/>
            </w:tcBorders>
            <w:shd w:val="clear" w:color="auto" w:fill="auto"/>
            <w:noWrap/>
            <w:vAlign w:val="center"/>
            <w:hideMark/>
          </w:tcPr>
          <w:p w14:paraId="19216C78"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r>
      <w:tr w:rsidR="0013173C" w:rsidRPr="00252D7B" w14:paraId="2F53B710" w14:textId="77777777" w:rsidTr="00F6584E">
        <w:trPr>
          <w:trHeight w:hRule="exact" w:val="227"/>
        </w:trPr>
        <w:tc>
          <w:tcPr>
            <w:tcW w:w="2665" w:type="pct"/>
            <w:tcBorders>
              <w:top w:val="nil"/>
              <w:left w:val="nil"/>
              <w:bottom w:val="single" w:sz="8" w:space="0" w:color="auto"/>
              <w:right w:val="nil"/>
            </w:tcBorders>
            <w:shd w:val="clear" w:color="auto" w:fill="auto"/>
            <w:noWrap/>
            <w:vAlign w:val="center"/>
            <w:hideMark/>
          </w:tcPr>
          <w:p w14:paraId="01F1C324" w14:textId="77777777" w:rsidR="0013173C" w:rsidRPr="00252D7B" w:rsidRDefault="0013173C" w:rsidP="00F6584E">
            <w:pPr>
              <w:spacing w:after="120"/>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xml:space="preserve"> TOTAL </w:t>
            </w:r>
          </w:p>
        </w:tc>
        <w:tc>
          <w:tcPr>
            <w:tcW w:w="140" w:type="pct"/>
            <w:tcBorders>
              <w:top w:val="nil"/>
              <w:left w:val="nil"/>
              <w:bottom w:val="single" w:sz="8" w:space="0" w:color="auto"/>
              <w:right w:val="nil"/>
            </w:tcBorders>
            <w:shd w:val="clear" w:color="auto" w:fill="auto"/>
            <w:noWrap/>
            <w:vAlign w:val="center"/>
            <w:hideMark/>
          </w:tcPr>
          <w:p w14:paraId="32D7FCE4"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 </w:t>
            </w:r>
          </w:p>
        </w:tc>
        <w:tc>
          <w:tcPr>
            <w:tcW w:w="500" w:type="pct"/>
            <w:tcBorders>
              <w:top w:val="nil"/>
              <w:left w:val="nil"/>
              <w:bottom w:val="single" w:sz="8" w:space="0" w:color="auto"/>
              <w:right w:val="nil"/>
            </w:tcBorders>
            <w:shd w:val="clear" w:color="auto" w:fill="auto"/>
            <w:noWrap/>
            <w:vAlign w:val="center"/>
            <w:hideMark/>
          </w:tcPr>
          <w:p w14:paraId="230D953E"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 </w:t>
            </w:r>
          </w:p>
        </w:tc>
        <w:tc>
          <w:tcPr>
            <w:tcW w:w="500" w:type="pct"/>
            <w:tcBorders>
              <w:top w:val="nil"/>
              <w:left w:val="nil"/>
              <w:bottom w:val="single" w:sz="8" w:space="0" w:color="auto"/>
              <w:right w:val="nil"/>
            </w:tcBorders>
            <w:shd w:val="clear" w:color="auto" w:fill="auto"/>
            <w:noWrap/>
            <w:vAlign w:val="center"/>
            <w:hideMark/>
          </w:tcPr>
          <w:p w14:paraId="5B2330E8"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w:t>
            </w:r>
          </w:p>
        </w:tc>
        <w:tc>
          <w:tcPr>
            <w:tcW w:w="620" w:type="pct"/>
            <w:tcBorders>
              <w:top w:val="nil"/>
              <w:left w:val="nil"/>
              <w:bottom w:val="single" w:sz="8" w:space="0" w:color="auto"/>
              <w:right w:val="nil"/>
            </w:tcBorders>
            <w:shd w:val="clear" w:color="auto" w:fill="auto"/>
            <w:noWrap/>
            <w:vAlign w:val="center"/>
            <w:hideMark/>
          </w:tcPr>
          <w:p w14:paraId="701815C3"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41.112.262</w:t>
            </w:r>
          </w:p>
        </w:tc>
        <w:tc>
          <w:tcPr>
            <w:tcW w:w="575" w:type="pct"/>
            <w:tcBorders>
              <w:top w:val="nil"/>
              <w:left w:val="nil"/>
              <w:bottom w:val="single" w:sz="8" w:space="0" w:color="auto"/>
              <w:right w:val="nil"/>
            </w:tcBorders>
            <w:shd w:val="clear" w:color="auto" w:fill="auto"/>
            <w:noWrap/>
            <w:vAlign w:val="center"/>
            <w:hideMark/>
          </w:tcPr>
          <w:p w14:paraId="6707BFBE"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25.488.517</w:t>
            </w:r>
          </w:p>
        </w:tc>
      </w:tr>
      <w:tr w:rsidR="0013173C" w:rsidRPr="00252D7B" w14:paraId="17E05D4D" w14:textId="77777777" w:rsidTr="00F6584E">
        <w:trPr>
          <w:trHeight w:hRule="exact" w:val="227"/>
        </w:trPr>
        <w:tc>
          <w:tcPr>
            <w:tcW w:w="2805" w:type="pct"/>
            <w:gridSpan w:val="2"/>
            <w:tcBorders>
              <w:top w:val="single" w:sz="8" w:space="0" w:color="auto"/>
              <w:left w:val="nil"/>
              <w:bottom w:val="single" w:sz="8" w:space="0" w:color="auto"/>
              <w:right w:val="nil"/>
            </w:tcBorders>
            <w:shd w:val="clear" w:color="auto" w:fill="auto"/>
            <w:noWrap/>
            <w:vAlign w:val="center"/>
            <w:hideMark/>
          </w:tcPr>
          <w:p w14:paraId="39A2AEE3" w14:textId="77777777" w:rsidR="0013173C" w:rsidRPr="00252D7B" w:rsidRDefault="0013173C" w:rsidP="00F6584E">
            <w:pPr>
              <w:spacing w:after="120"/>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SALDO DE CONTRATOS POR PERMISSÃO A RECEBER</w:t>
            </w:r>
          </w:p>
        </w:tc>
        <w:tc>
          <w:tcPr>
            <w:tcW w:w="500" w:type="pct"/>
            <w:tcBorders>
              <w:top w:val="nil"/>
              <w:left w:val="nil"/>
              <w:bottom w:val="single" w:sz="8" w:space="0" w:color="auto"/>
              <w:right w:val="nil"/>
            </w:tcBorders>
            <w:shd w:val="clear" w:color="auto" w:fill="auto"/>
            <w:noWrap/>
            <w:vAlign w:val="center"/>
            <w:hideMark/>
          </w:tcPr>
          <w:p w14:paraId="311C1EA5"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 </w:t>
            </w:r>
          </w:p>
        </w:tc>
        <w:tc>
          <w:tcPr>
            <w:tcW w:w="500" w:type="pct"/>
            <w:tcBorders>
              <w:top w:val="nil"/>
              <w:left w:val="nil"/>
              <w:bottom w:val="single" w:sz="8" w:space="0" w:color="auto"/>
              <w:right w:val="nil"/>
            </w:tcBorders>
            <w:shd w:val="clear" w:color="auto" w:fill="auto"/>
            <w:noWrap/>
            <w:vAlign w:val="center"/>
            <w:hideMark/>
          </w:tcPr>
          <w:p w14:paraId="1ED0742A"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w:t>
            </w:r>
          </w:p>
        </w:tc>
        <w:tc>
          <w:tcPr>
            <w:tcW w:w="620" w:type="pct"/>
            <w:tcBorders>
              <w:top w:val="nil"/>
              <w:left w:val="nil"/>
              <w:bottom w:val="single" w:sz="8" w:space="0" w:color="auto"/>
              <w:right w:val="nil"/>
            </w:tcBorders>
            <w:shd w:val="clear" w:color="auto" w:fill="auto"/>
            <w:noWrap/>
            <w:vAlign w:val="center"/>
            <w:hideMark/>
          </w:tcPr>
          <w:p w14:paraId="3E052907"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31/12/2021 </w:t>
            </w:r>
          </w:p>
        </w:tc>
        <w:tc>
          <w:tcPr>
            <w:tcW w:w="575" w:type="pct"/>
            <w:tcBorders>
              <w:top w:val="nil"/>
              <w:left w:val="nil"/>
              <w:bottom w:val="single" w:sz="8" w:space="0" w:color="auto"/>
              <w:right w:val="nil"/>
            </w:tcBorders>
            <w:shd w:val="clear" w:color="auto" w:fill="auto"/>
            <w:noWrap/>
            <w:vAlign w:val="center"/>
            <w:hideMark/>
          </w:tcPr>
          <w:p w14:paraId="6703CD1A"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31/12/2020</w:t>
            </w:r>
          </w:p>
        </w:tc>
      </w:tr>
      <w:tr w:rsidR="0013173C" w:rsidRPr="00252D7B" w14:paraId="0D303277" w14:textId="77777777" w:rsidTr="00F6584E">
        <w:trPr>
          <w:trHeight w:hRule="exact" w:val="227"/>
        </w:trPr>
        <w:tc>
          <w:tcPr>
            <w:tcW w:w="2665" w:type="pct"/>
            <w:tcBorders>
              <w:top w:val="nil"/>
              <w:left w:val="nil"/>
              <w:bottom w:val="nil"/>
              <w:right w:val="nil"/>
            </w:tcBorders>
            <w:shd w:val="clear" w:color="auto" w:fill="auto"/>
            <w:noWrap/>
            <w:vAlign w:val="center"/>
            <w:hideMark/>
          </w:tcPr>
          <w:p w14:paraId="15681A4F"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Agrex do Brasil S.A. 16/2005</w:t>
            </w:r>
          </w:p>
          <w:p w14:paraId="55C5F92D" w14:textId="77777777" w:rsidR="0013173C" w:rsidRPr="00252D7B" w:rsidRDefault="0013173C" w:rsidP="00F6584E">
            <w:pPr>
              <w:spacing w:after="120"/>
              <w:rPr>
                <w:rFonts w:asciiTheme="minorHAnsi" w:hAnsiTheme="minorHAnsi" w:cstheme="minorHAnsi"/>
                <w:color w:val="000000"/>
                <w:sz w:val="20"/>
                <w:szCs w:val="20"/>
              </w:rPr>
            </w:pPr>
          </w:p>
        </w:tc>
        <w:tc>
          <w:tcPr>
            <w:tcW w:w="140" w:type="pct"/>
            <w:tcBorders>
              <w:top w:val="nil"/>
              <w:left w:val="nil"/>
              <w:bottom w:val="nil"/>
              <w:right w:val="nil"/>
            </w:tcBorders>
            <w:shd w:val="clear" w:color="auto" w:fill="auto"/>
            <w:noWrap/>
            <w:vAlign w:val="center"/>
            <w:hideMark/>
          </w:tcPr>
          <w:p w14:paraId="26F52132" w14:textId="77777777" w:rsidR="0013173C" w:rsidRPr="00252D7B" w:rsidRDefault="0013173C" w:rsidP="00F6584E">
            <w:pPr>
              <w:spacing w:after="120"/>
              <w:rPr>
                <w:rFonts w:asciiTheme="minorHAnsi" w:hAnsiTheme="minorHAnsi" w:cstheme="minorHAnsi"/>
                <w:color w:val="000000"/>
                <w:sz w:val="20"/>
                <w:szCs w:val="20"/>
              </w:rPr>
            </w:pPr>
          </w:p>
        </w:tc>
        <w:tc>
          <w:tcPr>
            <w:tcW w:w="500" w:type="pct"/>
            <w:tcBorders>
              <w:top w:val="nil"/>
              <w:left w:val="nil"/>
              <w:bottom w:val="nil"/>
              <w:right w:val="nil"/>
            </w:tcBorders>
            <w:shd w:val="clear" w:color="auto" w:fill="auto"/>
            <w:noWrap/>
            <w:vAlign w:val="center"/>
            <w:hideMark/>
          </w:tcPr>
          <w:p w14:paraId="25073995" w14:textId="77777777" w:rsidR="0013173C" w:rsidRPr="00252D7B" w:rsidRDefault="0013173C" w:rsidP="00F6584E">
            <w:pPr>
              <w:spacing w:after="120"/>
              <w:rPr>
                <w:rFonts w:asciiTheme="minorHAnsi" w:hAnsiTheme="minorHAnsi" w:cstheme="minorHAnsi"/>
                <w:sz w:val="20"/>
                <w:szCs w:val="20"/>
              </w:rPr>
            </w:pPr>
          </w:p>
        </w:tc>
        <w:tc>
          <w:tcPr>
            <w:tcW w:w="500" w:type="pct"/>
            <w:tcBorders>
              <w:top w:val="nil"/>
              <w:left w:val="nil"/>
              <w:bottom w:val="nil"/>
              <w:right w:val="nil"/>
            </w:tcBorders>
            <w:shd w:val="clear" w:color="auto" w:fill="auto"/>
            <w:noWrap/>
            <w:vAlign w:val="center"/>
            <w:hideMark/>
          </w:tcPr>
          <w:p w14:paraId="2138C85F" w14:textId="77777777" w:rsidR="0013173C" w:rsidRPr="00252D7B" w:rsidRDefault="0013173C" w:rsidP="00F6584E">
            <w:pPr>
              <w:spacing w:after="120"/>
              <w:rPr>
                <w:rFonts w:asciiTheme="minorHAnsi" w:hAnsiTheme="minorHAnsi" w:cstheme="minorHAnsi"/>
                <w:sz w:val="20"/>
                <w:szCs w:val="20"/>
              </w:rPr>
            </w:pPr>
          </w:p>
        </w:tc>
        <w:tc>
          <w:tcPr>
            <w:tcW w:w="620" w:type="pct"/>
            <w:tcBorders>
              <w:top w:val="nil"/>
              <w:left w:val="nil"/>
              <w:bottom w:val="nil"/>
              <w:right w:val="nil"/>
            </w:tcBorders>
            <w:shd w:val="clear" w:color="auto" w:fill="auto"/>
            <w:noWrap/>
            <w:vAlign w:val="center"/>
            <w:hideMark/>
          </w:tcPr>
          <w:p w14:paraId="1A6BA3AE"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575" w:type="pct"/>
            <w:tcBorders>
              <w:top w:val="nil"/>
              <w:left w:val="nil"/>
              <w:bottom w:val="nil"/>
              <w:right w:val="nil"/>
            </w:tcBorders>
            <w:shd w:val="clear" w:color="auto" w:fill="auto"/>
            <w:noWrap/>
            <w:vAlign w:val="center"/>
            <w:hideMark/>
          </w:tcPr>
          <w:p w14:paraId="2E730269"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735.000</w:t>
            </w:r>
          </w:p>
        </w:tc>
      </w:tr>
      <w:tr w:rsidR="0013173C" w:rsidRPr="00252D7B" w14:paraId="19BBC745" w14:textId="77777777" w:rsidTr="00F6584E">
        <w:trPr>
          <w:trHeight w:hRule="exact" w:val="227"/>
        </w:trPr>
        <w:tc>
          <w:tcPr>
            <w:tcW w:w="2665" w:type="pct"/>
            <w:tcBorders>
              <w:top w:val="nil"/>
              <w:left w:val="nil"/>
              <w:bottom w:val="nil"/>
              <w:right w:val="nil"/>
            </w:tcBorders>
            <w:shd w:val="clear" w:color="auto" w:fill="auto"/>
            <w:noWrap/>
            <w:vAlign w:val="center"/>
            <w:hideMark/>
          </w:tcPr>
          <w:p w14:paraId="0D0CBB2D"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Bunge Alimentos S.A. 12/1999</w:t>
            </w:r>
          </w:p>
        </w:tc>
        <w:tc>
          <w:tcPr>
            <w:tcW w:w="140" w:type="pct"/>
            <w:tcBorders>
              <w:top w:val="nil"/>
              <w:left w:val="nil"/>
              <w:bottom w:val="nil"/>
              <w:right w:val="nil"/>
            </w:tcBorders>
            <w:shd w:val="clear" w:color="auto" w:fill="auto"/>
            <w:noWrap/>
            <w:vAlign w:val="center"/>
            <w:hideMark/>
          </w:tcPr>
          <w:p w14:paraId="3C756CD0" w14:textId="77777777" w:rsidR="0013173C" w:rsidRPr="00252D7B" w:rsidRDefault="0013173C" w:rsidP="00F6584E">
            <w:pPr>
              <w:spacing w:after="120"/>
              <w:rPr>
                <w:rFonts w:asciiTheme="minorHAnsi" w:hAnsiTheme="minorHAnsi" w:cstheme="minorHAnsi"/>
                <w:color w:val="000000"/>
                <w:sz w:val="20"/>
                <w:szCs w:val="20"/>
              </w:rPr>
            </w:pPr>
          </w:p>
        </w:tc>
        <w:tc>
          <w:tcPr>
            <w:tcW w:w="500" w:type="pct"/>
            <w:tcBorders>
              <w:top w:val="nil"/>
              <w:left w:val="nil"/>
              <w:bottom w:val="nil"/>
              <w:right w:val="nil"/>
            </w:tcBorders>
            <w:shd w:val="clear" w:color="auto" w:fill="auto"/>
            <w:noWrap/>
            <w:vAlign w:val="center"/>
            <w:hideMark/>
          </w:tcPr>
          <w:p w14:paraId="7FDC3BA1" w14:textId="77777777" w:rsidR="0013173C" w:rsidRPr="00252D7B" w:rsidRDefault="0013173C" w:rsidP="00F6584E">
            <w:pPr>
              <w:spacing w:after="120"/>
              <w:rPr>
                <w:rFonts w:asciiTheme="minorHAnsi" w:hAnsiTheme="minorHAnsi" w:cstheme="minorHAnsi"/>
                <w:sz w:val="20"/>
                <w:szCs w:val="20"/>
              </w:rPr>
            </w:pPr>
          </w:p>
        </w:tc>
        <w:tc>
          <w:tcPr>
            <w:tcW w:w="500" w:type="pct"/>
            <w:tcBorders>
              <w:top w:val="nil"/>
              <w:left w:val="nil"/>
              <w:bottom w:val="nil"/>
              <w:right w:val="nil"/>
            </w:tcBorders>
            <w:shd w:val="clear" w:color="auto" w:fill="auto"/>
            <w:noWrap/>
            <w:vAlign w:val="center"/>
            <w:hideMark/>
          </w:tcPr>
          <w:p w14:paraId="3EE8880C" w14:textId="77777777" w:rsidR="0013173C" w:rsidRPr="00252D7B" w:rsidRDefault="0013173C" w:rsidP="00F6584E">
            <w:pPr>
              <w:spacing w:after="120"/>
              <w:rPr>
                <w:rFonts w:asciiTheme="minorHAnsi" w:hAnsiTheme="minorHAnsi" w:cstheme="minorHAnsi"/>
                <w:sz w:val="20"/>
                <w:szCs w:val="20"/>
              </w:rPr>
            </w:pPr>
          </w:p>
        </w:tc>
        <w:tc>
          <w:tcPr>
            <w:tcW w:w="620" w:type="pct"/>
            <w:tcBorders>
              <w:top w:val="nil"/>
              <w:left w:val="nil"/>
              <w:bottom w:val="nil"/>
              <w:right w:val="nil"/>
            </w:tcBorders>
            <w:shd w:val="clear" w:color="auto" w:fill="auto"/>
            <w:noWrap/>
            <w:vAlign w:val="center"/>
            <w:hideMark/>
          </w:tcPr>
          <w:p w14:paraId="79B8183C"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575" w:type="pct"/>
            <w:tcBorders>
              <w:top w:val="nil"/>
              <w:left w:val="nil"/>
              <w:bottom w:val="nil"/>
              <w:right w:val="nil"/>
            </w:tcBorders>
            <w:shd w:val="clear" w:color="auto" w:fill="auto"/>
            <w:noWrap/>
            <w:vAlign w:val="center"/>
            <w:hideMark/>
          </w:tcPr>
          <w:p w14:paraId="2686BADF"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40.052</w:t>
            </w:r>
          </w:p>
        </w:tc>
      </w:tr>
      <w:tr w:rsidR="0013173C" w:rsidRPr="00252D7B" w14:paraId="47E99348" w14:textId="77777777" w:rsidTr="00F6584E">
        <w:trPr>
          <w:trHeight w:hRule="exact" w:val="227"/>
        </w:trPr>
        <w:tc>
          <w:tcPr>
            <w:tcW w:w="2665" w:type="pct"/>
            <w:tcBorders>
              <w:top w:val="nil"/>
              <w:left w:val="nil"/>
              <w:bottom w:val="nil"/>
              <w:right w:val="nil"/>
            </w:tcBorders>
            <w:shd w:val="clear" w:color="auto" w:fill="auto"/>
            <w:noWrap/>
            <w:vAlign w:val="center"/>
            <w:hideMark/>
          </w:tcPr>
          <w:p w14:paraId="53D855C4"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Cargill Agrícola S.A. 01/2000</w:t>
            </w:r>
          </w:p>
        </w:tc>
        <w:tc>
          <w:tcPr>
            <w:tcW w:w="140" w:type="pct"/>
            <w:tcBorders>
              <w:top w:val="nil"/>
              <w:left w:val="nil"/>
              <w:bottom w:val="nil"/>
              <w:right w:val="nil"/>
            </w:tcBorders>
            <w:shd w:val="clear" w:color="auto" w:fill="auto"/>
            <w:noWrap/>
            <w:vAlign w:val="center"/>
            <w:hideMark/>
          </w:tcPr>
          <w:p w14:paraId="2D5F26C8" w14:textId="77777777" w:rsidR="0013173C" w:rsidRPr="00252D7B" w:rsidRDefault="0013173C" w:rsidP="00F6584E">
            <w:pPr>
              <w:spacing w:after="120"/>
              <w:rPr>
                <w:rFonts w:asciiTheme="minorHAnsi" w:hAnsiTheme="minorHAnsi" w:cstheme="minorHAnsi"/>
                <w:color w:val="000000"/>
                <w:sz w:val="20"/>
                <w:szCs w:val="20"/>
              </w:rPr>
            </w:pPr>
          </w:p>
        </w:tc>
        <w:tc>
          <w:tcPr>
            <w:tcW w:w="500" w:type="pct"/>
            <w:tcBorders>
              <w:top w:val="nil"/>
              <w:left w:val="nil"/>
              <w:bottom w:val="nil"/>
              <w:right w:val="nil"/>
            </w:tcBorders>
            <w:shd w:val="clear" w:color="auto" w:fill="auto"/>
            <w:noWrap/>
            <w:vAlign w:val="center"/>
            <w:hideMark/>
          </w:tcPr>
          <w:p w14:paraId="365F93AF" w14:textId="77777777" w:rsidR="0013173C" w:rsidRPr="00252D7B" w:rsidRDefault="0013173C" w:rsidP="00F6584E">
            <w:pPr>
              <w:spacing w:after="120"/>
              <w:rPr>
                <w:rFonts w:asciiTheme="minorHAnsi" w:hAnsiTheme="minorHAnsi" w:cstheme="minorHAnsi"/>
                <w:sz w:val="20"/>
                <w:szCs w:val="20"/>
              </w:rPr>
            </w:pPr>
          </w:p>
        </w:tc>
        <w:tc>
          <w:tcPr>
            <w:tcW w:w="500" w:type="pct"/>
            <w:tcBorders>
              <w:top w:val="nil"/>
              <w:left w:val="nil"/>
              <w:bottom w:val="nil"/>
              <w:right w:val="nil"/>
            </w:tcBorders>
            <w:shd w:val="clear" w:color="auto" w:fill="auto"/>
            <w:noWrap/>
            <w:vAlign w:val="center"/>
            <w:hideMark/>
          </w:tcPr>
          <w:p w14:paraId="0BB16FED" w14:textId="77777777" w:rsidR="0013173C" w:rsidRPr="00252D7B" w:rsidRDefault="0013173C" w:rsidP="00F6584E">
            <w:pPr>
              <w:spacing w:after="120"/>
              <w:rPr>
                <w:rFonts w:asciiTheme="minorHAnsi" w:hAnsiTheme="minorHAnsi" w:cstheme="minorHAnsi"/>
                <w:sz w:val="20"/>
                <w:szCs w:val="20"/>
              </w:rPr>
            </w:pPr>
          </w:p>
        </w:tc>
        <w:tc>
          <w:tcPr>
            <w:tcW w:w="620" w:type="pct"/>
            <w:tcBorders>
              <w:top w:val="nil"/>
              <w:left w:val="nil"/>
              <w:bottom w:val="nil"/>
              <w:right w:val="nil"/>
            </w:tcBorders>
            <w:shd w:val="clear" w:color="auto" w:fill="auto"/>
            <w:noWrap/>
            <w:vAlign w:val="center"/>
            <w:hideMark/>
          </w:tcPr>
          <w:p w14:paraId="311F9849"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575" w:type="pct"/>
            <w:tcBorders>
              <w:top w:val="nil"/>
              <w:left w:val="nil"/>
              <w:bottom w:val="nil"/>
              <w:right w:val="nil"/>
            </w:tcBorders>
            <w:shd w:val="clear" w:color="auto" w:fill="auto"/>
            <w:noWrap/>
            <w:vAlign w:val="center"/>
            <w:hideMark/>
          </w:tcPr>
          <w:p w14:paraId="24220369"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24.850</w:t>
            </w:r>
          </w:p>
        </w:tc>
      </w:tr>
      <w:tr w:rsidR="0013173C" w:rsidRPr="00252D7B" w14:paraId="247C7175" w14:textId="77777777" w:rsidTr="00F6584E">
        <w:trPr>
          <w:trHeight w:hRule="exact" w:val="227"/>
        </w:trPr>
        <w:tc>
          <w:tcPr>
            <w:tcW w:w="2665" w:type="pct"/>
            <w:tcBorders>
              <w:top w:val="nil"/>
              <w:left w:val="nil"/>
              <w:bottom w:val="nil"/>
              <w:right w:val="nil"/>
            </w:tcBorders>
            <w:shd w:val="clear" w:color="auto" w:fill="auto"/>
            <w:noWrap/>
            <w:vAlign w:val="center"/>
            <w:hideMark/>
          </w:tcPr>
          <w:p w14:paraId="66C41D93"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Porto Seco Centro Oeste S.A. 13/2016</w:t>
            </w:r>
          </w:p>
        </w:tc>
        <w:tc>
          <w:tcPr>
            <w:tcW w:w="140" w:type="pct"/>
            <w:tcBorders>
              <w:top w:val="nil"/>
              <w:left w:val="nil"/>
              <w:bottom w:val="nil"/>
              <w:right w:val="nil"/>
            </w:tcBorders>
            <w:shd w:val="clear" w:color="auto" w:fill="auto"/>
            <w:noWrap/>
            <w:vAlign w:val="center"/>
            <w:hideMark/>
          </w:tcPr>
          <w:p w14:paraId="0CAF8A3D" w14:textId="77777777" w:rsidR="0013173C" w:rsidRPr="00252D7B" w:rsidRDefault="0013173C" w:rsidP="00F6584E">
            <w:pPr>
              <w:spacing w:after="120"/>
              <w:rPr>
                <w:rFonts w:asciiTheme="minorHAnsi" w:hAnsiTheme="minorHAnsi" w:cstheme="minorHAnsi"/>
                <w:color w:val="000000"/>
                <w:sz w:val="20"/>
                <w:szCs w:val="20"/>
              </w:rPr>
            </w:pPr>
          </w:p>
        </w:tc>
        <w:tc>
          <w:tcPr>
            <w:tcW w:w="500" w:type="pct"/>
            <w:tcBorders>
              <w:top w:val="nil"/>
              <w:left w:val="nil"/>
              <w:bottom w:val="nil"/>
              <w:right w:val="nil"/>
            </w:tcBorders>
            <w:shd w:val="clear" w:color="auto" w:fill="auto"/>
            <w:noWrap/>
            <w:vAlign w:val="center"/>
            <w:hideMark/>
          </w:tcPr>
          <w:p w14:paraId="455706F9" w14:textId="77777777" w:rsidR="0013173C" w:rsidRPr="00252D7B" w:rsidRDefault="0013173C" w:rsidP="00F6584E">
            <w:pPr>
              <w:spacing w:after="120"/>
              <w:rPr>
                <w:rFonts w:asciiTheme="minorHAnsi" w:hAnsiTheme="minorHAnsi" w:cstheme="minorHAnsi"/>
                <w:sz w:val="20"/>
                <w:szCs w:val="20"/>
              </w:rPr>
            </w:pPr>
          </w:p>
        </w:tc>
        <w:tc>
          <w:tcPr>
            <w:tcW w:w="500" w:type="pct"/>
            <w:tcBorders>
              <w:top w:val="nil"/>
              <w:left w:val="nil"/>
              <w:bottom w:val="nil"/>
              <w:right w:val="nil"/>
            </w:tcBorders>
            <w:shd w:val="clear" w:color="auto" w:fill="auto"/>
            <w:noWrap/>
            <w:vAlign w:val="center"/>
            <w:hideMark/>
          </w:tcPr>
          <w:p w14:paraId="36B35CDE" w14:textId="77777777" w:rsidR="0013173C" w:rsidRPr="00252D7B" w:rsidRDefault="0013173C" w:rsidP="00F6584E">
            <w:pPr>
              <w:spacing w:after="120"/>
              <w:rPr>
                <w:rFonts w:asciiTheme="minorHAnsi" w:hAnsiTheme="minorHAnsi" w:cstheme="minorHAnsi"/>
                <w:sz w:val="20"/>
                <w:szCs w:val="20"/>
              </w:rPr>
            </w:pPr>
          </w:p>
        </w:tc>
        <w:tc>
          <w:tcPr>
            <w:tcW w:w="620" w:type="pct"/>
            <w:tcBorders>
              <w:top w:val="nil"/>
              <w:left w:val="nil"/>
              <w:bottom w:val="nil"/>
              <w:right w:val="nil"/>
            </w:tcBorders>
            <w:shd w:val="clear" w:color="auto" w:fill="auto"/>
            <w:noWrap/>
            <w:vAlign w:val="center"/>
            <w:hideMark/>
          </w:tcPr>
          <w:p w14:paraId="19FE8565"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14.416.397</w:t>
            </w:r>
          </w:p>
        </w:tc>
        <w:tc>
          <w:tcPr>
            <w:tcW w:w="575" w:type="pct"/>
            <w:tcBorders>
              <w:top w:val="nil"/>
              <w:left w:val="nil"/>
              <w:bottom w:val="nil"/>
              <w:right w:val="nil"/>
            </w:tcBorders>
            <w:shd w:val="clear" w:color="auto" w:fill="auto"/>
            <w:noWrap/>
            <w:vAlign w:val="center"/>
            <w:hideMark/>
          </w:tcPr>
          <w:p w14:paraId="545037E0"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12.875.356</w:t>
            </w:r>
          </w:p>
        </w:tc>
      </w:tr>
      <w:tr w:rsidR="0013173C" w:rsidRPr="00252D7B" w14:paraId="0FA54547" w14:textId="77777777" w:rsidTr="00F6584E">
        <w:trPr>
          <w:trHeight w:hRule="exact" w:val="227"/>
        </w:trPr>
        <w:tc>
          <w:tcPr>
            <w:tcW w:w="2665" w:type="pct"/>
            <w:tcBorders>
              <w:top w:val="nil"/>
              <w:left w:val="nil"/>
              <w:bottom w:val="nil"/>
              <w:right w:val="nil"/>
            </w:tcBorders>
            <w:shd w:val="clear" w:color="auto" w:fill="auto"/>
            <w:noWrap/>
            <w:vAlign w:val="center"/>
          </w:tcPr>
          <w:p w14:paraId="55194A41"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TDC - Distribuidora de Combustíveis S.A. 01/2016</w:t>
            </w:r>
          </w:p>
        </w:tc>
        <w:tc>
          <w:tcPr>
            <w:tcW w:w="140" w:type="pct"/>
            <w:tcBorders>
              <w:top w:val="nil"/>
              <w:left w:val="nil"/>
              <w:bottom w:val="nil"/>
              <w:right w:val="nil"/>
            </w:tcBorders>
            <w:shd w:val="clear" w:color="auto" w:fill="auto"/>
            <w:noWrap/>
            <w:vAlign w:val="center"/>
          </w:tcPr>
          <w:p w14:paraId="464274A8"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 </w:t>
            </w:r>
          </w:p>
        </w:tc>
        <w:tc>
          <w:tcPr>
            <w:tcW w:w="500" w:type="pct"/>
            <w:tcBorders>
              <w:top w:val="nil"/>
              <w:left w:val="nil"/>
              <w:bottom w:val="nil"/>
              <w:right w:val="nil"/>
            </w:tcBorders>
            <w:shd w:val="clear" w:color="auto" w:fill="auto"/>
            <w:noWrap/>
            <w:vAlign w:val="center"/>
          </w:tcPr>
          <w:p w14:paraId="7E823116" w14:textId="77777777" w:rsidR="0013173C" w:rsidRPr="00252D7B" w:rsidRDefault="0013173C" w:rsidP="00F6584E">
            <w:pPr>
              <w:spacing w:after="120"/>
              <w:rPr>
                <w:rFonts w:asciiTheme="minorHAnsi" w:hAnsiTheme="minorHAnsi" w:cstheme="minorHAnsi"/>
                <w:sz w:val="20"/>
                <w:szCs w:val="20"/>
              </w:rPr>
            </w:pPr>
            <w:r w:rsidRPr="00252D7B">
              <w:rPr>
                <w:rFonts w:asciiTheme="minorHAnsi" w:hAnsiTheme="minorHAnsi" w:cstheme="minorHAnsi"/>
                <w:color w:val="000000"/>
                <w:sz w:val="20"/>
                <w:szCs w:val="20"/>
              </w:rPr>
              <w:t> </w:t>
            </w:r>
          </w:p>
        </w:tc>
        <w:tc>
          <w:tcPr>
            <w:tcW w:w="500" w:type="pct"/>
            <w:tcBorders>
              <w:top w:val="nil"/>
              <w:left w:val="nil"/>
              <w:bottom w:val="nil"/>
              <w:right w:val="nil"/>
            </w:tcBorders>
            <w:shd w:val="clear" w:color="auto" w:fill="auto"/>
            <w:noWrap/>
            <w:vAlign w:val="center"/>
          </w:tcPr>
          <w:p w14:paraId="63A213F3" w14:textId="77777777" w:rsidR="0013173C" w:rsidRPr="00252D7B" w:rsidRDefault="0013173C" w:rsidP="00F6584E">
            <w:pPr>
              <w:spacing w:after="120"/>
              <w:rPr>
                <w:rFonts w:asciiTheme="minorHAnsi" w:hAnsiTheme="minorHAnsi" w:cstheme="minorHAnsi"/>
                <w:sz w:val="20"/>
                <w:szCs w:val="20"/>
              </w:rPr>
            </w:pPr>
            <w:r w:rsidRPr="00252D7B">
              <w:rPr>
                <w:rFonts w:asciiTheme="minorHAnsi" w:hAnsiTheme="minorHAnsi" w:cstheme="minorHAnsi"/>
                <w:b/>
                <w:bCs/>
                <w:color w:val="000000"/>
                <w:sz w:val="20"/>
                <w:szCs w:val="20"/>
              </w:rPr>
              <w:t> </w:t>
            </w:r>
          </w:p>
        </w:tc>
        <w:tc>
          <w:tcPr>
            <w:tcW w:w="620" w:type="pct"/>
            <w:tcBorders>
              <w:top w:val="nil"/>
              <w:left w:val="nil"/>
              <w:bottom w:val="nil"/>
              <w:right w:val="nil"/>
            </w:tcBorders>
            <w:shd w:val="clear" w:color="auto" w:fill="auto"/>
            <w:noWrap/>
            <w:vAlign w:val="center"/>
          </w:tcPr>
          <w:p w14:paraId="5BE42DF6"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14.720.247</w:t>
            </w:r>
          </w:p>
        </w:tc>
        <w:tc>
          <w:tcPr>
            <w:tcW w:w="575" w:type="pct"/>
            <w:tcBorders>
              <w:top w:val="nil"/>
              <w:left w:val="nil"/>
              <w:bottom w:val="nil"/>
              <w:right w:val="nil"/>
            </w:tcBorders>
            <w:shd w:val="clear" w:color="auto" w:fill="auto"/>
            <w:noWrap/>
            <w:vAlign w:val="center"/>
          </w:tcPr>
          <w:p w14:paraId="5BC42AA8"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13.300.597</w:t>
            </w:r>
          </w:p>
        </w:tc>
      </w:tr>
      <w:tr w:rsidR="0013173C" w:rsidRPr="00252D7B" w14:paraId="378B8C64" w14:textId="77777777" w:rsidTr="00F6584E">
        <w:trPr>
          <w:trHeight w:hRule="exact" w:val="227"/>
        </w:trPr>
        <w:tc>
          <w:tcPr>
            <w:tcW w:w="2665" w:type="pct"/>
            <w:tcBorders>
              <w:top w:val="nil"/>
              <w:left w:val="nil"/>
              <w:bottom w:val="single" w:sz="8" w:space="0" w:color="auto"/>
              <w:right w:val="nil"/>
            </w:tcBorders>
            <w:shd w:val="clear" w:color="auto" w:fill="auto"/>
            <w:noWrap/>
            <w:vAlign w:val="center"/>
            <w:hideMark/>
          </w:tcPr>
          <w:p w14:paraId="525F6AE4"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Terminal VLI Porto Franco S.A. 19/2021</w:t>
            </w:r>
          </w:p>
        </w:tc>
        <w:tc>
          <w:tcPr>
            <w:tcW w:w="140" w:type="pct"/>
            <w:tcBorders>
              <w:top w:val="nil"/>
              <w:left w:val="nil"/>
              <w:bottom w:val="single" w:sz="8" w:space="0" w:color="auto"/>
              <w:right w:val="nil"/>
            </w:tcBorders>
            <w:shd w:val="clear" w:color="auto" w:fill="auto"/>
            <w:noWrap/>
            <w:vAlign w:val="center"/>
            <w:hideMark/>
          </w:tcPr>
          <w:p w14:paraId="31948C37"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 </w:t>
            </w:r>
          </w:p>
        </w:tc>
        <w:tc>
          <w:tcPr>
            <w:tcW w:w="500" w:type="pct"/>
            <w:tcBorders>
              <w:top w:val="nil"/>
              <w:left w:val="nil"/>
              <w:bottom w:val="single" w:sz="8" w:space="0" w:color="auto"/>
              <w:right w:val="nil"/>
            </w:tcBorders>
            <w:shd w:val="clear" w:color="auto" w:fill="auto"/>
            <w:noWrap/>
            <w:vAlign w:val="center"/>
            <w:hideMark/>
          </w:tcPr>
          <w:p w14:paraId="2AD3D639"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 </w:t>
            </w:r>
          </w:p>
        </w:tc>
        <w:tc>
          <w:tcPr>
            <w:tcW w:w="500" w:type="pct"/>
            <w:tcBorders>
              <w:top w:val="nil"/>
              <w:left w:val="nil"/>
              <w:bottom w:val="single" w:sz="8" w:space="0" w:color="auto"/>
              <w:right w:val="nil"/>
            </w:tcBorders>
            <w:shd w:val="clear" w:color="auto" w:fill="auto"/>
            <w:noWrap/>
            <w:vAlign w:val="center"/>
            <w:hideMark/>
          </w:tcPr>
          <w:p w14:paraId="1BCE240C"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w:t>
            </w:r>
          </w:p>
        </w:tc>
        <w:tc>
          <w:tcPr>
            <w:tcW w:w="620" w:type="pct"/>
            <w:tcBorders>
              <w:top w:val="nil"/>
              <w:left w:val="nil"/>
              <w:bottom w:val="single" w:sz="8" w:space="0" w:color="auto"/>
              <w:right w:val="nil"/>
            </w:tcBorders>
            <w:shd w:val="clear" w:color="auto" w:fill="auto"/>
            <w:noWrap/>
            <w:vAlign w:val="center"/>
            <w:hideMark/>
          </w:tcPr>
          <w:p w14:paraId="4E49A3F2"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14.120.510</w:t>
            </w:r>
          </w:p>
        </w:tc>
        <w:tc>
          <w:tcPr>
            <w:tcW w:w="575" w:type="pct"/>
            <w:tcBorders>
              <w:top w:val="nil"/>
              <w:left w:val="nil"/>
              <w:bottom w:val="single" w:sz="8" w:space="0" w:color="auto"/>
              <w:right w:val="nil"/>
            </w:tcBorders>
            <w:shd w:val="clear" w:color="auto" w:fill="auto"/>
            <w:noWrap/>
            <w:vAlign w:val="center"/>
            <w:hideMark/>
          </w:tcPr>
          <w:p w14:paraId="7A234E9B"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r>
      <w:tr w:rsidR="0013173C" w:rsidRPr="00252D7B" w14:paraId="7FEBD0E6" w14:textId="77777777" w:rsidTr="00F6584E">
        <w:trPr>
          <w:trHeight w:hRule="exact" w:val="227"/>
        </w:trPr>
        <w:tc>
          <w:tcPr>
            <w:tcW w:w="2665" w:type="pct"/>
            <w:tcBorders>
              <w:top w:val="nil"/>
              <w:left w:val="nil"/>
              <w:bottom w:val="single" w:sz="8" w:space="0" w:color="auto"/>
              <w:right w:val="nil"/>
            </w:tcBorders>
            <w:shd w:val="clear" w:color="auto" w:fill="auto"/>
            <w:noWrap/>
            <w:vAlign w:val="center"/>
            <w:hideMark/>
          </w:tcPr>
          <w:p w14:paraId="7F95AA5F" w14:textId="77777777" w:rsidR="0013173C" w:rsidRPr="00252D7B" w:rsidRDefault="0013173C" w:rsidP="00F6584E">
            <w:pPr>
              <w:spacing w:after="120"/>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TOTAL</w:t>
            </w:r>
          </w:p>
        </w:tc>
        <w:tc>
          <w:tcPr>
            <w:tcW w:w="140" w:type="pct"/>
            <w:tcBorders>
              <w:top w:val="nil"/>
              <w:left w:val="nil"/>
              <w:bottom w:val="single" w:sz="8" w:space="0" w:color="auto"/>
              <w:right w:val="nil"/>
            </w:tcBorders>
            <w:shd w:val="clear" w:color="auto" w:fill="auto"/>
            <w:noWrap/>
            <w:vAlign w:val="center"/>
            <w:hideMark/>
          </w:tcPr>
          <w:p w14:paraId="2BB5FABF"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 </w:t>
            </w:r>
          </w:p>
        </w:tc>
        <w:tc>
          <w:tcPr>
            <w:tcW w:w="500" w:type="pct"/>
            <w:tcBorders>
              <w:top w:val="nil"/>
              <w:left w:val="nil"/>
              <w:bottom w:val="single" w:sz="8" w:space="0" w:color="auto"/>
              <w:right w:val="nil"/>
            </w:tcBorders>
            <w:shd w:val="clear" w:color="auto" w:fill="auto"/>
            <w:noWrap/>
            <w:vAlign w:val="center"/>
            <w:hideMark/>
          </w:tcPr>
          <w:p w14:paraId="7F612B27"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 </w:t>
            </w:r>
          </w:p>
        </w:tc>
        <w:tc>
          <w:tcPr>
            <w:tcW w:w="500" w:type="pct"/>
            <w:tcBorders>
              <w:top w:val="nil"/>
              <w:left w:val="nil"/>
              <w:bottom w:val="single" w:sz="8" w:space="0" w:color="auto"/>
              <w:right w:val="nil"/>
            </w:tcBorders>
            <w:shd w:val="clear" w:color="auto" w:fill="auto"/>
            <w:noWrap/>
            <w:vAlign w:val="center"/>
            <w:hideMark/>
          </w:tcPr>
          <w:p w14:paraId="4DC17918"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w:t>
            </w:r>
          </w:p>
        </w:tc>
        <w:tc>
          <w:tcPr>
            <w:tcW w:w="620" w:type="pct"/>
            <w:tcBorders>
              <w:top w:val="nil"/>
              <w:left w:val="nil"/>
              <w:bottom w:val="single" w:sz="8" w:space="0" w:color="auto"/>
              <w:right w:val="nil"/>
            </w:tcBorders>
            <w:shd w:val="clear" w:color="auto" w:fill="auto"/>
            <w:noWrap/>
            <w:vAlign w:val="center"/>
            <w:hideMark/>
          </w:tcPr>
          <w:p w14:paraId="124F665D"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43.257.154</w:t>
            </w:r>
          </w:p>
        </w:tc>
        <w:tc>
          <w:tcPr>
            <w:tcW w:w="575" w:type="pct"/>
            <w:tcBorders>
              <w:top w:val="nil"/>
              <w:left w:val="nil"/>
              <w:bottom w:val="single" w:sz="8" w:space="0" w:color="auto"/>
              <w:right w:val="nil"/>
            </w:tcBorders>
            <w:shd w:val="clear" w:color="auto" w:fill="auto"/>
            <w:noWrap/>
            <w:vAlign w:val="center"/>
            <w:hideMark/>
          </w:tcPr>
          <w:p w14:paraId="0B16ACB2"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26.975.855</w:t>
            </w:r>
          </w:p>
        </w:tc>
      </w:tr>
    </w:tbl>
    <w:p w14:paraId="14B9F627" w14:textId="77777777" w:rsidR="0013173C" w:rsidRPr="00252D7B" w:rsidRDefault="0013173C" w:rsidP="0013173C">
      <w:pPr>
        <w:spacing w:before="120" w:after="120"/>
        <w:jc w:val="both"/>
        <w:rPr>
          <w:rFonts w:asciiTheme="minorHAnsi" w:hAnsiTheme="minorHAnsi" w:cstheme="minorHAnsi"/>
          <w:sz w:val="24"/>
          <w:szCs w:val="24"/>
        </w:rPr>
      </w:pPr>
    </w:p>
    <w:p w14:paraId="3D24ED8A" w14:textId="77777777" w:rsidR="0013173C" w:rsidRPr="00252D7B" w:rsidRDefault="0013173C" w:rsidP="0013173C">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Além dos contratos acima evidenciados, a Valec possui o Termo de Permissão Especial de Uso n° 1/2020 firmado com a empresa ADM do Brasil Ltda, destinado ao acesso ao Polo de Cargas de Porto Franco/MA para operação de equipamentos de transbordo de graneis sólidos agrícolas e derivados. o prazo inicial da permissão é de 15 (quinze) anos, prorrogável por igual período, sendo livre a revogação do instrumento. As receitas relativas ao presente Termo de Permissão são calculadas de </w:t>
      </w:r>
      <w:r w:rsidRPr="00252D7B">
        <w:rPr>
          <w:rFonts w:asciiTheme="minorHAnsi" w:hAnsiTheme="minorHAnsi" w:cstheme="minorHAnsi"/>
          <w:sz w:val="24"/>
          <w:szCs w:val="24"/>
        </w:rPr>
        <w:lastRenderedPageBreak/>
        <w:t>acordo com a movimentação realizada em cada período, sendo, portanto, variáveis.</w:t>
      </w:r>
    </w:p>
    <w:p w14:paraId="4CB9A9E3" w14:textId="77777777" w:rsidR="0013173C" w:rsidRPr="00252D7B" w:rsidRDefault="0013173C" w:rsidP="0081054B">
      <w:pPr>
        <w:pStyle w:val="Ttulo3"/>
        <w:spacing w:before="120" w:after="120"/>
        <w:rPr>
          <w:rFonts w:asciiTheme="minorHAnsi" w:hAnsiTheme="minorHAnsi" w:cstheme="minorHAnsi"/>
        </w:rPr>
      </w:pPr>
      <w:bookmarkStart w:id="631" w:name="_Toc97918829"/>
      <w:bookmarkStart w:id="632" w:name="_Toc103680631"/>
      <w:r w:rsidRPr="00252D7B">
        <w:rPr>
          <w:rFonts w:asciiTheme="minorHAnsi" w:hAnsiTheme="minorHAnsi" w:cstheme="minorHAnsi"/>
        </w:rPr>
        <w:t>Investimentos</w:t>
      </w:r>
      <w:bookmarkEnd w:id="625"/>
      <w:bookmarkEnd w:id="626"/>
      <w:bookmarkEnd w:id="631"/>
      <w:bookmarkEnd w:id="632"/>
    </w:p>
    <w:p w14:paraId="09B752BE" w14:textId="77777777" w:rsidR="0013173C" w:rsidRPr="00252D7B" w:rsidRDefault="0013173C" w:rsidP="0013173C">
      <w:pPr>
        <w:rPr>
          <w:rFonts w:asciiTheme="minorHAnsi" w:hAnsiTheme="minorHAnsi" w:cstheme="minorHAnsi"/>
        </w:rPr>
      </w:pPr>
    </w:p>
    <w:p w14:paraId="58EDFE5E" w14:textId="3BE2CCCA" w:rsidR="0013173C" w:rsidRPr="005059B1" w:rsidRDefault="0013173C" w:rsidP="005059B1">
      <w:pPr>
        <w:pStyle w:val="Legenda"/>
        <w:jc w:val="center"/>
        <w:rPr>
          <w:rFonts w:asciiTheme="minorHAnsi" w:hAnsiTheme="minorHAnsi" w:cstheme="minorHAnsi"/>
          <w:sz w:val="20"/>
          <w:szCs w:val="20"/>
        </w:rPr>
      </w:pPr>
      <w:bookmarkStart w:id="633" w:name="_Toc97918912"/>
      <w:bookmarkStart w:id="634" w:name="_Toc103680698"/>
      <w:r w:rsidRPr="00252D7B">
        <w:rPr>
          <w:rFonts w:asciiTheme="minorHAnsi" w:hAnsiTheme="minorHAnsi" w:cstheme="minorHAnsi"/>
          <w:sz w:val="20"/>
          <w:szCs w:val="20"/>
        </w:rPr>
        <w:t xml:space="preserve">Tabela </w:t>
      </w:r>
      <w:r w:rsidRPr="005059B1">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Tabela \* ARABIC </w:instrText>
      </w:r>
      <w:r w:rsidRPr="005059B1">
        <w:rPr>
          <w:rFonts w:asciiTheme="minorHAnsi" w:hAnsiTheme="minorHAnsi" w:cstheme="minorHAnsi"/>
          <w:sz w:val="20"/>
          <w:szCs w:val="20"/>
        </w:rPr>
        <w:fldChar w:fldCharType="separate"/>
      </w:r>
      <w:r w:rsidR="00C12888">
        <w:rPr>
          <w:rFonts w:asciiTheme="minorHAnsi" w:hAnsiTheme="minorHAnsi" w:cstheme="minorHAnsi"/>
          <w:noProof/>
          <w:sz w:val="20"/>
          <w:szCs w:val="20"/>
        </w:rPr>
        <w:t>36</w:t>
      </w:r>
      <w:r w:rsidRPr="005059B1">
        <w:rPr>
          <w:rFonts w:asciiTheme="minorHAnsi" w:hAnsiTheme="minorHAnsi" w:cstheme="minorHAnsi"/>
          <w:sz w:val="20"/>
          <w:szCs w:val="20"/>
        </w:rPr>
        <w:fldChar w:fldCharType="end"/>
      </w:r>
      <w:r w:rsidRPr="00252D7B">
        <w:rPr>
          <w:rFonts w:asciiTheme="minorHAnsi" w:hAnsiTheme="minorHAnsi" w:cstheme="minorHAnsi"/>
          <w:sz w:val="20"/>
          <w:szCs w:val="20"/>
        </w:rPr>
        <w:t xml:space="preserve"> – Investimentos</w:t>
      </w:r>
      <w:bookmarkEnd w:id="633"/>
      <w:bookmarkEnd w:id="634"/>
    </w:p>
    <w:p w14:paraId="3D443098" w14:textId="77777777" w:rsidR="0013173C" w:rsidRPr="00252D7B" w:rsidRDefault="0013173C" w:rsidP="0013173C">
      <w:pPr>
        <w:spacing w:before="120" w:after="120"/>
        <w:jc w:val="center"/>
        <w:rPr>
          <w:rFonts w:asciiTheme="minorHAnsi" w:hAnsiTheme="minorHAnsi" w:cstheme="minorHAnsi"/>
          <w:b/>
        </w:rPr>
      </w:pPr>
      <w:bookmarkStart w:id="635" w:name="_Toc94012592"/>
      <w:bookmarkStart w:id="636" w:name="_Toc95830321"/>
      <w:r w:rsidRPr="00252D7B">
        <w:rPr>
          <w:rFonts w:asciiTheme="minorHAnsi" w:hAnsiTheme="minorHAnsi" w:cstheme="minorHAnsi"/>
          <w:b/>
        </w:rPr>
        <w:t>INVESTIMENTO</w:t>
      </w:r>
    </w:p>
    <w:tbl>
      <w:tblPr>
        <w:tblW w:w="5041" w:type="pct"/>
        <w:jc w:val="center"/>
        <w:tblLook w:val="04A0" w:firstRow="1" w:lastRow="0" w:firstColumn="1" w:lastColumn="0" w:noHBand="0" w:noVBand="1"/>
      </w:tblPr>
      <w:tblGrid>
        <w:gridCol w:w="1260"/>
        <w:gridCol w:w="148"/>
        <w:gridCol w:w="1002"/>
        <w:gridCol w:w="133"/>
        <w:gridCol w:w="999"/>
        <w:gridCol w:w="156"/>
        <w:gridCol w:w="666"/>
        <w:gridCol w:w="152"/>
        <w:gridCol w:w="979"/>
        <w:gridCol w:w="157"/>
        <w:gridCol w:w="882"/>
        <w:gridCol w:w="156"/>
        <w:gridCol w:w="561"/>
        <w:gridCol w:w="118"/>
        <w:gridCol w:w="791"/>
        <w:gridCol w:w="156"/>
        <w:gridCol w:w="561"/>
        <w:gridCol w:w="143"/>
        <w:gridCol w:w="79"/>
        <w:gridCol w:w="154"/>
        <w:gridCol w:w="564"/>
        <w:gridCol w:w="154"/>
        <w:gridCol w:w="82"/>
        <w:gridCol w:w="140"/>
      </w:tblGrid>
      <w:tr w:rsidR="0013173C" w:rsidRPr="00252D7B" w14:paraId="69546D87" w14:textId="77777777" w:rsidTr="00F6584E">
        <w:trPr>
          <w:gridAfter w:val="1"/>
          <w:wAfter w:w="70" w:type="pct"/>
          <w:trHeight w:hRule="exact" w:val="536"/>
          <w:jc w:val="center"/>
        </w:trPr>
        <w:tc>
          <w:tcPr>
            <w:tcW w:w="657" w:type="pct"/>
            <w:tcBorders>
              <w:bottom w:val="single" w:sz="4" w:space="0" w:color="auto"/>
            </w:tcBorders>
            <w:noWrap/>
            <w:vAlign w:val="center"/>
            <w:hideMark/>
          </w:tcPr>
          <w:p w14:paraId="7C0905E4" w14:textId="77777777" w:rsidR="0013173C" w:rsidRPr="00252D7B" w:rsidRDefault="0013173C" w:rsidP="00F6584E">
            <w:pPr>
              <w:spacing w:after="120"/>
              <w:jc w:val="right"/>
              <w:rPr>
                <w:rFonts w:asciiTheme="minorHAnsi" w:hAnsiTheme="minorHAnsi" w:cstheme="minorHAnsi"/>
                <w:b/>
                <w:bCs/>
                <w:sz w:val="18"/>
                <w:szCs w:val="18"/>
              </w:rPr>
            </w:pPr>
            <w:r w:rsidRPr="00252D7B">
              <w:rPr>
                <w:rFonts w:asciiTheme="minorHAnsi" w:hAnsiTheme="minorHAnsi" w:cstheme="minorHAnsi"/>
                <w:b/>
                <w:bCs/>
                <w:sz w:val="18"/>
                <w:szCs w:val="18"/>
              </w:rPr>
              <w:t>INVESTIDAS</w:t>
            </w:r>
          </w:p>
        </w:tc>
        <w:tc>
          <w:tcPr>
            <w:tcW w:w="637" w:type="pct"/>
            <w:gridSpan w:val="2"/>
            <w:tcBorders>
              <w:bottom w:val="single" w:sz="4" w:space="0" w:color="auto"/>
            </w:tcBorders>
            <w:vAlign w:val="center"/>
            <w:hideMark/>
          </w:tcPr>
          <w:p w14:paraId="0133F165" w14:textId="77777777" w:rsidR="0013173C" w:rsidRPr="00252D7B" w:rsidRDefault="0013173C" w:rsidP="00F6584E">
            <w:pPr>
              <w:spacing w:after="120"/>
              <w:jc w:val="right"/>
              <w:rPr>
                <w:rFonts w:asciiTheme="minorHAnsi" w:hAnsiTheme="minorHAnsi" w:cstheme="minorHAnsi"/>
                <w:b/>
                <w:bCs/>
                <w:sz w:val="18"/>
                <w:szCs w:val="18"/>
              </w:rPr>
            </w:pPr>
            <w:r w:rsidRPr="00252D7B">
              <w:rPr>
                <w:rFonts w:asciiTheme="minorHAnsi" w:hAnsiTheme="minorHAnsi" w:cstheme="minorHAnsi"/>
                <w:b/>
                <w:bCs/>
                <w:sz w:val="18"/>
                <w:szCs w:val="18"/>
              </w:rPr>
              <w:t>SALDO EM 31/12/2020</w:t>
            </w:r>
          </w:p>
        </w:tc>
        <w:tc>
          <w:tcPr>
            <w:tcW w:w="539" w:type="pct"/>
            <w:gridSpan w:val="2"/>
            <w:tcBorders>
              <w:bottom w:val="single" w:sz="4" w:space="0" w:color="auto"/>
            </w:tcBorders>
            <w:vAlign w:val="center"/>
            <w:hideMark/>
          </w:tcPr>
          <w:p w14:paraId="40C06304" w14:textId="77777777" w:rsidR="0013173C" w:rsidRPr="00252D7B" w:rsidRDefault="0013173C" w:rsidP="00F6584E">
            <w:pPr>
              <w:spacing w:after="120"/>
              <w:jc w:val="right"/>
              <w:rPr>
                <w:rFonts w:asciiTheme="minorHAnsi" w:hAnsiTheme="minorHAnsi" w:cstheme="minorHAnsi"/>
                <w:b/>
                <w:bCs/>
                <w:sz w:val="18"/>
                <w:szCs w:val="18"/>
              </w:rPr>
            </w:pPr>
            <w:r w:rsidRPr="00252D7B">
              <w:rPr>
                <w:rFonts w:asciiTheme="minorHAnsi" w:hAnsiTheme="minorHAnsi" w:cstheme="minorHAnsi"/>
                <w:b/>
                <w:bCs/>
                <w:sz w:val="18"/>
                <w:szCs w:val="18"/>
              </w:rPr>
              <w:t>RESULT. MEP</w:t>
            </w:r>
          </w:p>
        </w:tc>
        <w:tc>
          <w:tcPr>
            <w:tcW w:w="388" w:type="pct"/>
            <w:gridSpan w:val="2"/>
            <w:tcBorders>
              <w:bottom w:val="single" w:sz="4" w:space="0" w:color="auto"/>
            </w:tcBorders>
            <w:vAlign w:val="center"/>
            <w:hideMark/>
          </w:tcPr>
          <w:p w14:paraId="2FA37A8E" w14:textId="77777777" w:rsidR="0013173C" w:rsidRPr="00252D7B" w:rsidRDefault="0013173C" w:rsidP="00F6584E">
            <w:pPr>
              <w:spacing w:after="120"/>
              <w:jc w:val="right"/>
              <w:rPr>
                <w:rFonts w:asciiTheme="minorHAnsi" w:hAnsiTheme="minorHAnsi" w:cstheme="minorHAnsi"/>
                <w:b/>
                <w:bCs/>
                <w:sz w:val="18"/>
                <w:szCs w:val="18"/>
              </w:rPr>
            </w:pPr>
            <w:r w:rsidRPr="00252D7B">
              <w:rPr>
                <w:rFonts w:asciiTheme="minorHAnsi" w:hAnsiTheme="minorHAnsi" w:cstheme="minorHAnsi"/>
                <w:b/>
                <w:bCs/>
                <w:sz w:val="18"/>
                <w:szCs w:val="18"/>
              </w:rPr>
              <w:t>APORTE</w:t>
            </w:r>
          </w:p>
        </w:tc>
        <w:tc>
          <w:tcPr>
            <w:tcW w:w="531" w:type="pct"/>
            <w:gridSpan w:val="2"/>
            <w:tcBorders>
              <w:bottom w:val="single" w:sz="4" w:space="0" w:color="auto"/>
            </w:tcBorders>
            <w:vAlign w:val="center"/>
            <w:hideMark/>
          </w:tcPr>
          <w:p w14:paraId="2DA16052" w14:textId="77777777" w:rsidR="0013173C" w:rsidRPr="00252D7B" w:rsidRDefault="0013173C" w:rsidP="00F6584E">
            <w:pPr>
              <w:spacing w:after="120"/>
              <w:jc w:val="right"/>
              <w:rPr>
                <w:rFonts w:asciiTheme="minorHAnsi" w:hAnsiTheme="minorHAnsi" w:cstheme="minorHAnsi"/>
                <w:b/>
                <w:bCs/>
                <w:sz w:val="18"/>
                <w:szCs w:val="18"/>
              </w:rPr>
            </w:pPr>
            <w:r w:rsidRPr="00252D7B">
              <w:rPr>
                <w:rFonts w:asciiTheme="minorHAnsi" w:hAnsiTheme="minorHAnsi" w:cstheme="minorHAnsi"/>
                <w:b/>
                <w:bCs/>
                <w:sz w:val="18"/>
                <w:szCs w:val="18"/>
              </w:rPr>
              <w:t>SALDO EM 31/12/2021</w:t>
            </w:r>
          </w:p>
        </w:tc>
        <w:tc>
          <w:tcPr>
            <w:tcW w:w="487" w:type="pct"/>
            <w:gridSpan w:val="2"/>
            <w:tcBorders>
              <w:bottom w:val="single" w:sz="4" w:space="0" w:color="auto"/>
            </w:tcBorders>
            <w:vAlign w:val="center"/>
            <w:hideMark/>
          </w:tcPr>
          <w:p w14:paraId="22F8EF40" w14:textId="77777777" w:rsidR="0013173C" w:rsidRPr="00252D7B" w:rsidRDefault="0013173C" w:rsidP="00F6584E">
            <w:pPr>
              <w:spacing w:after="120"/>
              <w:jc w:val="right"/>
              <w:rPr>
                <w:rFonts w:asciiTheme="minorHAnsi" w:hAnsiTheme="minorHAnsi" w:cstheme="minorHAnsi"/>
                <w:b/>
                <w:bCs/>
                <w:sz w:val="18"/>
                <w:szCs w:val="18"/>
              </w:rPr>
            </w:pPr>
            <w:r w:rsidRPr="00252D7B">
              <w:rPr>
                <w:rFonts w:asciiTheme="minorHAnsi" w:hAnsiTheme="minorHAnsi" w:cstheme="minorHAnsi"/>
                <w:b/>
                <w:bCs/>
                <w:sz w:val="18"/>
                <w:szCs w:val="18"/>
              </w:rPr>
              <w:t>QTD DE AÇÕES PN</w:t>
            </w:r>
          </w:p>
        </w:tc>
        <w:tc>
          <w:tcPr>
            <w:tcW w:w="339" w:type="pct"/>
            <w:gridSpan w:val="2"/>
            <w:tcBorders>
              <w:bottom w:val="single" w:sz="4" w:space="0" w:color="auto"/>
            </w:tcBorders>
            <w:vAlign w:val="center"/>
            <w:hideMark/>
          </w:tcPr>
          <w:p w14:paraId="42FF2C56" w14:textId="77777777" w:rsidR="0013173C" w:rsidRPr="00252D7B" w:rsidRDefault="0013173C" w:rsidP="00F6584E">
            <w:pPr>
              <w:spacing w:after="120"/>
              <w:jc w:val="right"/>
              <w:rPr>
                <w:rFonts w:asciiTheme="minorHAnsi" w:hAnsiTheme="minorHAnsi" w:cstheme="minorHAnsi"/>
                <w:b/>
                <w:bCs/>
                <w:sz w:val="18"/>
                <w:szCs w:val="18"/>
              </w:rPr>
            </w:pPr>
            <w:r w:rsidRPr="00252D7B">
              <w:rPr>
                <w:rFonts w:asciiTheme="minorHAnsi" w:hAnsiTheme="minorHAnsi" w:cstheme="minorHAnsi"/>
                <w:b/>
                <w:bCs/>
                <w:sz w:val="18"/>
                <w:szCs w:val="18"/>
              </w:rPr>
              <w:t>AÇÕES PN (%)</w:t>
            </w:r>
          </w:p>
        </w:tc>
        <w:tc>
          <w:tcPr>
            <w:tcW w:w="445" w:type="pct"/>
            <w:gridSpan w:val="2"/>
            <w:tcBorders>
              <w:bottom w:val="single" w:sz="4" w:space="0" w:color="auto"/>
            </w:tcBorders>
            <w:vAlign w:val="center"/>
            <w:hideMark/>
          </w:tcPr>
          <w:p w14:paraId="5254C106" w14:textId="77777777" w:rsidR="0013173C" w:rsidRPr="00252D7B" w:rsidRDefault="0013173C" w:rsidP="00F6584E">
            <w:pPr>
              <w:spacing w:after="120"/>
              <w:jc w:val="right"/>
              <w:rPr>
                <w:rFonts w:asciiTheme="minorHAnsi" w:hAnsiTheme="minorHAnsi" w:cstheme="minorHAnsi"/>
                <w:b/>
                <w:bCs/>
                <w:sz w:val="18"/>
                <w:szCs w:val="18"/>
              </w:rPr>
            </w:pPr>
            <w:r w:rsidRPr="00252D7B">
              <w:rPr>
                <w:rFonts w:asciiTheme="minorHAnsi" w:hAnsiTheme="minorHAnsi" w:cstheme="minorHAnsi"/>
                <w:b/>
                <w:bCs/>
                <w:sz w:val="18"/>
                <w:szCs w:val="18"/>
              </w:rPr>
              <w:t>QTD DE AÇÕES ON</w:t>
            </w:r>
          </w:p>
        </w:tc>
        <w:tc>
          <w:tcPr>
            <w:tcW w:w="339" w:type="pct"/>
            <w:gridSpan w:val="2"/>
            <w:tcBorders>
              <w:bottom w:val="single" w:sz="4" w:space="0" w:color="auto"/>
            </w:tcBorders>
            <w:vAlign w:val="center"/>
            <w:hideMark/>
          </w:tcPr>
          <w:p w14:paraId="187DDE98" w14:textId="77777777" w:rsidR="0013173C" w:rsidRPr="00252D7B" w:rsidRDefault="0013173C" w:rsidP="00F6584E">
            <w:pPr>
              <w:spacing w:after="120"/>
              <w:jc w:val="right"/>
              <w:rPr>
                <w:rFonts w:asciiTheme="minorHAnsi" w:hAnsiTheme="minorHAnsi" w:cstheme="minorHAnsi"/>
                <w:b/>
                <w:bCs/>
                <w:sz w:val="18"/>
                <w:szCs w:val="18"/>
              </w:rPr>
            </w:pPr>
            <w:r w:rsidRPr="00252D7B">
              <w:rPr>
                <w:rFonts w:asciiTheme="minorHAnsi" w:hAnsiTheme="minorHAnsi" w:cstheme="minorHAnsi"/>
                <w:b/>
                <w:bCs/>
                <w:sz w:val="18"/>
                <w:szCs w:val="18"/>
              </w:rPr>
              <w:t>AÇÕES ON (%)</w:t>
            </w:r>
          </w:p>
        </w:tc>
        <w:tc>
          <w:tcPr>
            <w:tcW w:w="114" w:type="pct"/>
            <w:gridSpan w:val="2"/>
            <w:tcBorders>
              <w:bottom w:val="single" w:sz="4" w:space="0" w:color="auto"/>
            </w:tcBorders>
            <w:vAlign w:val="center"/>
          </w:tcPr>
          <w:p w14:paraId="2FD137C6" w14:textId="77777777" w:rsidR="0013173C" w:rsidRPr="00252D7B" w:rsidRDefault="0013173C" w:rsidP="00F6584E">
            <w:pPr>
              <w:spacing w:after="120"/>
              <w:jc w:val="right"/>
              <w:rPr>
                <w:rFonts w:asciiTheme="minorHAnsi" w:hAnsiTheme="minorHAnsi" w:cstheme="minorHAnsi"/>
                <w:b/>
                <w:bCs/>
                <w:sz w:val="18"/>
                <w:szCs w:val="18"/>
              </w:rPr>
            </w:pPr>
          </w:p>
        </w:tc>
        <w:tc>
          <w:tcPr>
            <w:tcW w:w="340" w:type="pct"/>
            <w:gridSpan w:val="2"/>
            <w:tcBorders>
              <w:bottom w:val="single" w:sz="4" w:space="0" w:color="auto"/>
            </w:tcBorders>
            <w:vAlign w:val="center"/>
          </w:tcPr>
          <w:p w14:paraId="08557682" w14:textId="77777777" w:rsidR="0013173C" w:rsidRPr="00252D7B" w:rsidRDefault="0013173C" w:rsidP="00F6584E">
            <w:pPr>
              <w:spacing w:after="120"/>
              <w:jc w:val="right"/>
              <w:rPr>
                <w:rFonts w:asciiTheme="minorHAnsi" w:hAnsiTheme="minorHAnsi" w:cstheme="minorHAnsi"/>
                <w:b/>
                <w:bCs/>
                <w:sz w:val="18"/>
                <w:szCs w:val="18"/>
              </w:rPr>
            </w:pPr>
            <w:r w:rsidRPr="00252D7B">
              <w:rPr>
                <w:rFonts w:asciiTheme="minorHAnsi" w:hAnsiTheme="minorHAnsi" w:cstheme="minorHAnsi"/>
                <w:b/>
                <w:bCs/>
                <w:sz w:val="18"/>
                <w:szCs w:val="18"/>
              </w:rPr>
              <w:t>AÇÕES TOTAL (%)</w:t>
            </w:r>
          </w:p>
        </w:tc>
        <w:tc>
          <w:tcPr>
            <w:tcW w:w="114" w:type="pct"/>
            <w:gridSpan w:val="2"/>
            <w:tcBorders>
              <w:bottom w:val="single" w:sz="4" w:space="0" w:color="auto"/>
            </w:tcBorders>
            <w:vAlign w:val="center"/>
          </w:tcPr>
          <w:p w14:paraId="51B008F5" w14:textId="77777777" w:rsidR="0013173C" w:rsidRPr="00252D7B" w:rsidRDefault="0013173C" w:rsidP="00F6584E">
            <w:pPr>
              <w:spacing w:after="120"/>
              <w:jc w:val="right"/>
              <w:rPr>
                <w:rFonts w:asciiTheme="minorHAnsi" w:hAnsiTheme="minorHAnsi" w:cstheme="minorHAnsi"/>
                <w:b/>
                <w:bCs/>
                <w:sz w:val="18"/>
                <w:szCs w:val="18"/>
              </w:rPr>
            </w:pPr>
          </w:p>
        </w:tc>
      </w:tr>
      <w:tr w:rsidR="0013173C" w:rsidRPr="00252D7B" w14:paraId="416B82BE" w14:textId="77777777" w:rsidTr="00F6584E">
        <w:trPr>
          <w:trHeight w:hRule="exact" w:val="227"/>
          <w:jc w:val="center"/>
        </w:trPr>
        <w:tc>
          <w:tcPr>
            <w:tcW w:w="734" w:type="pct"/>
            <w:gridSpan w:val="2"/>
            <w:tcBorders>
              <w:top w:val="single" w:sz="4" w:space="0" w:color="auto"/>
            </w:tcBorders>
            <w:vAlign w:val="center"/>
            <w:hideMark/>
          </w:tcPr>
          <w:p w14:paraId="66FABBAB" w14:textId="77777777" w:rsidR="0013173C" w:rsidRPr="00252D7B" w:rsidRDefault="0013173C" w:rsidP="00F6584E">
            <w:pPr>
              <w:spacing w:after="120"/>
              <w:jc w:val="right"/>
              <w:rPr>
                <w:rFonts w:asciiTheme="minorHAnsi" w:hAnsiTheme="minorHAnsi" w:cstheme="minorHAnsi"/>
                <w:sz w:val="18"/>
                <w:szCs w:val="18"/>
              </w:rPr>
            </w:pPr>
            <w:r w:rsidRPr="00252D7B">
              <w:rPr>
                <w:rFonts w:asciiTheme="minorHAnsi" w:hAnsiTheme="minorHAnsi" w:cstheme="minorHAnsi"/>
                <w:sz w:val="18"/>
                <w:szCs w:val="18"/>
              </w:rPr>
              <w:t>Estrada de Ferro Paraná Oeste S/A</w:t>
            </w:r>
          </w:p>
        </w:tc>
        <w:tc>
          <w:tcPr>
            <w:tcW w:w="634" w:type="pct"/>
            <w:gridSpan w:val="2"/>
            <w:tcBorders>
              <w:top w:val="single" w:sz="4" w:space="0" w:color="auto"/>
            </w:tcBorders>
            <w:noWrap/>
            <w:vAlign w:val="center"/>
            <w:hideMark/>
          </w:tcPr>
          <w:p w14:paraId="3BFE70FA" w14:textId="77777777" w:rsidR="0013173C" w:rsidRPr="00252D7B" w:rsidRDefault="0013173C" w:rsidP="00F6584E">
            <w:pPr>
              <w:spacing w:after="120"/>
              <w:jc w:val="right"/>
              <w:rPr>
                <w:rFonts w:asciiTheme="minorHAnsi" w:hAnsiTheme="minorHAnsi" w:cstheme="minorHAnsi"/>
                <w:sz w:val="18"/>
                <w:szCs w:val="18"/>
              </w:rPr>
            </w:pPr>
            <w:r w:rsidRPr="00252D7B">
              <w:rPr>
                <w:rFonts w:asciiTheme="minorHAnsi" w:hAnsiTheme="minorHAnsi" w:cstheme="minorHAnsi"/>
                <w:sz w:val="18"/>
                <w:szCs w:val="18"/>
              </w:rPr>
              <w:t>26.278</w:t>
            </w:r>
          </w:p>
        </w:tc>
        <w:tc>
          <w:tcPr>
            <w:tcW w:w="538" w:type="pct"/>
            <w:gridSpan w:val="2"/>
            <w:tcBorders>
              <w:top w:val="single" w:sz="4" w:space="0" w:color="auto"/>
            </w:tcBorders>
            <w:noWrap/>
            <w:vAlign w:val="center"/>
            <w:hideMark/>
          </w:tcPr>
          <w:p w14:paraId="2B410934" w14:textId="77777777" w:rsidR="0013173C" w:rsidRPr="00252D7B" w:rsidRDefault="0013173C" w:rsidP="00F6584E">
            <w:pPr>
              <w:spacing w:after="120"/>
              <w:jc w:val="right"/>
              <w:rPr>
                <w:rFonts w:asciiTheme="minorHAnsi" w:hAnsiTheme="minorHAnsi" w:cstheme="minorHAnsi"/>
                <w:sz w:val="18"/>
                <w:szCs w:val="18"/>
              </w:rPr>
            </w:pPr>
            <w:r w:rsidRPr="00252D7B">
              <w:rPr>
                <w:rFonts w:asciiTheme="minorHAnsi" w:hAnsiTheme="minorHAnsi" w:cstheme="minorHAnsi"/>
                <w:sz w:val="18"/>
                <w:szCs w:val="18"/>
              </w:rPr>
              <w:t>-</w:t>
            </w:r>
          </w:p>
        </w:tc>
        <w:tc>
          <w:tcPr>
            <w:tcW w:w="388" w:type="pct"/>
            <w:gridSpan w:val="2"/>
            <w:tcBorders>
              <w:top w:val="single" w:sz="4" w:space="0" w:color="auto"/>
            </w:tcBorders>
            <w:noWrap/>
            <w:vAlign w:val="center"/>
            <w:hideMark/>
          </w:tcPr>
          <w:p w14:paraId="790AD652" w14:textId="77777777" w:rsidR="0013173C" w:rsidRPr="00252D7B" w:rsidRDefault="0013173C" w:rsidP="00F6584E">
            <w:pPr>
              <w:spacing w:after="120"/>
              <w:jc w:val="right"/>
              <w:rPr>
                <w:rFonts w:asciiTheme="minorHAnsi" w:hAnsiTheme="minorHAnsi" w:cstheme="minorHAnsi"/>
                <w:sz w:val="18"/>
                <w:szCs w:val="18"/>
              </w:rPr>
            </w:pPr>
            <w:r w:rsidRPr="00252D7B">
              <w:rPr>
                <w:rFonts w:asciiTheme="minorHAnsi" w:hAnsiTheme="minorHAnsi" w:cstheme="minorHAnsi"/>
                <w:sz w:val="18"/>
                <w:szCs w:val="18"/>
              </w:rPr>
              <w:t>0</w:t>
            </w:r>
          </w:p>
        </w:tc>
        <w:tc>
          <w:tcPr>
            <w:tcW w:w="531" w:type="pct"/>
            <w:gridSpan w:val="2"/>
            <w:tcBorders>
              <w:top w:val="single" w:sz="4" w:space="0" w:color="auto"/>
            </w:tcBorders>
            <w:noWrap/>
            <w:vAlign w:val="center"/>
            <w:hideMark/>
          </w:tcPr>
          <w:p w14:paraId="2FCCFE1A" w14:textId="77777777" w:rsidR="0013173C" w:rsidRPr="00252D7B" w:rsidRDefault="0013173C" w:rsidP="00F6584E">
            <w:pPr>
              <w:spacing w:after="120"/>
              <w:jc w:val="right"/>
              <w:rPr>
                <w:rFonts w:asciiTheme="minorHAnsi" w:hAnsiTheme="minorHAnsi" w:cstheme="minorHAnsi"/>
                <w:sz w:val="18"/>
                <w:szCs w:val="18"/>
              </w:rPr>
            </w:pPr>
            <w:r w:rsidRPr="00252D7B">
              <w:rPr>
                <w:rFonts w:asciiTheme="minorHAnsi" w:hAnsiTheme="minorHAnsi" w:cstheme="minorHAnsi"/>
                <w:sz w:val="18"/>
                <w:szCs w:val="18"/>
              </w:rPr>
              <w:t>26.278</w:t>
            </w:r>
          </w:p>
          <w:p w14:paraId="663CFE17" w14:textId="77777777" w:rsidR="0013173C" w:rsidRPr="00252D7B" w:rsidRDefault="0013173C" w:rsidP="00F6584E">
            <w:pPr>
              <w:spacing w:after="120"/>
              <w:jc w:val="right"/>
              <w:rPr>
                <w:rFonts w:asciiTheme="minorHAnsi" w:hAnsiTheme="minorHAnsi" w:cstheme="minorHAnsi"/>
                <w:sz w:val="18"/>
                <w:szCs w:val="18"/>
              </w:rPr>
            </w:pPr>
            <w:r w:rsidRPr="00252D7B">
              <w:rPr>
                <w:rFonts w:asciiTheme="minorHAnsi" w:hAnsiTheme="minorHAnsi" w:cstheme="minorHAnsi"/>
                <w:sz w:val="18"/>
                <w:szCs w:val="18"/>
              </w:rPr>
              <w:t>26.278</w:t>
            </w:r>
          </w:p>
        </w:tc>
        <w:tc>
          <w:tcPr>
            <w:tcW w:w="487" w:type="pct"/>
            <w:gridSpan w:val="2"/>
            <w:tcBorders>
              <w:top w:val="single" w:sz="4" w:space="0" w:color="auto"/>
            </w:tcBorders>
            <w:noWrap/>
            <w:vAlign w:val="center"/>
            <w:hideMark/>
          </w:tcPr>
          <w:p w14:paraId="4CEC9F9B" w14:textId="77777777" w:rsidR="0013173C" w:rsidRPr="00252D7B" w:rsidRDefault="0013173C" w:rsidP="00F6584E">
            <w:pPr>
              <w:spacing w:after="120"/>
              <w:jc w:val="right"/>
              <w:rPr>
                <w:rFonts w:asciiTheme="minorHAnsi" w:hAnsiTheme="minorHAnsi" w:cstheme="minorHAnsi"/>
                <w:sz w:val="18"/>
                <w:szCs w:val="18"/>
              </w:rPr>
            </w:pPr>
            <w:r w:rsidRPr="00252D7B">
              <w:rPr>
                <w:rFonts w:asciiTheme="minorHAnsi" w:hAnsiTheme="minorHAnsi" w:cstheme="minorHAnsi"/>
                <w:sz w:val="18"/>
                <w:szCs w:val="18"/>
              </w:rPr>
              <w:t>0</w:t>
            </w:r>
          </w:p>
        </w:tc>
        <w:tc>
          <w:tcPr>
            <w:tcW w:w="339" w:type="pct"/>
            <w:gridSpan w:val="2"/>
            <w:tcBorders>
              <w:top w:val="single" w:sz="4" w:space="0" w:color="auto"/>
            </w:tcBorders>
            <w:noWrap/>
            <w:vAlign w:val="center"/>
            <w:hideMark/>
          </w:tcPr>
          <w:p w14:paraId="2CB3E2B0" w14:textId="77777777" w:rsidR="0013173C" w:rsidRPr="00252D7B" w:rsidRDefault="0013173C" w:rsidP="00F6584E">
            <w:pPr>
              <w:spacing w:after="120"/>
              <w:jc w:val="right"/>
              <w:rPr>
                <w:rFonts w:asciiTheme="minorHAnsi" w:hAnsiTheme="minorHAnsi" w:cstheme="minorHAnsi"/>
                <w:sz w:val="18"/>
                <w:szCs w:val="18"/>
              </w:rPr>
            </w:pPr>
            <w:r w:rsidRPr="00252D7B">
              <w:rPr>
                <w:rFonts w:asciiTheme="minorHAnsi" w:hAnsiTheme="minorHAnsi" w:cstheme="minorHAnsi"/>
                <w:sz w:val="18"/>
                <w:szCs w:val="18"/>
              </w:rPr>
              <w:t>0</w:t>
            </w:r>
          </w:p>
        </w:tc>
        <w:tc>
          <w:tcPr>
            <w:tcW w:w="445" w:type="pct"/>
            <w:gridSpan w:val="2"/>
            <w:tcBorders>
              <w:top w:val="single" w:sz="4" w:space="0" w:color="auto"/>
            </w:tcBorders>
            <w:noWrap/>
            <w:vAlign w:val="center"/>
            <w:hideMark/>
          </w:tcPr>
          <w:p w14:paraId="0C0C4A90" w14:textId="77777777" w:rsidR="0013173C" w:rsidRPr="00252D7B" w:rsidRDefault="0013173C" w:rsidP="00F6584E">
            <w:pPr>
              <w:spacing w:after="120"/>
              <w:jc w:val="right"/>
              <w:rPr>
                <w:rFonts w:asciiTheme="minorHAnsi" w:hAnsiTheme="minorHAnsi" w:cstheme="minorHAnsi"/>
                <w:sz w:val="18"/>
                <w:szCs w:val="18"/>
              </w:rPr>
            </w:pPr>
            <w:r w:rsidRPr="00252D7B">
              <w:rPr>
                <w:rFonts w:asciiTheme="minorHAnsi" w:hAnsiTheme="minorHAnsi" w:cstheme="minorHAnsi"/>
                <w:sz w:val="18"/>
                <w:szCs w:val="18"/>
              </w:rPr>
              <w:t>1.875.000</w:t>
            </w:r>
          </w:p>
        </w:tc>
        <w:tc>
          <w:tcPr>
            <w:tcW w:w="339" w:type="pct"/>
            <w:gridSpan w:val="2"/>
            <w:tcBorders>
              <w:top w:val="single" w:sz="4" w:space="0" w:color="auto"/>
            </w:tcBorders>
            <w:noWrap/>
            <w:vAlign w:val="center"/>
            <w:hideMark/>
          </w:tcPr>
          <w:p w14:paraId="4E953ADF" w14:textId="77777777" w:rsidR="0013173C" w:rsidRPr="00252D7B" w:rsidRDefault="0013173C" w:rsidP="00F6584E">
            <w:pPr>
              <w:spacing w:after="120"/>
              <w:jc w:val="right"/>
              <w:rPr>
                <w:rFonts w:asciiTheme="minorHAnsi" w:hAnsiTheme="minorHAnsi" w:cstheme="minorHAnsi"/>
                <w:sz w:val="18"/>
                <w:szCs w:val="18"/>
              </w:rPr>
            </w:pPr>
            <w:r w:rsidRPr="00252D7B">
              <w:rPr>
                <w:rFonts w:asciiTheme="minorHAnsi" w:hAnsiTheme="minorHAnsi" w:cstheme="minorHAnsi"/>
                <w:sz w:val="18"/>
                <w:szCs w:val="18"/>
              </w:rPr>
              <w:t>0,008</w:t>
            </w:r>
          </w:p>
        </w:tc>
        <w:tc>
          <w:tcPr>
            <w:tcW w:w="114" w:type="pct"/>
            <w:gridSpan w:val="2"/>
            <w:tcBorders>
              <w:top w:val="single" w:sz="4" w:space="0" w:color="auto"/>
            </w:tcBorders>
            <w:vAlign w:val="center"/>
          </w:tcPr>
          <w:p w14:paraId="4E005E91" w14:textId="77777777" w:rsidR="0013173C" w:rsidRPr="00252D7B" w:rsidRDefault="0013173C" w:rsidP="00F6584E">
            <w:pPr>
              <w:spacing w:after="120"/>
              <w:jc w:val="right"/>
              <w:rPr>
                <w:rFonts w:asciiTheme="minorHAnsi" w:hAnsiTheme="minorHAnsi" w:cstheme="minorHAnsi"/>
                <w:sz w:val="18"/>
                <w:szCs w:val="18"/>
              </w:rPr>
            </w:pPr>
          </w:p>
        </w:tc>
        <w:tc>
          <w:tcPr>
            <w:tcW w:w="340" w:type="pct"/>
            <w:gridSpan w:val="2"/>
            <w:tcBorders>
              <w:top w:val="single" w:sz="4" w:space="0" w:color="auto"/>
            </w:tcBorders>
            <w:vAlign w:val="center"/>
          </w:tcPr>
          <w:p w14:paraId="7F38CD8B" w14:textId="77777777" w:rsidR="0013173C" w:rsidRPr="00252D7B" w:rsidRDefault="0013173C" w:rsidP="00F6584E">
            <w:pPr>
              <w:spacing w:after="120"/>
              <w:jc w:val="right"/>
              <w:rPr>
                <w:rFonts w:asciiTheme="minorHAnsi" w:hAnsiTheme="minorHAnsi" w:cstheme="minorHAnsi"/>
                <w:sz w:val="18"/>
                <w:szCs w:val="18"/>
              </w:rPr>
            </w:pPr>
            <w:r w:rsidRPr="00252D7B">
              <w:rPr>
                <w:rFonts w:asciiTheme="minorHAnsi" w:hAnsiTheme="minorHAnsi" w:cstheme="minorHAnsi"/>
                <w:sz w:val="18"/>
                <w:szCs w:val="18"/>
              </w:rPr>
              <w:t>0,0027</w:t>
            </w:r>
          </w:p>
        </w:tc>
        <w:tc>
          <w:tcPr>
            <w:tcW w:w="111" w:type="pct"/>
            <w:gridSpan w:val="2"/>
            <w:tcBorders>
              <w:top w:val="single" w:sz="4" w:space="0" w:color="auto"/>
            </w:tcBorders>
            <w:vAlign w:val="center"/>
          </w:tcPr>
          <w:p w14:paraId="41324AC7" w14:textId="77777777" w:rsidR="0013173C" w:rsidRPr="00252D7B" w:rsidRDefault="0013173C" w:rsidP="00F6584E">
            <w:pPr>
              <w:spacing w:after="120"/>
              <w:jc w:val="both"/>
              <w:rPr>
                <w:rFonts w:asciiTheme="minorHAnsi" w:hAnsiTheme="minorHAnsi" w:cstheme="minorHAnsi"/>
                <w:sz w:val="20"/>
                <w:szCs w:val="20"/>
              </w:rPr>
            </w:pPr>
          </w:p>
        </w:tc>
      </w:tr>
      <w:tr w:rsidR="0013173C" w:rsidRPr="00252D7B" w14:paraId="3228AF27" w14:textId="77777777" w:rsidTr="00F6584E">
        <w:trPr>
          <w:trHeight w:hRule="exact" w:val="227"/>
          <w:jc w:val="center"/>
        </w:trPr>
        <w:tc>
          <w:tcPr>
            <w:tcW w:w="734" w:type="pct"/>
            <w:gridSpan w:val="2"/>
            <w:tcBorders>
              <w:bottom w:val="single" w:sz="4" w:space="0" w:color="auto"/>
            </w:tcBorders>
            <w:vAlign w:val="center"/>
          </w:tcPr>
          <w:p w14:paraId="548393AE" w14:textId="77777777" w:rsidR="0013173C" w:rsidRPr="00252D7B" w:rsidRDefault="0013173C" w:rsidP="00F6584E">
            <w:pPr>
              <w:spacing w:after="120"/>
              <w:jc w:val="right"/>
              <w:rPr>
                <w:rFonts w:asciiTheme="minorHAnsi" w:hAnsiTheme="minorHAnsi" w:cstheme="minorHAnsi"/>
                <w:sz w:val="18"/>
                <w:szCs w:val="18"/>
              </w:rPr>
            </w:pPr>
            <w:r w:rsidRPr="00252D7B">
              <w:rPr>
                <w:rFonts w:asciiTheme="minorHAnsi" w:hAnsiTheme="minorHAnsi" w:cstheme="minorHAnsi"/>
                <w:sz w:val="18"/>
                <w:szCs w:val="18"/>
              </w:rPr>
              <w:t>Transnordestina Logística S/A</w:t>
            </w:r>
          </w:p>
        </w:tc>
        <w:tc>
          <w:tcPr>
            <w:tcW w:w="634" w:type="pct"/>
            <w:gridSpan w:val="2"/>
            <w:tcBorders>
              <w:bottom w:val="single" w:sz="4" w:space="0" w:color="auto"/>
            </w:tcBorders>
            <w:noWrap/>
            <w:vAlign w:val="center"/>
          </w:tcPr>
          <w:p w14:paraId="56C56030" w14:textId="77777777" w:rsidR="0013173C" w:rsidRPr="00252D7B" w:rsidRDefault="0013173C" w:rsidP="00F6584E">
            <w:pPr>
              <w:spacing w:after="120"/>
              <w:jc w:val="right"/>
              <w:rPr>
                <w:rFonts w:asciiTheme="minorHAnsi" w:hAnsiTheme="minorHAnsi" w:cstheme="minorHAnsi"/>
                <w:sz w:val="18"/>
                <w:szCs w:val="18"/>
              </w:rPr>
            </w:pPr>
            <w:r w:rsidRPr="00252D7B">
              <w:rPr>
                <w:rFonts w:asciiTheme="minorHAnsi" w:hAnsiTheme="minorHAnsi" w:cstheme="minorHAnsi"/>
                <w:sz w:val="18"/>
                <w:szCs w:val="18"/>
              </w:rPr>
              <w:t>959.774.015</w:t>
            </w:r>
          </w:p>
        </w:tc>
        <w:tc>
          <w:tcPr>
            <w:tcW w:w="538" w:type="pct"/>
            <w:gridSpan w:val="2"/>
            <w:tcBorders>
              <w:bottom w:val="single" w:sz="4" w:space="0" w:color="auto"/>
            </w:tcBorders>
            <w:noWrap/>
            <w:vAlign w:val="center"/>
          </w:tcPr>
          <w:p w14:paraId="6D07F371" w14:textId="77777777" w:rsidR="0013173C" w:rsidRPr="00252D7B" w:rsidRDefault="0013173C" w:rsidP="00F6584E">
            <w:pPr>
              <w:spacing w:after="120"/>
              <w:jc w:val="right"/>
              <w:rPr>
                <w:rFonts w:asciiTheme="minorHAnsi" w:hAnsiTheme="minorHAnsi" w:cstheme="minorHAnsi"/>
                <w:sz w:val="18"/>
                <w:szCs w:val="18"/>
              </w:rPr>
            </w:pPr>
            <w:r w:rsidRPr="00252D7B">
              <w:rPr>
                <w:rFonts w:asciiTheme="minorHAnsi" w:hAnsiTheme="minorHAnsi" w:cstheme="minorHAnsi"/>
                <w:sz w:val="18"/>
                <w:szCs w:val="18"/>
              </w:rPr>
              <w:t>(32.248.507)</w:t>
            </w:r>
          </w:p>
        </w:tc>
        <w:tc>
          <w:tcPr>
            <w:tcW w:w="388" w:type="pct"/>
            <w:gridSpan w:val="2"/>
            <w:tcBorders>
              <w:bottom w:val="single" w:sz="4" w:space="0" w:color="auto"/>
            </w:tcBorders>
            <w:noWrap/>
            <w:vAlign w:val="center"/>
          </w:tcPr>
          <w:p w14:paraId="6513265E" w14:textId="77777777" w:rsidR="0013173C" w:rsidRPr="00252D7B" w:rsidRDefault="0013173C" w:rsidP="00F6584E">
            <w:pPr>
              <w:spacing w:after="120"/>
              <w:jc w:val="right"/>
              <w:rPr>
                <w:rFonts w:asciiTheme="minorHAnsi" w:hAnsiTheme="minorHAnsi" w:cstheme="minorHAnsi"/>
                <w:sz w:val="18"/>
                <w:szCs w:val="18"/>
              </w:rPr>
            </w:pPr>
            <w:r w:rsidRPr="00252D7B">
              <w:rPr>
                <w:rFonts w:asciiTheme="minorHAnsi" w:hAnsiTheme="minorHAnsi" w:cstheme="minorHAnsi"/>
                <w:sz w:val="18"/>
                <w:szCs w:val="18"/>
              </w:rPr>
              <w:t>0</w:t>
            </w:r>
          </w:p>
        </w:tc>
        <w:tc>
          <w:tcPr>
            <w:tcW w:w="531" w:type="pct"/>
            <w:gridSpan w:val="2"/>
            <w:tcBorders>
              <w:bottom w:val="single" w:sz="4" w:space="0" w:color="auto"/>
            </w:tcBorders>
            <w:noWrap/>
            <w:vAlign w:val="center"/>
          </w:tcPr>
          <w:p w14:paraId="2AB3C8C7" w14:textId="77777777" w:rsidR="0013173C" w:rsidRPr="00252D7B" w:rsidRDefault="0013173C" w:rsidP="00F6584E">
            <w:pPr>
              <w:spacing w:after="120"/>
              <w:jc w:val="right"/>
              <w:rPr>
                <w:rFonts w:asciiTheme="minorHAnsi" w:hAnsiTheme="minorHAnsi" w:cstheme="minorHAnsi"/>
                <w:sz w:val="18"/>
                <w:szCs w:val="18"/>
              </w:rPr>
            </w:pPr>
            <w:r>
              <w:rPr>
                <w:rFonts w:asciiTheme="minorHAnsi" w:hAnsiTheme="minorHAnsi" w:cstheme="minorHAnsi"/>
                <w:sz w:val="18"/>
                <w:szCs w:val="18"/>
              </w:rPr>
              <w:t>921.825.119</w:t>
            </w:r>
          </w:p>
        </w:tc>
        <w:tc>
          <w:tcPr>
            <w:tcW w:w="487" w:type="pct"/>
            <w:gridSpan w:val="2"/>
            <w:tcBorders>
              <w:bottom w:val="single" w:sz="4" w:space="0" w:color="auto"/>
            </w:tcBorders>
            <w:noWrap/>
            <w:vAlign w:val="center"/>
          </w:tcPr>
          <w:p w14:paraId="4E2A51F5" w14:textId="77777777" w:rsidR="0013173C" w:rsidRPr="00252D7B" w:rsidRDefault="0013173C" w:rsidP="00F6584E">
            <w:pPr>
              <w:spacing w:after="120"/>
              <w:jc w:val="right"/>
              <w:rPr>
                <w:rFonts w:asciiTheme="minorHAnsi" w:hAnsiTheme="minorHAnsi" w:cstheme="minorHAnsi"/>
                <w:sz w:val="18"/>
                <w:szCs w:val="18"/>
              </w:rPr>
            </w:pPr>
            <w:r w:rsidRPr="00252D7B">
              <w:rPr>
                <w:rFonts w:asciiTheme="minorHAnsi" w:hAnsiTheme="minorHAnsi" w:cstheme="minorHAnsi"/>
                <w:sz w:val="18"/>
                <w:szCs w:val="18"/>
              </w:rPr>
              <w:t>18.686.075</w:t>
            </w:r>
          </w:p>
        </w:tc>
        <w:tc>
          <w:tcPr>
            <w:tcW w:w="339" w:type="pct"/>
            <w:gridSpan w:val="2"/>
            <w:tcBorders>
              <w:bottom w:val="single" w:sz="4" w:space="0" w:color="auto"/>
            </w:tcBorders>
            <w:noWrap/>
            <w:vAlign w:val="center"/>
          </w:tcPr>
          <w:p w14:paraId="489711C6" w14:textId="77777777" w:rsidR="0013173C" w:rsidRPr="00252D7B" w:rsidRDefault="0013173C" w:rsidP="00F6584E">
            <w:pPr>
              <w:spacing w:after="120"/>
              <w:jc w:val="right"/>
              <w:rPr>
                <w:rFonts w:asciiTheme="minorHAnsi" w:hAnsiTheme="minorHAnsi" w:cstheme="minorHAnsi"/>
                <w:sz w:val="18"/>
                <w:szCs w:val="18"/>
              </w:rPr>
            </w:pPr>
            <w:r w:rsidRPr="00252D7B">
              <w:rPr>
                <w:rFonts w:asciiTheme="minorHAnsi" w:hAnsiTheme="minorHAnsi" w:cstheme="minorHAnsi"/>
                <w:sz w:val="18"/>
                <w:szCs w:val="18"/>
              </w:rPr>
              <w:t>71,59</w:t>
            </w:r>
          </w:p>
        </w:tc>
        <w:tc>
          <w:tcPr>
            <w:tcW w:w="445" w:type="pct"/>
            <w:gridSpan w:val="2"/>
            <w:tcBorders>
              <w:bottom w:val="single" w:sz="4" w:space="0" w:color="auto"/>
            </w:tcBorders>
            <w:noWrap/>
            <w:vAlign w:val="center"/>
          </w:tcPr>
          <w:p w14:paraId="6691B6BD" w14:textId="77777777" w:rsidR="0013173C" w:rsidRPr="00252D7B" w:rsidRDefault="0013173C" w:rsidP="00F6584E">
            <w:pPr>
              <w:spacing w:after="120"/>
              <w:jc w:val="right"/>
              <w:rPr>
                <w:rFonts w:asciiTheme="minorHAnsi" w:hAnsiTheme="minorHAnsi" w:cstheme="minorHAnsi"/>
                <w:sz w:val="18"/>
                <w:szCs w:val="18"/>
              </w:rPr>
            </w:pPr>
            <w:r w:rsidRPr="00252D7B">
              <w:rPr>
                <w:rFonts w:asciiTheme="minorHAnsi" w:hAnsiTheme="minorHAnsi" w:cstheme="minorHAnsi"/>
                <w:sz w:val="18"/>
                <w:szCs w:val="18"/>
              </w:rPr>
              <w:t>1.722.716</w:t>
            </w:r>
          </w:p>
        </w:tc>
        <w:tc>
          <w:tcPr>
            <w:tcW w:w="339" w:type="pct"/>
            <w:gridSpan w:val="2"/>
            <w:tcBorders>
              <w:bottom w:val="single" w:sz="4" w:space="0" w:color="auto"/>
            </w:tcBorders>
            <w:noWrap/>
            <w:vAlign w:val="center"/>
          </w:tcPr>
          <w:p w14:paraId="7F1C5A61" w14:textId="77777777" w:rsidR="0013173C" w:rsidRPr="00252D7B" w:rsidRDefault="0013173C" w:rsidP="00F6584E">
            <w:pPr>
              <w:spacing w:after="120"/>
              <w:jc w:val="right"/>
              <w:rPr>
                <w:rFonts w:asciiTheme="minorHAnsi" w:hAnsiTheme="minorHAnsi" w:cstheme="minorHAnsi"/>
                <w:sz w:val="18"/>
                <w:szCs w:val="18"/>
              </w:rPr>
            </w:pPr>
            <w:r w:rsidRPr="00252D7B">
              <w:rPr>
                <w:rFonts w:asciiTheme="minorHAnsi" w:hAnsiTheme="minorHAnsi" w:cstheme="minorHAnsi"/>
                <w:sz w:val="18"/>
                <w:szCs w:val="18"/>
              </w:rPr>
              <w:t>6,60</w:t>
            </w:r>
          </w:p>
        </w:tc>
        <w:tc>
          <w:tcPr>
            <w:tcW w:w="114" w:type="pct"/>
            <w:gridSpan w:val="2"/>
            <w:tcBorders>
              <w:bottom w:val="single" w:sz="4" w:space="0" w:color="auto"/>
            </w:tcBorders>
            <w:vAlign w:val="center"/>
          </w:tcPr>
          <w:p w14:paraId="7DC446C0" w14:textId="77777777" w:rsidR="0013173C" w:rsidRPr="00252D7B" w:rsidRDefault="0013173C" w:rsidP="00F6584E">
            <w:pPr>
              <w:spacing w:after="120"/>
              <w:jc w:val="right"/>
              <w:rPr>
                <w:rFonts w:asciiTheme="minorHAnsi" w:hAnsiTheme="minorHAnsi" w:cstheme="minorHAnsi"/>
                <w:sz w:val="18"/>
                <w:szCs w:val="18"/>
              </w:rPr>
            </w:pPr>
          </w:p>
        </w:tc>
        <w:tc>
          <w:tcPr>
            <w:tcW w:w="340" w:type="pct"/>
            <w:gridSpan w:val="2"/>
            <w:tcBorders>
              <w:bottom w:val="single" w:sz="4" w:space="0" w:color="auto"/>
            </w:tcBorders>
            <w:vAlign w:val="center"/>
          </w:tcPr>
          <w:p w14:paraId="6DDB3C58" w14:textId="77777777" w:rsidR="0013173C" w:rsidRPr="00252D7B" w:rsidRDefault="0013173C" w:rsidP="00F6584E">
            <w:pPr>
              <w:spacing w:after="120"/>
              <w:jc w:val="right"/>
              <w:rPr>
                <w:rFonts w:asciiTheme="minorHAnsi" w:hAnsiTheme="minorHAnsi" w:cstheme="minorHAnsi"/>
                <w:sz w:val="18"/>
                <w:szCs w:val="18"/>
              </w:rPr>
            </w:pPr>
            <w:r w:rsidRPr="00252D7B">
              <w:rPr>
                <w:rFonts w:asciiTheme="minorHAnsi" w:hAnsiTheme="minorHAnsi" w:cstheme="minorHAnsi"/>
                <w:sz w:val="18"/>
                <w:szCs w:val="18"/>
              </w:rPr>
              <w:t>39,10</w:t>
            </w:r>
          </w:p>
        </w:tc>
        <w:tc>
          <w:tcPr>
            <w:tcW w:w="111" w:type="pct"/>
            <w:gridSpan w:val="2"/>
            <w:tcBorders>
              <w:bottom w:val="single" w:sz="4" w:space="0" w:color="auto"/>
            </w:tcBorders>
            <w:vAlign w:val="center"/>
          </w:tcPr>
          <w:p w14:paraId="0EA6DAE8" w14:textId="77777777" w:rsidR="0013173C" w:rsidRPr="00252D7B" w:rsidRDefault="0013173C" w:rsidP="00F6584E">
            <w:pPr>
              <w:spacing w:after="120"/>
              <w:jc w:val="both"/>
              <w:rPr>
                <w:rFonts w:asciiTheme="minorHAnsi" w:hAnsiTheme="minorHAnsi" w:cstheme="minorHAnsi"/>
                <w:sz w:val="20"/>
                <w:szCs w:val="20"/>
              </w:rPr>
            </w:pPr>
          </w:p>
        </w:tc>
      </w:tr>
      <w:tr w:rsidR="0013173C" w:rsidRPr="00252D7B" w14:paraId="60673921" w14:textId="77777777" w:rsidTr="00F6584E">
        <w:trPr>
          <w:trHeight w:hRule="exact" w:val="227"/>
          <w:jc w:val="center"/>
        </w:trPr>
        <w:tc>
          <w:tcPr>
            <w:tcW w:w="734" w:type="pct"/>
            <w:gridSpan w:val="2"/>
            <w:tcBorders>
              <w:top w:val="single" w:sz="4" w:space="0" w:color="auto"/>
              <w:bottom w:val="single" w:sz="4" w:space="0" w:color="auto"/>
            </w:tcBorders>
            <w:noWrap/>
            <w:vAlign w:val="center"/>
            <w:hideMark/>
          </w:tcPr>
          <w:p w14:paraId="5DD43FD6" w14:textId="77777777" w:rsidR="0013173C" w:rsidRPr="00252D7B" w:rsidRDefault="0013173C" w:rsidP="00F6584E">
            <w:pPr>
              <w:spacing w:after="120"/>
              <w:jc w:val="right"/>
              <w:rPr>
                <w:rFonts w:asciiTheme="minorHAnsi" w:hAnsiTheme="minorHAnsi" w:cstheme="minorHAnsi"/>
                <w:b/>
                <w:bCs/>
                <w:sz w:val="18"/>
                <w:szCs w:val="18"/>
              </w:rPr>
            </w:pPr>
            <w:r w:rsidRPr="00252D7B">
              <w:rPr>
                <w:rFonts w:asciiTheme="minorHAnsi" w:hAnsiTheme="minorHAnsi" w:cstheme="minorHAnsi"/>
                <w:b/>
                <w:bCs/>
                <w:sz w:val="18"/>
                <w:szCs w:val="18"/>
              </w:rPr>
              <w:t>TOTAL</w:t>
            </w:r>
          </w:p>
        </w:tc>
        <w:tc>
          <w:tcPr>
            <w:tcW w:w="634" w:type="pct"/>
            <w:gridSpan w:val="2"/>
            <w:tcBorders>
              <w:top w:val="single" w:sz="4" w:space="0" w:color="auto"/>
              <w:bottom w:val="single" w:sz="4" w:space="0" w:color="auto"/>
            </w:tcBorders>
            <w:noWrap/>
            <w:vAlign w:val="center"/>
            <w:hideMark/>
          </w:tcPr>
          <w:p w14:paraId="32A1D853" w14:textId="77777777" w:rsidR="0013173C" w:rsidRPr="00252D7B" w:rsidRDefault="0013173C" w:rsidP="00F6584E">
            <w:pPr>
              <w:spacing w:after="120"/>
              <w:jc w:val="right"/>
              <w:rPr>
                <w:rFonts w:asciiTheme="minorHAnsi" w:hAnsiTheme="minorHAnsi" w:cstheme="minorHAnsi"/>
                <w:b/>
                <w:bCs/>
                <w:sz w:val="18"/>
                <w:szCs w:val="18"/>
              </w:rPr>
            </w:pPr>
            <w:r w:rsidRPr="00252D7B">
              <w:rPr>
                <w:rFonts w:asciiTheme="minorHAnsi" w:hAnsiTheme="minorHAnsi" w:cstheme="minorHAnsi"/>
                <w:b/>
                <w:bCs/>
                <w:sz w:val="18"/>
                <w:szCs w:val="18"/>
              </w:rPr>
              <w:t>959.800.293</w:t>
            </w:r>
          </w:p>
        </w:tc>
        <w:tc>
          <w:tcPr>
            <w:tcW w:w="538" w:type="pct"/>
            <w:gridSpan w:val="2"/>
            <w:tcBorders>
              <w:top w:val="single" w:sz="4" w:space="0" w:color="auto"/>
              <w:bottom w:val="single" w:sz="4" w:space="0" w:color="auto"/>
            </w:tcBorders>
            <w:noWrap/>
            <w:vAlign w:val="center"/>
            <w:hideMark/>
          </w:tcPr>
          <w:p w14:paraId="05F4AAFE" w14:textId="77777777" w:rsidR="0013173C" w:rsidRPr="00252D7B" w:rsidRDefault="0013173C" w:rsidP="00F6584E">
            <w:pPr>
              <w:spacing w:after="120"/>
              <w:jc w:val="right"/>
              <w:rPr>
                <w:rFonts w:asciiTheme="minorHAnsi" w:hAnsiTheme="minorHAnsi" w:cstheme="minorHAnsi"/>
                <w:b/>
                <w:bCs/>
                <w:sz w:val="18"/>
                <w:szCs w:val="18"/>
              </w:rPr>
            </w:pPr>
            <w:r w:rsidRPr="00252D7B">
              <w:rPr>
                <w:rFonts w:asciiTheme="minorHAnsi" w:hAnsiTheme="minorHAnsi" w:cstheme="minorHAnsi"/>
                <w:b/>
                <w:bCs/>
                <w:sz w:val="18"/>
                <w:szCs w:val="18"/>
              </w:rPr>
              <w:t>(32.248.507)</w:t>
            </w:r>
          </w:p>
        </w:tc>
        <w:tc>
          <w:tcPr>
            <w:tcW w:w="388" w:type="pct"/>
            <w:gridSpan w:val="2"/>
            <w:tcBorders>
              <w:top w:val="single" w:sz="4" w:space="0" w:color="auto"/>
              <w:bottom w:val="single" w:sz="4" w:space="0" w:color="auto"/>
            </w:tcBorders>
            <w:noWrap/>
            <w:vAlign w:val="center"/>
            <w:hideMark/>
          </w:tcPr>
          <w:p w14:paraId="165086A7" w14:textId="77777777" w:rsidR="0013173C" w:rsidRPr="00252D7B" w:rsidRDefault="0013173C" w:rsidP="00F6584E">
            <w:pPr>
              <w:spacing w:after="120"/>
              <w:jc w:val="right"/>
              <w:rPr>
                <w:rFonts w:asciiTheme="minorHAnsi" w:hAnsiTheme="minorHAnsi" w:cstheme="minorHAnsi"/>
                <w:b/>
                <w:bCs/>
                <w:sz w:val="18"/>
                <w:szCs w:val="18"/>
              </w:rPr>
            </w:pPr>
            <w:r w:rsidRPr="00252D7B">
              <w:rPr>
                <w:rFonts w:asciiTheme="minorHAnsi" w:hAnsiTheme="minorHAnsi" w:cstheme="minorHAnsi"/>
                <w:b/>
                <w:bCs/>
                <w:sz w:val="18"/>
                <w:szCs w:val="18"/>
              </w:rPr>
              <w:t>0</w:t>
            </w:r>
          </w:p>
        </w:tc>
        <w:tc>
          <w:tcPr>
            <w:tcW w:w="531" w:type="pct"/>
            <w:gridSpan w:val="2"/>
            <w:tcBorders>
              <w:top w:val="single" w:sz="4" w:space="0" w:color="auto"/>
              <w:bottom w:val="single" w:sz="4" w:space="0" w:color="auto"/>
            </w:tcBorders>
            <w:noWrap/>
            <w:vAlign w:val="center"/>
            <w:hideMark/>
          </w:tcPr>
          <w:p w14:paraId="2A4A66DF" w14:textId="77777777" w:rsidR="0013173C" w:rsidRPr="00252D7B" w:rsidRDefault="0013173C" w:rsidP="00F6584E">
            <w:pPr>
              <w:spacing w:after="120"/>
              <w:jc w:val="right"/>
              <w:rPr>
                <w:rFonts w:asciiTheme="minorHAnsi" w:hAnsiTheme="minorHAnsi" w:cstheme="minorHAnsi"/>
                <w:b/>
                <w:bCs/>
                <w:sz w:val="18"/>
                <w:szCs w:val="18"/>
              </w:rPr>
            </w:pPr>
            <w:r>
              <w:rPr>
                <w:rFonts w:asciiTheme="minorHAnsi" w:hAnsiTheme="minorHAnsi" w:cstheme="minorHAnsi"/>
                <w:b/>
                <w:bCs/>
                <w:sz w:val="18"/>
                <w:szCs w:val="18"/>
              </w:rPr>
              <w:t>921.851.397</w:t>
            </w:r>
          </w:p>
        </w:tc>
        <w:tc>
          <w:tcPr>
            <w:tcW w:w="487" w:type="pct"/>
            <w:gridSpan w:val="2"/>
            <w:tcBorders>
              <w:top w:val="single" w:sz="4" w:space="0" w:color="auto"/>
              <w:bottom w:val="single" w:sz="4" w:space="0" w:color="auto"/>
            </w:tcBorders>
            <w:noWrap/>
            <w:vAlign w:val="center"/>
            <w:hideMark/>
          </w:tcPr>
          <w:p w14:paraId="03594751" w14:textId="77777777" w:rsidR="0013173C" w:rsidRPr="00252D7B" w:rsidRDefault="0013173C" w:rsidP="00F6584E">
            <w:pPr>
              <w:spacing w:after="120"/>
              <w:jc w:val="right"/>
              <w:rPr>
                <w:rFonts w:asciiTheme="minorHAnsi" w:hAnsiTheme="minorHAnsi" w:cstheme="minorHAnsi"/>
                <w:b/>
                <w:bCs/>
                <w:sz w:val="18"/>
                <w:szCs w:val="18"/>
              </w:rPr>
            </w:pPr>
          </w:p>
        </w:tc>
        <w:tc>
          <w:tcPr>
            <w:tcW w:w="339" w:type="pct"/>
            <w:gridSpan w:val="2"/>
            <w:tcBorders>
              <w:top w:val="single" w:sz="4" w:space="0" w:color="auto"/>
              <w:bottom w:val="single" w:sz="4" w:space="0" w:color="auto"/>
            </w:tcBorders>
            <w:noWrap/>
            <w:vAlign w:val="center"/>
            <w:hideMark/>
          </w:tcPr>
          <w:p w14:paraId="13119AC9" w14:textId="77777777" w:rsidR="0013173C" w:rsidRPr="00252D7B" w:rsidRDefault="0013173C" w:rsidP="00F6584E">
            <w:pPr>
              <w:spacing w:after="120"/>
              <w:jc w:val="right"/>
              <w:rPr>
                <w:rFonts w:asciiTheme="minorHAnsi" w:hAnsiTheme="minorHAnsi" w:cstheme="minorHAnsi"/>
                <w:sz w:val="18"/>
                <w:szCs w:val="18"/>
              </w:rPr>
            </w:pPr>
          </w:p>
        </w:tc>
        <w:tc>
          <w:tcPr>
            <w:tcW w:w="445" w:type="pct"/>
            <w:gridSpan w:val="2"/>
            <w:tcBorders>
              <w:top w:val="single" w:sz="4" w:space="0" w:color="auto"/>
              <w:bottom w:val="single" w:sz="4" w:space="0" w:color="auto"/>
            </w:tcBorders>
            <w:noWrap/>
            <w:vAlign w:val="center"/>
            <w:hideMark/>
          </w:tcPr>
          <w:p w14:paraId="256BD8E1" w14:textId="77777777" w:rsidR="0013173C" w:rsidRPr="00252D7B" w:rsidRDefault="0013173C" w:rsidP="00F6584E">
            <w:pPr>
              <w:spacing w:after="120"/>
              <w:jc w:val="right"/>
              <w:rPr>
                <w:rFonts w:asciiTheme="minorHAnsi" w:hAnsiTheme="minorHAnsi" w:cstheme="minorHAnsi"/>
                <w:sz w:val="18"/>
                <w:szCs w:val="18"/>
              </w:rPr>
            </w:pPr>
          </w:p>
        </w:tc>
        <w:tc>
          <w:tcPr>
            <w:tcW w:w="339" w:type="pct"/>
            <w:gridSpan w:val="2"/>
            <w:tcBorders>
              <w:top w:val="single" w:sz="4" w:space="0" w:color="auto"/>
              <w:bottom w:val="single" w:sz="4" w:space="0" w:color="auto"/>
            </w:tcBorders>
            <w:noWrap/>
            <w:vAlign w:val="center"/>
            <w:hideMark/>
          </w:tcPr>
          <w:p w14:paraId="356BEAA2" w14:textId="77777777" w:rsidR="0013173C" w:rsidRPr="00252D7B" w:rsidRDefault="0013173C" w:rsidP="00F6584E">
            <w:pPr>
              <w:spacing w:after="120"/>
              <w:jc w:val="right"/>
              <w:rPr>
                <w:rFonts w:asciiTheme="minorHAnsi" w:hAnsiTheme="minorHAnsi" w:cstheme="minorHAnsi"/>
                <w:sz w:val="18"/>
                <w:szCs w:val="18"/>
              </w:rPr>
            </w:pPr>
          </w:p>
        </w:tc>
        <w:tc>
          <w:tcPr>
            <w:tcW w:w="114" w:type="pct"/>
            <w:gridSpan w:val="2"/>
            <w:tcBorders>
              <w:top w:val="single" w:sz="4" w:space="0" w:color="auto"/>
              <w:bottom w:val="single" w:sz="4" w:space="0" w:color="auto"/>
            </w:tcBorders>
            <w:vAlign w:val="center"/>
          </w:tcPr>
          <w:p w14:paraId="081519DA" w14:textId="77777777" w:rsidR="0013173C" w:rsidRPr="00252D7B" w:rsidRDefault="0013173C" w:rsidP="00F6584E">
            <w:pPr>
              <w:spacing w:after="120"/>
              <w:jc w:val="right"/>
              <w:rPr>
                <w:rFonts w:asciiTheme="minorHAnsi" w:hAnsiTheme="minorHAnsi" w:cstheme="minorHAnsi"/>
                <w:sz w:val="18"/>
                <w:szCs w:val="18"/>
              </w:rPr>
            </w:pPr>
          </w:p>
        </w:tc>
        <w:tc>
          <w:tcPr>
            <w:tcW w:w="340" w:type="pct"/>
            <w:gridSpan w:val="2"/>
            <w:tcBorders>
              <w:top w:val="single" w:sz="4" w:space="0" w:color="auto"/>
              <w:bottom w:val="single" w:sz="4" w:space="0" w:color="auto"/>
            </w:tcBorders>
            <w:vAlign w:val="center"/>
          </w:tcPr>
          <w:p w14:paraId="2C8D813C" w14:textId="77777777" w:rsidR="0013173C" w:rsidRPr="00252D7B" w:rsidRDefault="0013173C" w:rsidP="00F6584E">
            <w:pPr>
              <w:spacing w:after="120"/>
              <w:jc w:val="right"/>
              <w:rPr>
                <w:rFonts w:asciiTheme="minorHAnsi" w:hAnsiTheme="minorHAnsi" w:cstheme="minorHAnsi"/>
                <w:sz w:val="18"/>
                <w:szCs w:val="18"/>
              </w:rPr>
            </w:pPr>
          </w:p>
        </w:tc>
        <w:tc>
          <w:tcPr>
            <w:tcW w:w="111" w:type="pct"/>
            <w:gridSpan w:val="2"/>
            <w:tcBorders>
              <w:top w:val="single" w:sz="4" w:space="0" w:color="auto"/>
              <w:bottom w:val="single" w:sz="4" w:space="0" w:color="auto"/>
            </w:tcBorders>
            <w:vAlign w:val="center"/>
          </w:tcPr>
          <w:p w14:paraId="4BA3A7BF" w14:textId="77777777" w:rsidR="0013173C" w:rsidRPr="00252D7B" w:rsidRDefault="0013173C" w:rsidP="00F6584E">
            <w:pPr>
              <w:spacing w:after="120"/>
              <w:jc w:val="both"/>
              <w:rPr>
                <w:rFonts w:asciiTheme="minorHAnsi" w:hAnsiTheme="minorHAnsi" w:cstheme="minorHAnsi"/>
                <w:sz w:val="20"/>
                <w:szCs w:val="20"/>
              </w:rPr>
            </w:pPr>
          </w:p>
        </w:tc>
      </w:tr>
    </w:tbl>
    <w:p w14:paraId="730792A8" w14:textId="77777777" w:rsidR="0013173C" w:rsidRPr="00252D7B" w:rsidRDefault="0013173C" w:rsidP="0013173C">
      <w:pPr>
        <w:spacing w:before="120" w:after="120"/>
        <w:rPr>
          <w:rFonts w:asciiTheme="minorHAnsi" w:hAnsiTheme="minorHAnsi" w:cstheme="minorHAnsi"/>
        </w:rPr>
      </w:pPr>
    </w:p>
    <w:p w14:paraId="049237E9" w14:textId="77777777" w:rsidR="0013173C" w:rsidRPr="00C97F2B" w:rsidRDefault="0013173C" w:rsidP="00C97F2B">
      <w:pPr>
        <w:pStyle w:val="Ttulo4"/>
        <w:rPr>
          <w:rFonts w:asciiTheme="minorHAnsi" w:hAnsiTheme="minorHAnsi" w:cstheme="minorHAnsi"/>
        </w:rPr>
      </w:pPr>
      <w:bookmarkStart w:id="637" w:name="_Toc97918830"/>
      <w:bookmarkStart w:id="638" w:name="_Toc103680632"/>
      <w:r w:rsidRPr="00C97F2B">
        <w:rPr>
          <w:rFonts w:asciiTheme="minorHAnsi" w:hAnsiTheme="minorHAnsi" w:cstheme="minorHAnsi"/>
        </w:rPr>
        <w:t>Estrada de Ferro Paraná-Oeste S/A – FERROESTE</w:t>
      </w:r>
      <w:bookmarkEnd w:id="635"/>
      <w:bookmarkEnd w:id="636"/>
      <w:bookmarkEnd w:id="637"/>
      <w:bookmarkEnd w:id="638"/>
    </w:p>
    <w:p w14:paraId="7877A94D" w14:textId="77777777" w:rsidR="0013173C" w:rsidRPr="00252D7B" w:rsidRDefault="0013173C" w:rsidP="0013173C">
      <w:pPr>
        <w:spacing w:before="120" w:after="120"/>
        <w:ind w:right="57"/>
        <w:jc w:val="both"/>
        <w:rPr>
          <w:rFonts w:asciiTheme="minorHAnsi" w:hAnsiTheme="minorHAnsi" w:cstheme="minorHAnsi"/>
          <w:sz w:val="24"/>
          <w:szCs w:val="24"/>
        </w:rPr>
      </w:pPr>
      <w:bookmarkStart w:id="639" w:name="_Toc94012593"/>
      <w:bookmarkStart w:id="640" w:name="_Toc95830322"/>
      <w:r w:rsidRPr="00252D7B">
        <w:rPr>
          <w:rFonts w:asciiTheme="minorHAnsi" w:hAnsiTheme="minorHAnsi" w:cstheme="minorHAnsi"/>
          <w:sz w:val="24"/>
          <w:szCs w:val="24"/>
        </w:rPr>
        <w:t xml:space="preserve">A Estrada de Ferro Paraná-Oeste S/A (FERROESTE) é uma sociedade anônima, de economia mista, controlada pelo Estado do Paraná, com 99,69% de participação acionária, o restante das ações pertence a 46 empresas nacionais, 3 estrangeiras e 6 pessoas físicas. A FERROESTE tem por objetivo a construção, operação, administração, e exploração comercial de vias ferroviárias nacionais, de terminais ferroviários, de silos e demais sistemas de armazenagem de produtos agrícolas e manufaturados em geral. </w:t>
      </w:r>
    </w:p>
    <w:p w14:paraId="21A6F000" w14:textId="77777777" w:rsidR="0013173C" w:rsidRPr="00252D7B" w:rsidRDefault="0013173C" w:rsidP="0013173C">
      <w:pPr>
        <w:spacing w:before="120" w:after="120"/>
        <w:ind w:right="57"/>
        <w:jc w:val="both"/>
        <w:rPr>
          <w:rFonts w:asciiTheme="minorHAnsi" w:hAnsiTheme="minorHAnsi" w:cstheme="minorHAnsi"/>
          <w:sz w:val="24"/>
          <w:szCs w:val="24"/>
        </w:rPr>
      </w:pPr>
      <w:r w:rsidRPr="00252D7B">
        <w:rPr>
          <w:rFonts w:asciiTheme="minorHAnsi" w:hAnsiTheme="minorHAnsi" w:cstheme="minorHAnsi"/>
          <w:sz w:val="24"/>
          <w:szCs w:val="24"/>
        </w:rPr>
        <w:t>A Valec participa do capital social da Estrada de Ferro Paraná-Oeste S/A (FERROESTE) com 1.875 lotes de 1.000 ações ordinárias. Esse investimento é avaliado pelo método de custo em função da participação da Valec não apresentar influência significativa, além dessa participação ser inferior a 20% do Capital Social da investida.</w:t>
      </w:r>
    </w:p>
    <w:p w14:paraId="1C5201C0" w14:textId="77777777" w:rsidR="0013173C" w:rsidRPr="00252D7B" w:rsidRDefault="0013173C" w:rsidP="0013173C">
      <w:pPr>
        <w:spacing w:before="120" w:after="120"/>
        <w:rPr>
          <w:rFonts w:asciiTheme="minorHAnsi" w:hAnsiTheme="minorHAnsi" w:cstheme="minorHAnsi"/>
        </w:rPr>
      </w:pPr>
    </w:p>
    <w:p w14:paraId="1119DCBF" w14:textId="77777777" w:rsidR="0013173C" w:rsidRPr="00C97F2B" w:rsidRDefault="0013173C" w:rsidP="00C97F2B">
      <w:pPr>
        <w:pStyle w:val="Ttulo4"/>
        <w:rPr>
          <w:rFonts w:asciiTheme="minorHAnsi" w:hAnsiTheme="minorHAnsi" w:cstheme="minorHAnsi"/>
        </w:rPr>
      </w:pPr>
      <w:bookmarkStart w:id="641" w:name="_Toc97918831"/>
      <w:bookmarkStart w:id="642" w:name="_Toc103680633"/>
      <w:r w:rsidRPr="00C97F2B">
        <w:rPr>
          <w:rFonts w:asciiTheme="minorHAnsi" w:hAnsiTheme="minorHAnsi" w:cstheme="minorHAnsi"/>
        </w:rPr>
        <w:t>Transnordestina Logística S/A – TLSA</w:t>
      </w:r>
      <w:bookmarkEnd w:id="639"/>
      <w:bookmarkEnd w:id="640"/>
      <w:bookmarkEnd w:id="641"/>
      <w:bookmarkEnd w:id="642"/>
    </w:p>
    <w:p w14:paraId="2836557E" w14:textId="77777777" w:rsidR="0013173C" w:rsidRPr="00252D7B" w:rsidRDefault="0013173C" w:rsidP="0013173C">
      <w:pPr>
        <w:pStyle w:val="Textoembloco"/>
        <w:spacing w:before="120" w:after="120" w:line="240" w:lineRule="auto"/>
        <w:ind w:left="0" w:right="57"/>
        <w:rPr>
          <w:rFonts w:asciiTheme="minorHAnsi" w:hAnsiTheme="minorHAnsi" w:cstheme="minorHAnsi"/>
          <w:sz w:val="24"/>
          <w:szCs w:val="24"/>
        </w:rPr>
      </w:pPr>
      <w:bookmarkStart w:id="643" w:name="_Toc94012594"/>
      <w:bookmarkStart w:id="644" w:name="_Toc95830323"/>
      <w:r w:rsidRPr="00252D7B">
        <w:rPr>
          <w:rFonts w:asciiTheme="minorHAnsi" w:hAnsiTheme="minorHAnsi" w:cstheme="minorHAnsi"/>
          <w:sz w:val="24"/>
          <w:szCs w:val="24"/>
        </w:rPr>
        <w:t xml:space="preserve">A Transnordestina Logística S/A (TLSA) é uma sociedade por ações, sediada em Fortaleza/CE, com registro de companhia aberta, classe B, junto à Comissão de Valores Mobiliários (“CVM”). A Companhia é controlada pela Companhia Siderúrgica Nacional (“CSN”) e suas ações não são negociadas em bolsa de valores. </w:t>
      </w:r>
    </w:p>
    <w:p w14:paraId="477A8EE7" w14:textId="77777777" w:rsidR="0013173C" w:rsidRPr="00252D7B" w:rsidRDefault="0013173C" w:rsidP="0013173C">
      <w:pPr>
        <w:pStyle w:val="Textoembloco"/>
        <w:spacing w:before="120" w:after="120" w:line="240" w:lineRule="auto"/>
        <w:ind w:left="0" w:right="57"/>
        <w:rPr>
          <w:rFonts w:asciiTheme="minorHAnsi" w:hAnsiTheme="minorHAnsi" w:cstheme="minorHAnsi"/>
          <w:sz w:val="24"/>
          <w:szCs w:val="24"/>
        </w:rPr>
      </w:pPr>
      <w:r w:rsidRPr="00252D7B">
        <w:rPr>
          <w:rFonts w:asciiTheme="minorHAnsi" w:hAnsiTheme="minorHAnsi" w:cstheme="minorHAnsi"/>
          <w:sz w:val="24"/>
          <w:szCs w:val="24"/>
        </w:rPr>
        <w:t>A Companhia tem por objeto social prestar serviços de transporte ferroviário; explorar serviços de carga, descarga, armazenagem e transbordo nas estações, pátios e terrenos existentes na faixa de domínio das linhas ferroviárias objeto da concessão; explorar os transportes intermodais necessários ao desenvolvimento de suas atividades; participar de projetos que tenham como objeto a promoção do desenvolvimento socioeconômico das áreas de influência, visando a ampliação dos serviços ferroviários concedidos; exercer a atividade de operador portuário; exercer outras atividades que utilizem como base a infraestrutura da Companhia; exercer a função de operador de transporte multimodal (OTM) e executar todas as atividades afins ou correlatas às descritas anteriormente.</w:t>
      </w:r>
    </w:p>
    <w:p w14:paraId="43C8FC60" w14:textId="77777777" w:rsidR="0013173C" w:rsidRPr="00252D7B" w:rsidRDefault="0013173C" w:rsidP="0013173C">
      <w:pPr>
        <w:pStyle w:val="Textoembloco"/>
        <w:spacing w:before="120" w:after="120" w:line="240" w:lineRule="auto"/>
        <w:ind w:left="0" w:right="57"/>
        <w:rPr>
          <w:rFonts w:asciiTheme="minorHAnsi" w:hAnsiTheme="minorHAnsi" w:cstheme="minorHAnsi"/>
          <w:bCs w:val="0"/>
          <w:sz w:val="24"/>
          <w:szCs w:val="24"/>
          <w:shd w:val="clear" w:color="auto" w:fill="FFFFFF"/>
        </w:rPr>
      </w:pPr>
      <w:r w:rsidRPr="00252D7B">
        <w:rPr>
          <w:rFonts w:asciiTheme="minorHAnsi" w:hAnsiTheme="minorHAnsi" w:cstheme="minorHAnsi"/>
          <w:bCs w:val="0"/>
          <w:sz w:val="24"/>
          <w:szCs w:val="24"/>
          <w:shd w:val="clear" w:color="auto" w:fill="FFFFFF"/>
        </w:rPr>
        <w:t>A Valec participa do capital social da Transnordestina Logística S/A com 20.408.791 ações (</w:t>
      </w:r>
      <w:r w:rsidRPr="00252D7B">
        <w:rPr>
          <w:rFonts w:asciiTheme="minorHAnsi" w:hAnsiTheme="minorHAnsi" w:cstheme="minorHAnsi"/>
          <w:sz w:val="24"/>
          <w:szCs w:val="24"/>
        </w:rPr>
        <w:t xml:space="preserve">18.686.075 ações preferenciais e 1.722.716 ações ordinárias) </w:t>
      </w:r>
      <w:r w:rsidRPr="00252D7B">
        <w:rPr>
          <w:rFonts w:asciiTheme="minorHAnsi" w:hAnsiTheme="minorHAnsi" w:cstheme="minorHAnsi"/>
          <w:bCs w:val="0"/>
          <w:sz w:val="24"/>
          <w:szCs w:val="24"/>
          <w:shd w:val="clear" w:color="auto" w:fill="FFFFFF"/>
        </w:rPr>
        <w:t xml:space="preserve">que correspondem a 39,10% do total de ações, sendo 71,59% das ações preferenciais e 6,60% das ações ordinárias. </w:t>
      </w:r>
    </w:p>
    <w:p w14:paraId="1086BB28" w14:textId="77777777" w:rsidR="0013173C" w:rsidRPr="00252D7B" w:rsidRDefault="0013173C" w:rsidP="0013173C">
      <w:pPr>
        <w:pStyle w:val="Textoembloco"/>
        <w:spacing w:before="120" w:after="120" w:line="240" w:lineRule="auto"/>
        <w:ind w:left="0" w:right="57"/>
        <w:rPr>
          <w:rFonts w:asciiTheme="minorHAnsi" w:hAnsiTheme="minorHAnsi" w:cstheme="minorHAnsi"/>
          <w:sz w:val="24"/>
          <w:szCs w:val="24"/>
          <w:shd w:val="clear" w:color="auto" w:fill="FFFFFF"/>
        </w:rPr>
      </w:pPr>
      <w:r w:rsidRPr="00252D7B">
        <w:rPr>
          <w:rFonts w:asciiTheme="minorHAnsi" w:hAnsiTheme="minorHAnsi" w:cstheme="minorHAnsi"/>
          <w:sz w:val="24"/>
          <w:szCs w:val="24"/>
          <w:shd w:val="clear" w:color="auto" w:fill="FFFFFF"/>
        </w:rPr>
        <w:t>A Valec, nos termos da legislação, dos contratos, do Acordo de Acionistas e do Acordo de Investimento, não é integrante do grupo controlador da TLSA e não possui o controle compartilhado, mantendo a sua característica de acionista minoritária.</w:t>
      </w:r>
      <w:bookmarkStart w:id="645" w:name="_Hlk36135171"/>
    </w:p>
    <w:p w14:paraId="1BC69D90" w14:textId="77777777" w:rsidR="0013173C" w:rsidRPr="00252D7B" w:rsidRDefault="0013173C" w:rsidP="0013173C">
      <w:pPr>
        <w:pStyle w:val="Textoembloco"/>
        <w:spacing w:before="120" w:after="120" w:line="240" w:lineRule="auto"/>
        <w:ind w:left="0" w:right="57"/>
        <w:rPr>
          <w:rFonts w:asciiTheme="minorHAnsi" w:hAnsiTheme="minorHAnsi" w:cstheme="minorHAnsi"/>
          <w:sz w:val="24"/>
          <w:szCs w:val="24"/>
          <w:shd w:val="clear" w:color="auto" w:fill="FFFFFF"/>
        </w:rPr>
      </w:pPr>
      <w:r w:rsidRPr="00252D7B">
        <w:rPr>
          <w:rFonts w:asciiTheme="minorHAnsi" w:hAnsiTheme="minorHAnsi" w:cstheme="minorHAnsi"/>
          <w:sz w:val="24"/>
          <w:szCs w:val="24"/>
          <w:shd w:val="clear" w:color="auto" w:fill="FFFFFF"/>
        </w:rPr>
        <w:lastRenderedPageBreak/>
        <w:t>A Lei nº 6.404/76, de 15 de dezembro de 1976, que dispõe sobre as sociedades por ações, preceitua em seu art.116 o conceito do acionista controlador como a pessoa, natural ou jurídica, ou o grupo de pessoas vinculadas por acordo de voto, ou sob controle comum, que: a) é titular de direitos de sócio que lhe assegurem, de modo permanente, a maioria dos votos nas deliberações da assembleia-geral e o poder de eleger a maioria dos administradores da companhia; e b) usa efetivamente seu poder para dirigir as atividades sociais e orientar o funcionamento dos órgãos da companhia.</w:t>
      </w:r>
    </w:p>
    <w:p w14:paraId="2D976159" w14:textId="77777777" w:rsidR="0013173C" w:rsidRPr="00252D7B" w:rsidRDefault="0013173C" w:rsidP="0013173C">
      <w:pPr>
        <w:pStyle w:val="Textoembloco"/>
        <w:spacing w:before="120" w:after="120" w:line="240" w:lineRule="auto"/>
        <w:ind w:left="0" w:right="57"/>
        <w:rPr>
          <w:rFonts w:asciiTheme="minorHAnsi" w:hAnsiTheme="minorHAnsi" w:cstheme="minorHAnsi"/>
          <w:bCs w:val="0"/>
          <w:sz w:val="24"/>
          <w:szCs w:val="24"/>
          <w:shd w:val="clear" w:color="auto" w:fill="FFFFFF"/>
        </w:rPr>
      </w:pPr>
      <w:r w:rsidRPr="00252D7B">
        <w:rPr>
          <w:rFonts w:asciiTheme="minorHAnsi" w:hAnsiTheme="minorHAnsi" w:cstheme="minorHAnsi"/>
          <w:bCs w:val="0"/>
          <w:sz w:val="24"/>
          <w:szCs w:val="24"/>
          <w:shd w:val="clear" w:color="auto" w:fill="FFFFFF"/>
        </w:rPr>
        <w:t>Em 27 de dezembro 2013, após a eleição e posse de dois representantes para compor o Conselho de Administração da Transnordestina Logística S/A, a Valec passou a considerá-la coligada. Conforme a Norma Brasileira de Contabilidade NBC TG 18 (R3), coligada é a entidade sobre a qual o investidor tem influência significativa, isto é, o investidor possui o direito de participar de certas decisões sobre políticas financeiras e operacionais da companhia investida, mas sem exercer controle individual ou conjunto dessas políticas.</w:t>
      </w:r>
    </w:p>
    <w:p w14:paraId="237E6A7A" w14:textId="77777777" w:rsidR="0013173C" w:rsidRPr="00252D7B" w:rsidRDefault="0013173C" w:rsidP="0013173C">
      <w:pPr>
        <w:pStyle w:val="Textoembloco"/>
        <w:spacing w:before="120" w:after="120" w:line="240" w:lineRule="auto"/>
        <w:ind w:left="0" w:right="57"/>
        <w:rPr>
          <w:rFonts w:asciiTheme="minorHAnsi" w:hAnsiTheme="minorHAnsi" w:cstheme="minorHAnsi"/>
          <w:bCs w:val="0"/>
          <w:sz w:val="24"/>
          <w:szCs w:val="24"/>
          <w:shd w:val="clear" w:color="auto" w:fill="FFFFFF"/>
        </w:rPr>
      </w:pPr>
      <w:r w:rsidRPr="00252D7B">
        <w:rPr>
          <w:rFonts w:asciiTheme="minorHAnsi" w:hAnsiTheme="minorHAnsi" w:cstheme="minorHAnsi"/>
          <w:bCs w:val="0"/>
          <w:sz w:val="24"/>
          <w:szCs w:val="24"/>
          <w:shd w:val="clear" w:color="auto" w:fill="FFFFFF"/>
        </w:rPr>
        <w:t>A NBC TG 18 (R3) determina que o investimento em coligada seja avaliado pelo método da equivalência patrimonial, o qual deve ser inicialmente reconhecido pelo custo e o seu valor contábil aumentado ou diminuído pelo reconhecimento da participação do investidor nos lucros ou prejuízos do período, gerados pela investida após a aquisição. A participação do investidor no lucro ou prejuízo do período da investida deve ser reconhecida no resultado do período do investidor.</w:t>
      </w:r>
    </w:p>
    <w:p w14:paraId="43C78750" w14:textId="77777777" w:rsidR="0013173C" w:rsidRPr="00252D7B" w:rsidRDefault="0013173C" w:rsidP="0013173C">
      <w:pPr>
        <w:pStyle w:val="Textoembloco"/>
        <w:spacing w:before="120" w:after="120" w:line="240" w:lineRule="auto"/>
        <w:ind w:left="0" w:right="57"/>
        <w:rPr>
          <w:rFonts w:asciiTheme="minorHAnsi" w:hAnsiTheme="minorHAnsi" w:cstheme="minorHAnsi"/>
          <w:bCs w:val="0"/>
          <w:sz w:val="24"/>
          <w:szCs w:val="24"/>
          <w:shd w:val="clear" w:color="auto" w:fill="FFFFFF"/>
        </w:rPr>
      </w:pPr>
      <w:r w:rsidRPr="00252D7B">
        <w:rPr>
          <w:rFonts w:asciiTheme="minorHAnsi" w:hAnsiTheme="minorHAnsi" w:cstheme="minorHAnsi"/>
          <w:bCs w:val="0"/>
          <w:sz w:val="24"/>
          <w:szCs w:val="24"/>
          <w:shd w:val="clear" w:color="auto" w:fill="FFFFFF"/>
        </w:rPr>
        <w:t>Até o ano de 2016, a Vales aportou o montante de R$ 1.124,6 milhões na TLSA. Desde janeiro de 2017, por determinação do Tribunal de Contas da União – Acórdão n° 67/2017, estão suspensos novos aportes de recursos públicos para o projeto.</w:t>
      </w:r>
    </w:p>
    <w:p w14:paraId="589EDC5B" w14:textId="0A7E5641" w:rsidR="0013173C" w:rsidRPr="00586AA3" w:rsidRDefault="0013173C" w:rsidP="0013173C">
      <w:pPr>
        <w:pStyle w:val="Textoembloco"/>
        <w:spacing w:before="120" w:after="120" w:line="240" w:lineRule="auto"/>
        <w:ind w:left="0" w:right="57"/>
        <w:rPr>
          <w:rFonts w:asciiTheme="minorHAnsi" w:hAnsiTheme="minorHAnsi" w:cstheme="minorHAnsi"/>
          <w:bCs w:val="0"/>
          <w:sz w:val="24"/>
          <w:szCs w:val="24"/>
          <w:shd w:val="clear" w:color="auto" w:fill="FFFFFF"/>
        </w:rPr>
      </w:pPr>
      <w:r w:rsidRPr="00586AA3">
        <w:rPr>
          <w:rFonts w:asciiTheme="minorHAnsi" w:hAnsiTheme="minorHAnsi" w:cstheme="minorHAnsi"/>
          <w:bCs w:val="0"/>
          <w:sz w:val="24"/>
          <w:szCs w:val="24"/>
          <w:shd w:val="clear" w:color="auto" w:fill="FFFFFF"/>
        </w:rPr>
        <w:t xml:space="preserve">No ano de 2021, a Transnordestina Logística S/A apresentou um resultado negativo de R$ 97 milhões, o que provocou para a </w:t>
      </w:r>
      <w:r w:rsidR="00B448C2">
        <w:rPr>
          <w:rFonts w:asciiTheme="minorHAnsi" w:hAnsiTheme="minorHAnsi" w:cstheme="minorHAnsi"/>
          <w:bCs w:val="0"/>
          <w:sz w:val="24"/>
          <w:szCs w:val="24"/>
          <w:shd w:val="clear" w:color="auto" w:fill="FFFFFF"/>
        </w:rPr>
        <w:t>Valec</w:t>
      </w:r>
      <w:r w:rsidRPr="00586AA3">
        <w:rPr>
          <w:rFonts w:asciiTheme="minorHAnsi" w:hAnsiTheme="minorHAnsi" w:cstheme="minorHAnsi"/>
          <w:bCs w:val="0"/>
          <w:sz w:val="24"/>
          <w:szCs w:val="24"/>
          <w:shd w:val="clear" w:color="auto" w:fill="FFFFFF"/>
        </w:rPr>
        <w:t xml:space="preserve"> uma perda de equivalência patrimonial deste investimento na ordem de R$ 37,9 milhões no período.</w:t>
      </w:r>
    </w:p>
    <w:p w14:paraId="61787629" w14:textId="77777777" w:rsidR="0013173C" w:rsidRDefault="0013173C" w:rsidP="0013173C">
      <w:pPr>
        <w:spacing w:before="120" w:after="120"/>
        <w:rPr>
          <w:rFonts w:asciiTheme="minorHAnsi" w:hAnsiTheme="minorHAnsi" w:cstheme="minorHAnsi"/>
        </w:rPr>
      </w:pPr>
    </w:p>
    <w:p w14:paraId="6559DA55" w14:textId="77777777" w:rsidR="0013173C" w:rsidRPr="00252D7B" w:rsidRDefault="0013173C" w:rsidP="0013173C">
      <w:pPr>
        <w:spacing w:before="120" w:after="120"/>
        <w:rPr>
          <w:rFonts w:asciiTheme="minorHAnsi" w:hAnsiTheme="minorHAnsi" w:cstheme="minorHAnsi"/>
        </w:rPr>
      </w:pPr>
    </w:p>
    <w:p w14:paraId="4319EE1B" w14:textId="77777777" w:rsidR="0013173C" w:rsidRPr="00252D7B" w:rsidRDefault="0013173C" w:rsidP="00C97F2B">
      <w:pPr>
        <w:pStyle w:val="Ttulo3"/>
        <w:spacing w:before="120" w:after="120"/>
        <w:rPr>
          <w:rFonts w:asciiTheme="minorHAnsi" w:hAnsiTheme="minorHAnsi" w:cstheme="minorHAnsi"/>
        </w:rPr>
      </w:pPr>
      <w:bookmarkStart w:id="646" w:name="_Toc97918832"/>
      <w:bookmarkStart w:id="647" w:name="_Toc103680634"/>
      <w:r w:rsidRPr="00252D7B">
        <w:rPr>
          <w:rFonts w:asciiTheme="minorHAnsi" w:hAnsiTheme="minorHAnsi" w:cstheme="minorHAnsi"/>
        </w:rPr>
        <w:t>Imobilizado</w:t>
      </w:r>
      <w:bookmarkEnd w:id="646"/>
      <w:bookmarkEnd w:id="647"/>
    </w:p>
    <w:p w14:paraId="54D06BFB" w14:textId="77777777" w:rsidR="0013173C" w:rsidRPr="00D544EC" w:rsidRDefault="0013173C" w:rsidP="00D544EC">
      <w:pPr>
        <w:pStyle w:val="Ttulo4"/>
        <w:rPr>
          <w:rFonts w:asciiTheme="minorHAnsi" w:hAnsiTheme="minorHAnsi" w:cstheme="minorHAnsi"/>
        </w:rPr>
      </w:pPr>
      <w:bookmarkStart w:id="648" w:name="_Toc97918833"/>
      <w:bookmarkStart w:id="649" w:name="_Toc103680635"/>
      <w:r w:rsidRPr="00D544EC">
        <w:rPr>
          <w:rFonts w:asciiTheme="minorHAnsi" w:hAnsiTheme="minorHAnsi" w:cstheme="minorHAnsi"/>
        </w:rPr>
        <w:t>Composição e fluxo do ativo imobilizado:</w:t>
      </w:r>
      <w:bookmarkEnd w:id="648"/>
      <w:bookmarkEnd w:id="649"/>
    </w:p>
    <w:p w14:paraId="5ACB64C8" w14:textId="77777777" w:rsidR="0013173C" w:rsidRPr="00252D7B" w:rsidRDefault="0013173C" w:rsidP="0013173C">
      <w:pPr>
        <w:spacing w:after="120"/>
        <w:ind w:right="-85"/>
        <w:jc w:val="both"/>
        <w:rPr>
          <w:rFonts w:asciiTheme="minorHAnsi" w:hAnsiTheme="minorHAnsi" w:cstheme="minorHAnsi"/>
          <w:bCs/>
          <w:sz w:val="24"/>
          <w:szCs w:val="24"/>
          <w:shd w:val="clear" w:color="auto" w:fill="FFFFFF"/>
        </w:rPr>
      </w:pPr>
      <w:r w:rsidRPr="00252D7B">
        <w:rPr>
          <w:rFonts w:asciiTheme="minorHAnsi" w:hAnsiTheme="minorHAnsi" w:cstheme="minorHAnsi"/>
          <w:bCs/>
          <w:sz w:val="24"/>
          <w:szCs w:val="24"/>
          <w:shd w:val="clear" w:color="auto" w:fill="FFFFFF"/>
        </w:rPr>
        <w:t>O fluxo de movimentação do ativo imobilizado da Valec no exercício de 2021 está representado na Tabela 62 e justificado nos itens que segue.</w:t>
      </w:r>
    </w:p>
    <w:p w14:paraId="47E63C60" w14:textId="77777777" w:rsidR="0013173C" w:rsidRPr="00252D7B" w:rsidRDefault="0013173C" w:rsidP="0013173C">
      <w:pPr>
        <w:spacing w:after="120"/>
        <w:ind w:right="-85"/>
        <w:jc w:val="both"/>
        <w:rPr>
          <w:rFonts w:asciiTheme="minorHAnsi" w:hAnsiTheme="minorHAnsi" w:cstheme="minorHAnsi"/>
          <w:bCs/>
          <w:sz w:val="24"/>
          <w:szCs w:val="24"/>
          <w:shd w:val="clear" w:color="auto" w:fill="FFFFFF"/>
        </w:rPr>
      </w:pPr>
    </w:p>
    <w:p w14:paraId="66A7020B" w14:textId="469A0D38" w:rsidR="0013173C" w:rsidRPr="005059B1" w:rsidRDefault="0013173C" w:rsidP="005059B1">
      <w:pPr>
        <w:pStyle w:val="Legenda"/>
        <w:jc w:val="center"/>
        <w:rPr>
          <w:rFonts w:asciiTheme="minorHAnsi" w:hAnsiTheme="minorHAnsi" w:cstheme="minorHAnsi"/>
          <w:sz w:val="20"/>
          <w:szCs w:val="20"/>
        </w:rPr>
      </w:pPr>
      <w:bookmarkStart w:id="650" w:name="_Toc97918913"/>
      <w:bookmarkStart w:id="651" w:name="_Toc103680699"/>
      <w:r w:rsidRPr="00252D7B">
        <w:rPr>
          <w:rFonts w:asciiTheme="minorHAnsi" w:hAnsiTheme="minorHAnsi" w:cstheme="minorHAnsi"/>
          <w:sz w:val="20"/>
          <w:szCs w:val="20"/>
        </w:rPr>
        <w:t xml:space="preserve">Tabela </w:t>
      </w:r>
      <w:r w:rsidRPr="005059B1">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Tabela \* ARABIC </w:instrText>
      </w:r>
      <w:r w:rsidRPr="005059B1">
        <w:rPr>
          <w:rFonts w:asciiTheme="minorHAnsi" w:hAnsiTheme="minorHAnsi" w:cstheme="minorHAnsi"/>
          <w:sz w:val="20"/>
          <w:szCs w:val="20"/>
        </w:rPr>
        <w:fldChar w:fldCharType="separate"/>
      </w:r>
      <w:r w:rsidR="00C12888">
        <w:rPr>
          <w:rFonts w:asciiTheme="minorHAnsi" w:hAnsiTheme="minorHAnsi" w:cstheme="minorHAnsi"/>
          <w:noProof/>
          <w:sz w:val="20"/>
          <w:szCs w:val="20"/>
        </w:rPr>
        <w:t>37</w:t>
      </w:r>
      <w:r w:rsidRPr="005059B1">
        <w:rPr>
          <w:rFonts w:asciiTheme="minorHAnsi" w:hAnsiTheme="minorHAnsi" w:cstheme="minorHAnsi"/>
          <w:sz w:val="20"/>
          <w:szCs w:val="20"/>
        </w:rPr>
        <w:fldChar w:fldCharType="end"/>
      </w:r>
      <w:r w:rsidRPr="00252D7B">
        <w:rPr>
          <w:rFonts w:asciiTheme="minorHAnsi" w:hAnsiTheme="minorHAnsi" w:cstheme="minorHAnsi"/>
          <w:sz w:val="20"/>
          <w:szCs w:val="20"/>
        </w:rPr>
        <w:t xml:space="preserve"> –</w:t>
      </w:r>
      <w:r w:rsidR="005059B1">
        <w:rPr>
          <w:rFonts w:asciiTheme="minorHAnsi" w:hAnsiTheme="minorHAnsi" w:cstheme="minorHAnsi"/>
          <w:sz w:val="20"/>
          <w:szCs w:val="20"/>
        </w:rPr>
        <w:t xml:space="preserve"> </w:t>
      </w:r>
      <w:r w:rsidRPr="00252D7B">
        <w:rPr>
          <w:rFonts w:asciiTheme="minorHAnsi" w:hAnsiTheme="minorHAnsi" w:cstheme="minorHAnsi"/>
          <w:sz w:val="20"/>
          <w:szCs w:val="20"/>
        </w:rPr>
        <w:t>Composição e fluxo do ativo imobilizado</w:t>
      </w:r>
      <w:bookmarkEnd w:id="650"/>
      <w:bookmarkEnd w:id="651"/>
    </w:p>
    <w:tbl>
      <w:tblPr>
        <w:tblW w:w="10746" w:type="dxa"/>
        <w:tblCellMar>
          <w:left w:w="70" w:type="dxa"/>
          <w:right w:w="70" w:type="dxa"/>
        </w:tblCellMar>
        <w:tblLook w:val="04A0" w:firstRow="1" w:lastRow="0" w:firstColumn="1" w:lastColumn="0" w:noHBand="0" w:noVBand="1"/>
      </w:tblPr>
      <w:tblGrid>
        <w:gridCol w:w="3261"/>
        <w:gridCol w:w="1418"/>
        <w:gridCol w:w="1237"/>
        <w:gridCol w:w="1167"/>
        <w:gridCol w:w="1441"/>
        <w:gridCol w:w="1522"/>
        <w:gridCol w:w="700"/>
      </w:tblGrid>
      <w:tr w:rsidR="0013173C" w:rsidRPr="00252D7B" w14:paraId="1CF854F9" w14:textId="77777777" w:rsidTr="00F6584E">
        <w:trPr>
          <w:trHeight w:val="465"/>
        </w:trPr>
        <w:tc>
          <w:tcPr>
            <w:tcW w:w="3261" w:type="dxa"/>
            <w:tcBorders>
              <w:top w:val="nil"/>
              <w:left w:val="nil"/>
              <w:bottom w:val="single" w:sz="8" w:space="0" w:color="auto"/>
              <w:right w:val="nil"/>
            </w:tcBorders>
            <w:shd w:val="clear" w:color="auto" w:fill="auto"/>
            <w:vAlign w:val="center"/>
            <w:hideMark/>
          </w:tcPr>
          <w:p w14:paraId="300651AA" w14:textId="77777777" w:rsidR="0013173C" w:rsidRPr="00252D7B" w:rsidRDefault="0013173C" w:rsidP="00F6584E">
            <w:pPr>
              <w:spacing w:after="120"/>
              <w:ind w:left="-496" w:firstLine="496"/>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IMOBILIZADO BENS MÓVEIS</w:t>
            </w:r>
          </w:p>
        </w:tc>
        <w:tc>
          <w:tcPr>
            <w:tcW w:w="1418" w:type="dxa"/>
            <w:tcBorders>
              <w:top w:val="nil"/>
              <w:left w:val="nil"/>
              <w:bottom w:val="single" w:sz="8" w:space="0" w:color="auto"/>
              <w:right w:val="nil"/>
            </w:tcBorders>
            <w:shd w:val="clear" w:color="auto" w:fill="auto"/>
            <w:vAlign w:val="center"/>
            <w:hideMark/>
          </w:tcPr>
          <w:p w14:paraId="7D77AF49" w14:textId="77777777" w:rsidR="0013173C" w:rsidRPr="00252D7B" w:rsidRDefault="0013173C" w:rsidP="00F6584E">
            <w:pPr>
              <w:spacing w:after="120"/>
              <w:ind w:left="-496" w:firstLine="496"/>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SALDO EM 31/12/2020</w:t>
            </w:r>
          </w:p>
        </w:tc>
        <w:tc>
          <w:tcPr>
            <w:tcW w:w="1237" w:type="dxa"/>
            <w:tcBorders>
              <w:top w:val="nil"/>
              <w:left w:val="nil"/>
              <w:bottom w:val="single" w:sz="8" w:space="0" w:color="auto"/>
              <w:right w:val="nil"/>
            </w:tcBorders>
            <w:shd w:val="clear" w:color="auto" w:fill="auto"/>
            <w:vAlign w:val="center"/>
            <w:hideMark/>
          </w:tcPr>
          <w:p w14:paraId="738C7D20" w14:textId="77777777" w:rsidR="0013173C" w:rsidRPr="00252D7B" w:rsidRDefault="0013173C" w:rsidP="00F6584E">
            <w:pPr>
              <w:spacing w:after="120"/>
              <w:ind w:left="-496" w:firstLine="496"/>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ENTRADAS</w:t>
            </w:r>
          </w:p>
        </w:tc>
        <w:tc>
          <w:tcPr>
            <w:tcW w:w="1167" w:type="dxa"/>
            <w:tcBorders>
              <w:top w:val="nil"/>
              <w:left w:val="nil"/>
              <w:bottom w:val="single" w:sz="8" w:space="0" w:color="auto"/>
              <w:right w:val="nil"/>
            </w:tcBorders>
            <w:shd w:val="clear" w:color="auto" w:fill="auto"/>
            <w:vAlign w:val="center"/>
            <w:hideMark/>
          </w:tcPr>
          <w:p w14:paraId="6FA92D55" w14:textId="77777777" w:rsidR="0013173C" w:rsidRPr="00252D7B" w:rsidRDefault="0013173C" w:rsidP="00F6584E">
            <w:pPr>
              <w:spacing w:after="120"/>
              <w:ind w:left="-496" w:firstLine="496"/>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BAIXAS</w:t>
            </w:r>
          </w:p>
        </w:tc>
        <w:tc>
          <w:tcPr>
            <w:tcW w:w="1441" w:type="dxa"/>
            <w:tcBorders>
              <w:top w:val="nil"/>
              <w:left w:val="nil"/>
              <w:bottom w:val="single" w:sz="8" w:space="0" w:color="auto"/>
              <w:right w:val="nil"/>
            </w:tcBorders>
            <w:shd w:val="clear" w:color="auto" w:fill="auto"/>
            <w:vAlign w:val="center"/>
            <w:hideMark/>
          </w:tcPr>
          <w:p w14:paraId="483D07B2" w14:textId="77777777" w:rsidR="0013173C" w:rsidRPr="00252D7B" w:rsidRDefault="0013173C" w:rsidP="00F6584E">
            <w:pPr>
              <w:spacing w:after="120"/>
              <w:ind w:left="-496" w:firstLine="496"/>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TRANSF.</w:t>
            </w:r>
          </w:p>
        </w:tc>
        <w:tc>
          <w:tcPr>
            <w:tcW w:w="1522" w:type="dxa"/>
            <w:tcBorders>
              <w:top w:val="nil"/>
              <w:left w:val="nil"/>
              <w:bottom w:val="single" w:sz="8" w:space="0" w:color="auto"/>
              <w:right w:val="nil"/>
            </w:tcBorders>
            <w:shd w:val="clear" w:color="auto" w:fill="auto"/>
            <w:vAlign w:val="center"/>
            <w:hideMark/>
          </w:tcPr>
          <w:p w14:paraId="685D0E34" w14:textId="77777777" w:rsidR="0013173C" w:rsidRPr="00252D7B" w:rsidRDefault="0013173C" w:rsidP="00F6584E">
            <w:pPr>
              <w:spacing w:after="120"/>
              <w:ind w:left="-496" w:firstLine="496"/>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SALDO EM 31/12/2021</w:t>
            </w:r>
          </w:p>
        </w:tc>
        <w:tc>
          <w:tcPr>
            <w:tcW w:w="700" w:type="dxa"/>
            <w:tcBorders>
              <w:top w:val="nil"/>
              <w:left w:val="nil"/>
              <w:bottom w:val="single" w:sz="8" w:space="0" w:color="auto"/>
              <w:right w:val="nil"/>
            </w:tcBorders>
            <w:shd w:val="clear" w:color="auto" w:fill="auto"/>
            <w:vAlign w:val="center"/>
            <w:hideMark/>
          </w:tcPr>
          <w:p w14:paraId="54F6D939" w14:textId="77777777" w:rsidR="0013173C" w:rsidRPr="00252D7B" w:rsidRDefault="0013173C" w:rsidP="00F6584E">
            <w:pPr>
              <w:spacing w:after="120"/>
              <w:ind w:left="-496" w:firstLine="496"/>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TAXA DEPREC. (%)</w:t>
            </w:r>
          </w:p>
        </w:tc>
      </w:tr>
      <w:tr w:rsidR="0013173C" w:rsidRPr="00252D7B" w14:paraId="2997E262" w14:textId="77777777" w:rsidTr="00F6584E">
        <w:trPr>
          <w:trHeight w:val="300"/>
        </w:trPr>
        <w:tc>
          <w:tcPr>
            <w:tcW w:w="3261" w:type="dxa"/>
            <w:tcBorders>
              <w:top w:val="nil"/>
              <w:left w:val="nil"/>
              <w:bottom w:val="nil"/>
              <w:right w:val="nil"/>
            </w:tcBorders>
            <w:shd w:val="clear" w:color="auto" w:fill="auto"/>
            <w:noWrap/>
            <w:vAlign w:val="center"/>
            <w:hideMark/>
          </w:tcPr>
          <w:p w14:paraId="7DE09232" w14:textId="77777777" w:rsidR="0013173C" w:rsidRPr="00252D7B" w:rsidRDefault="0013173C" w:rsidP="00F6584E">
            <w:pPr>
              <w:spacing w:after="120"/>
              <w:ind w:left="-496" w:firstLine="496"/>
              <w:rPr>
                <w:rFonts w:asciiTheme="minorHAnsi" w:hAnsiTheme="minorHAnsi" w:cstheme="minorHAnsi"/>
                <w:color w:val="000000"/>
                <w:sz w:val="15"/>
                <w:szCs w:val="15"/>
              </w:rPr>
            </w:pPr>
            <w:r w:rsidRPr="00252D7B">
              <w:rPr>
                <w:rFonts w:asciiTheme="minorHAnsi" w:hAnsiTheme="minorHAnsi" w:cstheme="minorHAnsi"/>
                <w:color w:val="000000"/>
                <w:sz w:val="15"/>
                <w:szCs w:val="15"/>
              </w:rPr>
              <w:t>Mobiliário em Geral</w:t>
            </w:r>
          </w:p>
        </w:tc>
        <w:tc>
          <w:tcPr>
            <w:tcW w:w="1418" w:type="dxa"/>
            <w:tcBorders>
              <w:top w:val="nil"/>
              <w:left w:val="nil"/>
              <w:bottom w:val="nil"/>
              <w:right w:val="nil"/>
            </w:tcBorders>
            <w:shd w:val="clear" w:color="auto" w:fill="auto"/>
            <w:noWrap/>
            <w:vAlign w:val="center"/>
            <w:hideMark/>
          </w:tcPr>
          <w:p w14:paraId="2B557BC8" w14:textId="77777777" w:rsidR="0013173C" w:rsidRPr="00252D7B" w:rsidRDefault="0013173C" w:rsidP="00F6584E">
            <w:pPr>
              <w:spacing w:after="120"/>
              <w:ind w:left="-496" w:firstLine="496"/>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8.626.849 </w:t>
            </w:r>
          </w:p>
        </w:tc>
        <w:tc>
          <w:tcPr>
            <w:tcW w:w="1237" w:type="dxa"/>
            <w:tcBorders>
              <w:top w:val="nil"/>
              <w:left w:val="nil"/>
              <w:bottom w:val="nil"/>
              <w:right w:val="nil"/>
            </w:tcBorders>
            <w:shd w:val="clear" w:color="auto" w:fill="auto"/>
            <w:noWrap/>
            <w:vAlign w:val="center"/>
            <w:hideMark/>
          </w:tcPr>
          <w:p w14:paraId="097A65A0" w14:textId="77777777" w:rsidR="0013173C" w:rsidRPr="00252D7B" w:rsidRDefault="0013173C" w:rsidP="00F6584E">
            <w:pPr>
              <w:spacing w:after="120"/>
              <w:ind w:left="-496" w:firstLine="496"/>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167" w:type="dxa"/>
            <w:tcBorders>
              <w:top w:val="nil"/>
              <w:left w:val="nil"/>
              <w:bottom w:val="nil"/>
              <w:right w:val="nil"/>
            </w:tcBorders>
            <w:shd w:val="clear" w:color="auto" w:fill="auto"/>
            <w:noWrap/>
            <w:vAlign w:val="center"/>
            <w:hideMark/>
          </w:tcPr>
          <w:p w14:paraId="379966EB" w14:textId="77777777" w:rsidR="0013173C" w:rsidRPr="00252D7B" w:rsidRDefault="0013173C" w:rsidP="00F6584E">
            <w:pPr>
              <w:spacing w:after="120"/>
              <w:ind w:left="-496" w:firstLine="496"/>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(225.504)</w:t>
            </w:r>
          </w:p>
        </w:tc>
        <w:tc>
          <w:tcPr>
            <w:tcW w:w="1441" w:type="dxa"/>
            <w:tcBorders>
              <w:top w:val="nil"/>
              <w:left w:val="nil"/>
              <w:bottom w:val="nil"/>
              <w:right w:val="nil"/>
            </w:tcBorders>
            <w:shd w:val="clear" w:color="auto" w:fill="auto"/>
            <w:noWrap/>
            <w:vAlign w:val="center"/>
            <w:hideMark/>
          </w:tcPr>
          <w:p w14:paraId="130E1D44" w14:textId="77777777" w:rsidR="0013173C" w:rsidRPr="00252D7B" w:rsidRDefault="0013173C" w:rsidP="00F6584E">
            <w:pPr>
              <w:spacing w:after="120"/>
              <w:ind w:left="-496" w:firstLine="496"/>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302.783 </w:t>
            </w:r>
          </w:p>
        </w:tc>
        <w:tc>
          <w:tcPr>
            <w:tcW w:w="1522" w:type="dxa"/>
            <w:tcBorders>
              <w:top w:val="nil"/>
              <w:left w:val="nil"/>
              <w:bottom w:val="nil"/>
              <w:right w:val="nil"/>
            </w:tcBorders>
            <w:shd w:val="clear" w:color="auto" w:fill="auto"/>
            <w:noWrap/>
            <w:vAlign w:val="center"/>
            <w:hideMark/>
          </w:tcPr>
          <w:p w14:paraId="1F856FA7" w14:textId="77777777" w:rsidR="0013173C" w:rsidRPr="00252D7B" w:rsidRDefault="0013173C" w:rsidP="00F6584E">
            <w:pPr>
              <w:spacing w:after="120"/>
              <w:ind w:left="-496" w:firstLine="496"/>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8.704.128 </w:t>
            </w:r>
          </w:p>
        </w:tc>
        <w:tc>
          <w:tcPr>
            <w:tcW w:w="700" w:type="dxa"/>
            <w:tcBorders>
              <w:top w:val="nil"/>
              <w:left w:val="nil"/>
              <w:bottom w:val="nil"/>
              <w:right w:val="nil"/>
            </w:tcBorders>
            <w:shd w:val="clear" w:color="auto" w:fill="auto"/>
            <w:noWrap/>
            <w:vAlign w:val="center"/>
            <w:hideMark/>
          </w:tcPr>
          <w:p w14:paraId="5D192B1D" w14:textId="77777777" w:rsidR="0013173C" w:rsidRPr="00252D7B" w:rsidRDefault="0013173C" w:rsidP="00F6584E">
            <w:pPr>
              <w:spacing w:after="120"/>
              <w:ind w:left="-496" w:firstLine="496"/>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10</w:t>
            </w:r>
          </w:p>
        </w:tc>
      </w:tr>
      <w:tr w:rsidR="0013173C" w:rsidRPr="00252D7B" w14:paraId="3A8F0D47" w14:textId="77777777" w:rsidTr="00F6584E">
        <w:trPr>
          <w:trHeight w:val="300"/>
        </w:trPr>
        <w:tc>
          <w:tcPr>
            <w:tcW w:w="3261" w:type="dxa"/>
            <w:tcBorders>
              <w:top w:val="nil"/>
              <w:left w:val="nil"/>
              <w:bottom w:val="nil"/>
              <w:right w:val="nil"/>
            </w:tcBorders>
            <w:shd w:val="clear" w:color="auto" w:fill="auto"/>
            <w:noWrap/>
            <w:vAlign w:val="center"/>
            <w:hideMark/>
          </w:tcPr>
          <w:p w14:paraId="42D4A431" w14:textId="77777777" w:rsidR="0013173C" w:rsidRPr="00252D7B" w:rsidRDefault="0013173C" w:rsidP="00F6584E">
            <w:pPr>
              <w:spacing w:after="120"/>
              <w:ind w:left="-496" w:firstLine="496"/>
              <w:rPr>
                <w:rFonts w:asciiTheme="minorHAnsi" w:hAnsiTheme="minorHAnsi" w:cstheme="minorHAnsi"/>
                <w:color w:val="000000"/>
                <w:sz w:val="15"/>
                <w:szCs w:val="15"/>
              </w:rPr>
            </w:pPr>
            <w:r w:rsidRPr="00252D7B">
              <w:rPr>
                <w:rFonts w:asciiTheme="minorHAnsi" w:hAnsiTheme="minorHAnsi" w:cstheme="minorHAnsi"/>
                <w:color w:val="000000"/>
                <w:sz w:val="15"/>
                <w:szCs w:val="15"/>
              </w:rPr>
              <w:t>Ativos de Concessão (Pátios)</w:t>
            </w:r>
          </w:p>
        </w:tc>
        <w:tc>
          <w:tcPr>
            <w:tcW w:w="1418" w:type="dxa"/>
            <w:tcBorders>
              <w:top w:val="nil"/>
              <w:left w:val="nil"/>
              <w:bottom w:val="nil"/>
              <w:right w:val="nil"/>
            </w:tcBorders>
            <w:shd w:val="clear" w:color="auto" w:fill="auto"/>
            <w:noWrap/>
            <w:vAlign w:val="center"/>
            <w:hideMark/>
          </w:tcPr>
          <w:p w14:paraId="72ABB66D" w14:textId="77777777" w:rsidR="0013173C" w:rsidRPr="00252D7B" w:rsidRDefault="0013173C" w:rsidP="00F6584E">
            <w:pPr>
              <w:spacing w:after="120"/>
              <w:ind w:left="-496" w:firstLine="496"/>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5.524.762 </w:t>
            </w:r>
          </w:p>
        </w:tc>
        <w:tc>
          <w:tcPr>
            <w:tcW w:w="1237" w:type="dxa"/>
            <w:tcBorders>
              <w:top w:val="nil"/>
              <w:left w:val="nil"/>
              <w:bottom w:val="nil"/>
              <w:right w:val="nil"/>
            </w:tcBorders>
            <w:shd w:val="clear" w:color="auto" w:fill="auto"/>
            <w:noWrap/>
            <w:vAlign w:val="center"/>
            <w:hideMark/>
          </w:tcPr>
          <w:p w14:paraId="40827081" w14:textId="77777777" w:rsidR="0013173C" w:rsidRPr="00252D7B" w:rsidRDefault="0013173C" w:rsidP="00F6584E">
            <w:pPr>
              <w:spacing w:after="120"/>
              <w:ind w:left="-496" w:firstLine="496"/>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167" w:type="dxa"/>
            <w:tcBorders>
              <w:top w:val="nil"/>
              <w:left w:val="nil"/>
              <w:bottom w:val="nil"/>
              <w:right w:val="nil"/>
            </w:tcBorders>
            <w:shd w:val="clear" w:color="auto" w:fill="auto"/>
            <w:noWrap/>
            <w:vAlign w:val="center"/>
            <w:hideMark/>
          </w:tcPr>
          <w:p w14:paraId="6722D6E8" w14:textId="77777777" w:rsidR="0013173C" w:rsidRPr="00252D7B" w:rsidRDefault="0013173C" w:rsidP="00F6584E">
            <w:pPr>
              <w:spacing w:after="120"/>
              <w:ind w:left="-496" w:firstLine="496"/>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441" w:type="dxa"/>
            <w:tcBorders>
              <w:top w:val="nil"/>
              <w:left w:val="nil"/>
              <w:bottom w:val="nil"/>
              <w:right w:val="nil"/>
            </w:tcBorders>
            <w:shd w:val="clear" w:color="auto" w:fill="auto"/>
            <w:noWrap/>
            <w:vAlign w:val="center"/>
            <w:hideMark/>
          </w:tcPr>
          <w:p w14:paraId="3E9B7E83" w14:textId="77777777" w:rsidR="0013173C" w:rsidRPr="00252D7B" w:rsidRDefault="0013173C" w:rsidP="00F6584E">
            <w:pPr>
              <w:spacing w:after="120"/>
              <w:ind w:left="-496" w:firstLine="496"/>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522" w:type="dxa"/>
            <w:tcBorders>
              <w:top w:val="nil"/>
              <w:left w:val="nil"/>
              <w:bottom w:val="nil"/>
              <w:right w:val="nil"/>
            </w:tcBorders>
            <w:shd w:val="clear" w:color="auto" w:fill="auto"/>
            <w:noWrap/>
            <w:vAlign w:val="center"/>
            <w:hideMark/>
          </w:tcPr>
          <w:p w14:paraId="6E514792" w14:textId="77777777" w:rsidR="0013173C" w:rsidRPr="00252D7B" w:rsidRDefault="0013173C" w:rsidP="00F6584E">
            <w:pPr>
              <w:spacing w:after="120"/>
              <w:ind w:left="-496" w:firstLine="496"/>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5.524.762 </w:t>
            </w:r>
          </w:p>
        </w:tc>
        <w:tc>
          <w:tcPr>
            <w:tcW w:w="700" w:type="dxa"/>
            <w:tcBorders>
              <w:top w:val="nil"/>
              <w:left w:val="nil"/>
              <w:bottom w:val="nil"/>
              <w:right w:val="nil"/>
            </w:tcBorders>
            <w:shd w:val="clear" w:color="auto" w:fill="auto"/>
            <w:noWrap/>
            <w:vAlign w:val="center"/>
            <w:hideMark/>
          </w:tcPr>
          <w:p w14:paraId="3F33A007" w14:textId="77777777" w:rsidR="0013173C" w:rsidRPr="00252D7B" w:rsidRDefault="0013173C" w:rsidP="00F6584E">
            <w:pPr>
              <w:spacing w:after="120"/>
              <w:ind w:left="-496" w:firstLine="496"/>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10</w:t>
            </w:r>
          </w:p>
        </w:tc>
      </w:tr>
      <w:tr w:rsidR="0013173C" w:rsidRPr="00252D7B" w14:paraId="46D50D75" w14:textId="77777777" w:rsidTr="00F6584E">
        <w:trPr>
          <w:trHeight w:val="300"/>
        </w:trPr>
        <w:tc>
          <w:tcPr>
            <w:tcW w:w="3261" w:type="dxa"/>
            <w:tcBorders>
              <w:top w:val="nil"/>
              <w:left w:val="nil"/>
              <w:bottom w:val="nil"/>
              <w:right w:val="nil"/>
            </w:tcBorders>
            <w:shd w:val="clear" w:color="auto" w:fill="auto"/>
            <w:noWrap/>
            <w:vAlign w:val="center"/>
            <w:hideMark/>
          </w:tcPr>
          <w:p w14:paraId="1CFD2361" w14:textId="77777777" w:rsidR="0013173C" w:rsidRPr="00252D7B" w:rsidRDefault="0013173C" w:rsidP="00F6584E">
            <w:pPr>
              <w:spacing w:after="120"/>
              <w:ind w:left="-496" w:firstLine="496"/>
              <w:rPr>
                <w:rFonts w:asciiTheme="minorHAnsi" w:hAnsiTheme="minorHAnsi" w:cstheme="minorHAnsi"/>
                <w:color w:val="000000"/>
                <w:sz w:val="15"/>
                <w:szCs w:val="15"/>
              </w:rPr>
            </w:pPr>
            <w:r w:rsidRPr="00252D7B">
              <w:rPr>
                <w:rFonts w:asciiTheme="minorHAnsi" w:hAnsiTheme="minorHAnsi" w:cstheme="minorHAnsi"/>
                <w:color w:val="000000"/>
                <w:sz w:val="15"/>
                <w:szCs w:val="15"/>
              </w:rPr>
              <w:t>Equipamentos</w:t>
            </w:r>
          </w:p>
        </w:tc>
        <w:tc>
          <w:tcPr>
            <w:tcW w:w="1418" w:type="dxa"/>
            <w:tcBorders>
              <w:top w:val="nil"/>
              <w:left w:val="nil"/>
              <w:bottom w:val="nil"/>
              <w:right w:val="nil"/>
            </w:tcBorders>
            <w:shd w:val="clear" w:color="auto" w:fill="auto"/>
            <w:noWrap/>
            <w:vAlign w:val="center"/>
            <w:hideMark/>
          </w:tcPr>
          <w:p w14:paraId="3642F7C3" w14:textId="77777777" w:rsidR="0013173C" w:rsidRPr="00252D7B" w:rsidRDefault="0013173C" w:rsidP="00F6584E">
            <w:pPr>
              <w:spacing w:after="120"/>
              <w:ind w:left="-496" w:firstLine="496"/>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22.508.972 </w:t>
            </w:r>
          </w:p>
        </w:tc>
        <w:tc>
          <w:tcPr>
            <w:tcW w:w="1237" w:type="dxa"/>
            <w:tcBorders>
              <w:top w:val="nil"/>
              <w:left w:val="nil"/>
              <w:bottom w:val="nil"/>
              <w:right w:val="nil"/>
            </w:tcBorders>
            <w:shd w:val="clear" w:color="auto" w:fill="auto"/>
            <w:noWrap/>
            <w:vAlign w:val="center"/>
            <w:hideMark/>
          </w:tcPr>
          <w:p w14:paraId="4227BE2B" w14:textId="77777777" w:rsidR="0013173C" w:rsidRPr="00252D7B" w:rsidRDefault="0013173C" w:rsidP="00F6584E">
            <w:pPr>
              <w:spacing w:after="120"/>
              <w:ind w:left="-496" w:firstLine="496"/>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1.616.650 </w:t>
            </w:r>
          </w:p>
        </w:tc>
        <w:tc>
          <w:tcPr>
            <w:tcW w:w="1167" w:type="dxa"/>
            <w:tcBorders>
              <w:top w:val="nil"/>
              <w:left w:val="nil"/>
              <w:bottom w:val="nil"/>
              <w:right w:val="nil"/>
            </w:tcBorders>
            <w:shd w:val="clear" w:color="auto" w:fill="auto"/>
            <w:noWrap/>
            <w:vAlign w:val="center"/>
            <w:hideMark/>
          </w:tcPr>
          <w:p w14:paraId="09B758A8" w14:textId="77777777" w:rsidR="0013173C" w:rsidRPr="00252D7B" w:rsidRDefault="0013173C" w:rsidP="00F6584E">
            <w:pPr>
              <w:spacing w:after="120"/>
              <w:ind w:left="-496" w:firstLine="496"/>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(50.964)</w:t>
            </w:r>
          </w:p>
        </w:tc>
        <w:tc>
          <w:tcPr>
            <w:tcW w:w="1441" w:type="dxa"/>
            <w:tcBorders>
              <w:top w:val="nil"/>
              <w:left w:val="nil"/>
              <w:bottom w:val="nil"/>
              <w:right w:val="nil"/>
            </w:tcBorders>
            <w:shd w:val="clear" w:color="auto" w:fill="auto"/>
            <w:noWrap/>
            <w:vAlign w:val="center"/>
            <w:hideMark/>
          </w:tcPr>
          <w:p w14:paraId="59D0E11F" w14:textId="77777777" w:rsidR="0013173C" w:rsidRPr="00252D7B" w:rsidRDefault="0013173C" w:rsidP="00F6584E">
            <w:pPr>
              <w:spacing w:after="120"/>
              <w:ind w:left="-496" w:firstLine="496"/>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2.786 </w:t>
            </w:r>
          </w:p>
        </w:tc>
        <w:tc>
          <w:tcPr>
            <w:tcW w:w="1522" w:type="dxa"/>
            <w:tcBorders>
              <w:top w:val="nil"/>
              <w:left w:val="nil"/>
              <w:bottom w:val="nil"/>
              <w:right w:val="nil"/>
            </w:tcBorders>
            <w:shd w:val="clear" w:color="auto" w:fill="auto"/>
            <w:noWrap/>
            <w:vAlign w:val="center"/>
            <w:hideMark/>
          </w:tcPr>
          <w:p w14:paraId="3D595607" w14:textId="77777777" w:rsidR="0013173C" w:rsidRPr="00252D7B" w:rsidRDefault="0013173C" w:rsidP="00F6584E">
            <w:pPr>
              <w:spacing w:after="120"/>
              <w:ind w:left="-496" w:firstLine="496"/>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24.077.444 </w:t>
            </w:r>
          </w:p>
        </w:tc>
        <w:tc>
          <w:tcPr>
            <w:tcW w:w="700" w:type="dxa"/>
            <w:tcBorders>
              <w:top w:val="nil"/>
              <w:left w:val="nil"/>
              <w:bottom w:val="nil"/>
              <w:right w:val="nil"/>
            </w:tcBorders>
            <w:shd w:val="clear" w:color="auto" w:fill="auto"/>
            <w:noWrap/>
            <w:vAlign w:val="center"/>
            <w:hideMark/>
          </w:tcPr>
          <w:p w14:paraId="2746165F" w14:textId="77777777" w:rsidR="0013173C" w:rsidRPr="00252D7B" w:rsidRDefault="0013173C" w:rsidP="00F6584E">
            <w:pPr>
              <w:spacing w:after="120"/>
              <w:ind w:left="-496" w:firstLine="496"/>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10 e 20</w:t>
            </w:r>
          </w:p>
        </w:tc>
      </w:tr>
      <w:tr w:rsidR="0013173C" w:rsidRPr="00252D7B" w14:paraId="31CC986D" w14:textId="77777777" w:rsidTr="00F6584E">
        <w:trPr>
          <w:trHeight w:val="300"/>
        </w:trPr>
        <w:tc>
          <w:tcPr>
            <w:tcW w:w="3261" w:type="dxa"/>
            <w:tcBorders>
              <w:top w:val="nil"/>
              <w:left w:val="nil"/>
              <w:bottom w:val="nil"/>
              <w:right w:val="nil"/>
            </w:tcBorders>
            <w:shd w:val="clear" w:color="auto" w:fill="auto"/>
            <w:noWrap/>
            <w:vAlign w:val="center"/>
            <w:hideMark/>
          </w:tcPr>
          <w:p w14:paraId="76721E43" w14:textId="77777777" w:rsidR="0013173C" w:rsidRPr="00252D7B" w:rsidRDefault="0013173C" w:rsidP="00F6584E">
            <w:pPr>
              <w:spacing w:after="120"/>
              <w:ind w:left="-496" w:firstLine="496"/>
              <w:rPr>
                <w:rFonts w:asciiTheme="minorHAnsi" w:hAnsiTheme="minorHAnsi" w:cstheme="minorHAnsi"/>
                <w:color w:val="000000"/>
                <w:sz w:val="15"/>
                <w:szCs w:val="15"/>
              </w:rPr>
            </w:pPr>
            <w:r w:rsidRPr="00252D7B">
              <w:rPr>
                <w:rFonts w:asciiTheme="minorHAnsi" w:hAnsiTheme="minorHAnsi" w:cstheme="minorHAnsi"/>
                <w:color w:val="000000"/>
                <w:sz w:val="15"/>
                <w:szCs w:val="15"/>
              </w:rPr>
              <w:t>Equipamentos de Comunicação</w:t>
            </w:r>
          </w:p>
        </w:tc>
        <w:tc>
          <w:tcPr>
            <w:tcW w:w="1418" w:type="dxa"/>
            <w:tcBorders>
              <w:top w:val="nil"/>
              <w:left w:val="nil"/>
              <w:bottom w:val="nil"/>
              <w:right w:val="nil"/>
            </w:tcBorders>
            <w:shd w:val="clear" w:color="auto" w:fill="auto"/>
            <w:noWrap/>
            <w:vAlign w:val="center"/>
            <w:hideMark/>
          </w:tcPr>
          <w:p w14:paraId="12FFEB9A" w14:textId="77777777" w:rsidR="0013173C" w:rsidRPr="00252D7B" w:rsidRDefault="0013173C" w:rsidP="00F6584E">
            <w:pPr>
              <w:spacing w:after="120"/>
              <w:ind w:left="-496" w:firstLine="496"/>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237" w:type="dxa"/>
            <w:tcBorders>
              <w:top w:val="nil"/>
              <w:left w:val="nil"/>
              <w:bottom w:val="nil"/>
              <w:right w:val="nil"/>
            </w:tcBorders>
            <w:shd w:val="clear" w:color="auto" w:fill="auto"/>
            <w:noWrap/>
            <w:vAlign w:val="center"/>
            <w:hideMark/>
          </w:tcPr>
          <w:p w14:paraId="7EFE1EC6" w14:textId="77777777" w:rsidR="0013173C" w:rsidRPr="00252D7B" w:rsidRDefault="0013173C" w:rsidP="00F6584E">
            <w:pPr>
              <w:spacing w:after="120"/>
              <w:ind w:left="-496" w:firstLine="496"/>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46.130 </w:t>
            </w:r>
          </w:p>
        </w:tc>
        <w:tc>
          <w:tcPr>
            <w:tcW w:w="1167" w:type="dxa"/>
            <w:tcBorders>
              <w:top w:val="nil"/>
              <w:left w:val="nil"/>
              <w:bottom w:val="nil"/>
              <w:right w:val="nil"/>
            </w:tcBorders>
            <w:shd w:val="clear" w:color="auto" w:fill="auto"/>
            <w:noWrap/>
            <w:vAlign w:val="center"/>
            <w:hideMark/>
          </w:tcPr>
          <w:p w14:paraId="75EF9C18" w14:textId="77777777" w:rsidR="0013173C" w:rsidRPr="00252D7B" w:rsidRDefault="0013173C" w:rsidP="00F6584E">
            <w:pPr>
              <w:spacing w:after="120"/>
              <w:ind w:left="-496" w:firstLine="496"/>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441" w:type="dxa"/>
            <w:tcBorders>
              <w:top w:val="nil"/>
              <w:left w:val="nil"/>
              <w:bottom w:val="nil"/>
              <w:right w:val="nil"/>
            </w:tcBorders>
            <w:shd w:val="clear" w:color="auto" w:fill="auto"/>
            <w:noWrap/>
            <w:vAlign w:val="center"/>
            <w:hideMark/>
          </w:tcPr>
          <w:p w14:paraId="044442D4" w14:textId="77777777" w:rsidR="0013173C" w:rsidRPr="00252D7B" w:rsidRDefault="0013173C" w:rsidP="00F6584E">
            <w:pPr>
              <w:spacing w:after="120"/>
              <w:ind w:left="-496" w:firstLine="496"/>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522" w:type="dxa"/>
            <w:tcBorders>
              <w:top w:val="nil"/>
              <w:left w:val="nil"/>
              <w:bottom w:val="nil"/>
              <w:right w:val="nil"/>
            </w:tcBorders>
            <w:shd w:val="clear" w:color="auto" w:fill="auto"/>
            <w:noWrap/>
            <w:vAlign w:val="center"/>
            <w:hideMark/>
          </w:tcPr>
          <w:p w14:paraId="49C4671A" w14:textId="77777777" w:rsidR="0013173C" w:rsidRPr="00252D7B" w:rsidRDefault="0013173C" w:rsidP="00F6584E">
            <w:pPr>
              <w:spacing w:after="120"/>
              <w:ind w:left="-496" w:firstLine="496"/>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46.130 </w:t>
            </w:r>
          </w:p>
        </w:tc>
        <w:tc>
          <w:tcPr>
            <w:tcW w:w="700" w:type="dxa"/>
            <w:tcBorders>
              <w:top w:val="nil"/>
              <w:left w:val="nil"/>
              <w:bottom w:val="nil"/>
              <w:right w:val="nil"/>
            </w:tcBorders>
            <w:shd w:val="clear" w:color="auto" w:fill="auto"/>
            <w:noWrap/>
            <w:vAlign w:val="center"/>
            <w:hideMark/>
          </w:tcPr>
          <w:p w14:paraId="0EB4311B" w14:textId="77777777" w:rsidR="0013173C" w:rsidRPr="00252D7B" w:rsidRDefault="0013173C" w:rsidP="00F6584E">
            <w:pPr>
              <w:spacing w:after="120"/>
              <w:ind w:left="-496" w:firstLine="496"/>
              <w:jc w:val="right"/>
              <w:rPr>
                <w:rFonts w:asciiTheme="minorHAnsi" w:hAnsiTheme="minorHAnsi" w:cstheme="minorHAnsi"/>
                <w:color w:val="000000"/>
                <w:sz w:val="15"/>
                <w:szCs w:val="15"/>
              </w:rPr>
            </w:pPr>
          </w:p>
        </w:tc>
      </w:tr>
      <w:tr w:rsidR="0013173C" w:rsidRPr="00252D7B" w14:paraId="5D370195" w14:textId="77777777" w:rsidTr="00F6584E">
        <w:trPr>
          <w:trHeight w:val="300"/>
        </w:trPr>
        <w:tc>
          <w:tcPr>
            <w:tcW w:w="3261" w:type="dxa"/>
            <w:tcBorders>
              <w:top w:val="nil"/>
              <w:left w:val="nil"/>
              <w:bottom w:val="nil"/>
              <w:right w:val="nil"/>
            </w:tcBorders>
            <w:shd w:val="clear" w:color="auto" w:fill="auto"/>
            <w:noWrap/>
            <w:vAlign w:val="center"/>
            <w:hideMark/>
          </w:tcPr>
          <w:p w14:paraId="1100493E" w14:textId="77777777" w:rsidR="0013173C" w:rsidRPr="00252D7B" w:rsidRDefault="0013173C" w:rsidP="00F6584E">
            <w:pPr>
              <w:spacing w:after="120"/>
              <w:ind w:left="-496" w:firstLine="496"/>
              <w:rPr>
                <w:rFonts w:asciiTheme="minorHAnsi" w:hAnsiTheme="minorHAnsi" w:cstheme="minorHAnsi"/>
                <w:color w:val="000000"/>
                <w:sz w:val="15"/>
                <w:szCs w:val="15"/>
              </w:rPr>
            </w:pPr>
            <w:r w:rsidRPr="00252D7B">
              <w:rPr>
                <w:rFonts w:asciiTheme="minorHAnsi" w:hAnsiTheme="minorHAnsi" w:cstheme="minorHAnsi"/>
                <w:color w:val="000000"/>
                <w:sz w:val="15"/>
                <w:szCs w:val="15"/>
              </w:rPr>
              <w:t>Utensílios de Escritório</w:t>
            </w:r>
          </w:p>
        </w:tc>
        <w:tc>
          <w:tcPr>
            <w:tcW w:w="1418" w:type="dxa"/>
            <w:tcBorders>
              <w:top w:val="nil"/>
              <w:left w:val="nil"/>
              <w:bottom w:val="nil"/>
              <w:right w:val="nil"/>
            </w:tcBorders>
            <w:shd w:val="clear" w:color="auto" w:fill="auto"/>
            <w:noWrap/>
            <w:vAlign w:val="center"/>
            <w:hideMark/>
          </w:tcPr>
          <w:p w14:paraId="5306997A" w14:textId="77777777" w:rsidR="0013173C" w:rsidRPr="00252D7B" w:rsidRDefault="0013173C" w:rsidP="00F6584E">
            <w:pPr>
              <w:spacing w:after="120"/>
              <w:ind w:left="-496" w:firstLine="496"/>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289.845 </w:t>
            </w:r>
          </w:p>
        </w:tc>
        <w:tc>
          <w:tcPr>
            <w:tcW w:w="1237" w:type="dxa"/>
            <w:tcBorders>
              <w:top w:val="nil"/>
              <w:left w:val="nil"/>
              <w:bottom w:val="nil"/>
              <w:right w:val="nil"/>
            </w:tcBorders>
            <w:shd w:val="clear" w:color="auto" w:fill="auto"/>
            <w:noWrap/>
            <w:vAlign w:val="center"/>
            <w:hideMark/>
          </w:tcPr>
          <w:p w14:paraId="3F3AC1E0" w14:textId="77777777" w:rsidR="0013173C" w:rsidRPr="00252D7B" w:rsidRDefault="0013173C" w:rsidP="00F6584E">
            <w:pPr>
              <w:spacing w:after="120"/>
              <w:ind w:left="-496" w:firstLine="496"/>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167" w:type="dxa"/>
            <w:tcBorders>
              <w:top w:val="nil"/>
              <w:left w:val="nil"/>
              <w:bottom w:val="nil"/>
              <w:right w:val="nil"/>
            </w:tcBorders>
            <w:shd w:val="clear" w:color="auto" w:fill="auto"/>
            <w:noWrap/>
            <w:vAlign w:val="center"/>
            <w:hideMark/>
          </w:tcPr>
          <w:p w14:paraId="4C2C7F13" w14:textId="77777777" w:rsidR="0013173C" w:rsidRPr="00252D7B" w:rsidRDefault="0013173C" w:rsidP="00F6584E">
            <w:pPr>
              <w:spacing w:after="120"/>
              <w:ind w:left="-496" w:firstLine="496"/>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(135.709)</w:t>
            </w:r>
          </w:p>
        </w:tc>
        <w:tc>
          <w:tcPr>
            <w:tcW w:w="1441" w:type="dxa"/>
            <w:tcBorders>
              <w:top w:val="nil"/>
              <w:left w:val="nil"/>
              <w:bottom w:val="nil"/>
              <w:right w:val="nil"/>
            </w:tcBorders>
            <w:shd w:val="clear" w:color="auto" w:fill="auto"/>
            <w:noWrap/>
            <w:vAlign w:val="center"/>
            <w:hideMark/>
          </w:tcPr>
          <w:p w14:paraId="6213C76E" w14:textId="77777777" w:rsidR="0013173C" w:rsidRPr="00252D7B" w:rsidRDefault="0013173C" w:rsidP="00F6584E">
            <w:pPr>
              <w:spacing w:after="120"/>
              <w:ind w:left="-496" w:firstLine="496"/>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254.600 </w:t>
            </w:r>
          </w:p>
        </w:tc>
        <w:tc>
          <w:tcPr>
            <w:tcW w:w="1522" w:type="dxa"/>
            <w:tcBorders>
              <w:top w:val="nil"/>
              <w:left w:val="nil"/>
              <w:bottom w:val="nil"/>
              <w:right w:val="nil"/>
            </w:tcBorders>
            <w:shd w:val="clear" w:color="auto" w:fill="auto"/>
            <w:noWrap/>
            <w:vAlign w:val="center"/>
            <w:hideMark/>
          </w:tcPr>
          <w:p w14:paraId="2BD6A466" w14:textId="77777777" w:rsidR="0013173C" w:rsidRPr="00252D7B" w:rsidRDefault="0013173C" w:rsidP="00F6584E">
            <w:pPr>
              <w:spacing w:after="120"/>
              <w:ind w:left="-496" w:firstLine="496"/>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408.736 </w:t>
            </w:r>
          </w:p>
        </w:tc>
        <w:tc>
          <w:tcPr>
            <w:tcW w:w="700" w:type="dxa"/>
            <w:tcBorders>
              <w:top w:val="nil"/>
              <w:left w:val="nil"/>
              <w:bottom w:val="nil"/>
              <w:right w:val="nil"/>
            </w:tcBorders>
            <w:shd w:val="clear" w:color="auto" w:fill="auto"/>
            <w:noWrap/>
            <w:vAlign w:val="center"/>
            <w:hideMark/>
          </w:tcPr>
          <w:p w14:paraId="646DA3EF" w14:textId="77777777" w:rsidR="0013173C" w:rsidRPr="00252D7B" w:rsidRDefault="0013173C" w:rsidP="00F6584E">
            <w:pPr>
              <w:spacing w:after="120"/>
              <w:ind w:left="-496" w:firstLine="496"/>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10</w:t>
            </w:r>
          </w:p>
        </w:tc>
      </w:tr>
      <w:tr w:rsidR="0013173C" w:rsidRPr="00252D7B" w14:paraId="73F2D66A" w14:textId="77777777" w:rsidTr="00F6584E">
        <w:trPr>
          <w:trHeight w:val="300"/>
        </w:trPr>
        <w:tc>
          <w:tcPr>
            <w:tcW w:w="3261" w:type="dxa"/>
            <w:tcBorders>
              <w:top w:val="nil"/>
              <w:left w:val="nil"/>
              <w:bottom w:val="nil"/>
              <w:right w:val="nil"/>
            </w:tcBorders>
            <w:shd w:val="clear" w:color="auto" w:fill="auto"/>
            <w:noWrap/>
            <w:vAlign w:val="center"/>
            <w:hideMark/>
          </w:tcPr>
          <w:p w14:paraId="22449157" w14:textId="77777777" w:rsidR="0013173C" w:rsidRPr="00252D7B" w:rsidRDefault="0013173C" w:rsidP="00F6584E">
            <w:pPr>
              <w:spacing w:after="120"/>
              <w:ind w:left="-496" w:firstLine="496"/>
              <w:rPr>
                <w:rFonts w:asciiTheme="minorHAnsi" w:hAnsiTheme="minorHAnsi" w:cstheme="minorHAnsi"/>
                <w:color w:val="000000"/>
                <w:sz w:val="15"/>
                <w:szCs w:val="15"/>
              </w:rPr>
            </w:pPr>
            <w:r w:rsidRPr="00252D7B">
              <w:rPr>
                <w:rFonts w:asciiTheme="minorHAnsi" w:hAnsiTheme="minorHAnsi" w:cstheme="minorHAnsi"/>
                <w:color w:val="000000"/>
                <w:sz w:val="15"/>
                <w:szCs w:val="15"/>
              </w:rPr>
              <w:t>(Redução ao Valor Recuperável)</w:t>
            </w:r>
          </w:p>
        </w:tc>
        <w:tc>
          <w:tcPr>
            <w:tcW w:w="1418" w:type="dxa"/>
            <w:tcBorders>
              <w:top w:val="nil"/>
              <w:left w:val="nil"/>
              <w:bottom w:val="nil"/>
              <w:right w:val="nil"/>
            </w:tcBorders>
            <w:shd w:val="clear" w:color="auto" w:fill="auto"/>
            <w:noWrap/>
            <w:vAlign w:val="center"/>
            <w:hideMark/>
          </w:tcPr>
          <w:p w14:paraId="3B8872C6" w14:textId="77777777" w:rsidR="0013173C" w:rsidRPr="00252D7B" w:rsidRDefault="0013173C" w:rsidP="00F6584E">
            <w:pPr>
              <w:spacing w:after="120"/>
              <w:ind w:left="-496" w:firstLine="496"/>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(17.094)</w:t>
            </w:r>
          </w:p>
        </w:tc>
        <w:tc>
          <w:tcPr>
            <w:tcW w:w="1237" w:type="dxa"/>
            <w:tcBorders>
              <w:top w:val="nil"/>
              <w:left w:val="nil"/>
              <w:bottom w:val="nil"/>
              <w:right w:val="nil"/>
            </w:tcBorders>
            <w:shd w:val="clear" w:color="auto" w:fill="auto"/>
            <w:noWrap/>
            <w:vAlign w:val="center"/>
            <w:hideMark/>
          </w:tcPr>
          <w:p w14:paraId="7CA7EA4C" w14:textId="77777777" w:rsidR="0013173C" w:rsidRPr="00252D7B" w:rsidRDefault="0013173C" w:rsidP="00F6584E">
            <w:pPr>
              <w:spacing w:after="120"/>
              <w:ind w:left="-496" w:firstLine="496"/>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(17.880)</w:t>
            </w:r>
          </w:p>
        </w:tc>
        <w:tc>
          <w:tcPr>
            <w:tcW w:w="1167" w:type="dxa"/>
            <w:tcBorders>
              <w:top w:val="nil"/>
              <w:left w:val="nil"/>
              <w:bottom w:val="nil"/>
              <w:right w:val="nil"/>
            </w:tcBorders>
            <w:shd w:val="clear" w:color="auto" w:fill="auto"/>
            <w:noWrap/>
            <w:vAlign w:val="center"/>
            <w:hideMark/>
          </w:tcPr>
          <w:p w14:paraId="50D453AE" w14:textId="77777777" w:rsidR="0013173C" w:rsidRPr="00252D7B" w:rsidRDefault="0013173C" w:rsidP="00F6584E">
            <w:pPr>
              <w:spacing w:after="120"/>
              <w:ind w:left="-496" w:firstLine="496"/>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441" w:type="dxa"/>
            <w:tcBorders>
              <w:top w:val="nil"/>
              <w:left w:val="nil"/>
              <w:bottom w:val="nil"/>
              <w:right w:val="nil"/>
            </w:tcBorders>
            <w:shd w:val="clear" w:color="auto" w:fill="auto"/>
            <w:noWrap/>
            <w:vAlign w:val="center"/>
            <w:hideMark/>
          </w:tcPr>
          <w:p w14:paraId="7C9B0D9A" w14:textId="77777777" w:rsidR="0013173C" w:rsidRPr="00252D7B" w:rsidRDefault="0013173C" w:rsidP="00F6584E">
            <w:pPr>
              <w:spacing w:after="120"/>
              <w:ind w:left="-496" w:firstLine="496"/>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522" w:type="dxa"/>
            <w:tcBorders>
              <w:top w:val="nil"/>
              <w:left w:val="nil"/>
              <w:bottom w:val="nil"/>
              <w:right w:val="nil"/>
            </w:tcBorders>
            <w:shd w:val="clear" w:color="auto" w:fill="auto"/>
            <w:noWrap/>
            <w:vAlign w:val="center"/>
            <w:hideMark/>
          </w:tcPr>
          <w:p w14:paraId="6365D384" w14:textId="77777777" w:rsidR="0013173C" w:rsidRPr="00252D7B" w:rsidRDefault="0013173C" w:rsidP="00F6584E">
            <w:pPr>
              <w:spacing w:after="120"/>
              <w:ind w:left="-496" w:firstLine="496"/>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(34.974)</w:t>
            </w:r>
          </w:p>
        </w:tc>
        <w:tc>
          <w:tcPr>
            <w:tcW w:w="700" w:type="dxa"/>
            <w:tcBorders>
              <w:top w:val="nil"/>
              <w:left w:val="nil"/>
              <w:bottom w:val="nil"/>
              <w:right w:val="nil"/>
            </w:tcBorders>
            <w:shd w:val="clear" w:color="auto" w:fill="auto"/>
            <w:noWrap/>
            <w:vAlign w:val="bottom"/>
            <w:hideMark/>
          </w:tcPr>
          <w:p w14:paraId="5470517C" w14:textId="77777777" w:rsidR="0013173C" w:rsidRPr="00252D7B" w:rsidRDefault="0013173C" w:rsidP="00F6584E">
            <w:pPr>
              <w:spacing w:after="120"/>
              <w:ind w:left="-496" w:firstLine="496"/>
              <w:jc w:val="right"/>
              <w:rPr>
                <w:rFonts w:asciiTheme="minorHAnsi" w:hAnsiTheme="minorHAnsi" w:cstheme="minorHAnsi"/>
                <w:color w:val="000000"/>
                <w:sz w:val="15"/>
                <w:szCs w:val="15"/>
              </w:rPr>
            </w:pPr>
          </w:p>
        </w:tc>
      </w:tr>
      <w:tr w:rsidR="0013173C" w:rsidRPr="00252D7B" w14:paraId="3AD0CF1A" w14:textId="77777777" w:rsidTr="00F6584E">
        <w:trPr>
          <w:trHeight w:val="105"/>
        </w:trPr>
        <w:tc>
          <w:tcPr>
            <w:tcW w:w="3261" w:type="dxa"/>
            <w:tcBorders>
              <w:top w:val="nil"/>
              <w:left w:val="nil"/>
              <w:bottom w:val="nil"/>
              <w:right w:val="nil"/>
            </w:tcBorders>
            <w:shd w:val="clear" w:color="auto" w:fill="auto"/>
            <w:noWrap/>
            <w:vAlign w:val="bottom"/>
            <w:hideMark/>
          </w:tcPr>
          <w:p w14:paraId="46188E94" w14:textId="77777777" w:rsidR="0013173C" w:rsidRPr="00252D7B" w:rsidRDefault="0013173C" w:rsidP="00F6584E">
            <w:pPr>
              <w:spacing w:after="120"/>
              <w:rPr>
                <w:rFonts w:asciiTheme="minorHAnsi" w:hAnsiTheme="minorHAnsi" w:cstheme="minorHAnsi"/>
                <w:sz w:val="15"/>
                <w:szCs w:val="15"/>
              </w:rPr>
            </w:pPr>
          </w:p>
        </w:tc>
        <w:tc>
          <w:tcPr>
            <w:tcW w:w="1418" w:type="dxa"/>
            <w:tcBorders>
              <w:top w:val="nil"/>
              <w:left w:val="nil"/>
              <w:bottom w:val="nil"/>
              <w:right w:val="nil"/>
            </w:tcBorders>
            <w:shd w:val="clear" w:color="auto" w:fill="auto"/>
            <w:noWrap/>
            <w:vAlign w:val="bottom"/>
            <w:hideMark/>
          </w:tcPr>
          <w:p w14:paraId="37229729" w14:textId="77777777" w:rsidR="0013173C" w:rsidRPr="00252D7B" w:rsidRDefault="0013173C" w:rsidP="00F6584E">
            <w:pPr>
              <w:spacing w:after="120"/>
              <w:rPr>
                <w:rFonts w:asciiTheme="minorHAnsi" w:hAnsiTheme="minorHAnsi" w:cstheme="minorHAnsi"/>
                <w:sz w:val="15"/>
                <w:szCs w:val="15"/>
              </w:rPr>
            </w:pPr>
          </w:p>
        </w:tc>
        <w:tc>
          <w:tcPr>
            <w:tcW w:w="1237" w:type="dxa"/>
            <w:tcBorders>
              <w:top w:val="nil"/>
              <w:left w:val="nil"/>
              <w:bottom w:val="nil"/>
              <w:right w:val="nil"/>
            </w:tcBorders>
            <w:shd w:val="clear" w:color="auto" w:fill="auto"/>
            <w:noWrap/>
            <w:vAlign w:val="bottom"/>
            <w:hideMark/>
          </w:tcPr>
          <w:p w14:paraId="450DE01A" w14:textId="77777777" w:rsidR="0013173C" w:rsidRPr="00252D7B" w:rsidRDefault="0013173C" w:rsidP="00F6584E">
            <w:pPr>
              <w:spacing w:after="120"/>
              <w:rPr>
                <w:rFonts w:asciiTheme="minorHAnsi" w:hAnsiTheme="minorHAnsi" w:cstheme="minorHAnsi"/>
                <w:sz w:val="15"/>
                <w:szCs w:val="15"/>
              </w:rPr>
            </w:pPr>
          </w:p>
        </w:tc>
        <w:tc>
          <w:tcPr>
            <w:tcW w:w="1167" w:type="dxa"/>
            <w:tcBorders>
              <w:top w:val="nil"/>
              <w:left w:val="nil"/>
              <w:bottom w:val="nil"/>
              <w:right w:val="nil"/>
            </w:tcBorders>
            <w:shd w:val="clear" w:color="auto" w:fill="auto"/>
            <w:noWrap/>
            <w:vAlign w:val="bottom"/>
            <w:hideMark/>
          </w:tcPr>
          <w:p w14:paraId="405B27FA" w14:textId="77777777" w:rsidR="0013173C" w:rsidRPr="00252D7B" w:rsidRDefault="0013173C" w:rsidP="00F6584E">
            <w:pPr>
              <w:spacing w:after="120"/>
              <w:rPr>
                <w:rFonts w:asciiTheme="minorHAnsi" w:hAnsiTheme="minorHAnsi" w:cstheme="minorHAnsi"/>
                <w:sz w:val="15"/>
                <w:szCs w:val="15"/>
              </w:rPr>
            </w:pPr>
          </w:p>
        </w:tc>
        <w:tc>
          <w:tcPr>
            <w:tcW w:w="1441" w:type="dxa"/>
            <w:tcBorders>
              <w:top w:val="nil"/>
              <w:left w:val="nil"/>
              <w:bottom w:val="nil"/>
              <w:right w:val="nil"/>
            </w:tcBorders>
            <w:shd w:val="clear" w:color="auto" w:fill="auto"/>
            <w:noWrap/>
            <w:vAlign w:val="bottom"/>
            <w:hideMark/>
          </w:tcPr>
          <w:p w14:paraId="04197632" w14:textId="77777777" w:rsidR="0013173C" w:rsidRPr="00252D7B" w:rsidRDefault="0013173C" w:rsidP="00F6584E">
            <w:pPr>
              <w:spacing w:after="120"/>
              <w:rPr>
                <w:rFonts w:asciiTheme="minorHAnsi" w:hAnsiTheme="minorHAnsi" w:cstheme="minorHAnsi"/>
                <w:sz w:val="15"/>
                <w:szCs w:val="15"/>
              </w:rPr>
            </w:pPr>
          </w:p>
        </w:tc>
        <w:tc>
          <w:tcPr>
            <w:tcW w:w="1522" w:type="dxa"/>
            <w:tcBorders>
              <w:top w:val="nil"/>
              <w:left w:val="nil"/>
              <w:bottom w:val="nil"/>
              <w:right w:val="nil"/>
            </w:tcBorders>
            <w:shd w:val="clear" w:color="auto" w:fill="auto"/>
            <w:noWrap/>
            <w:vAlign w:val="bottom"/>
            <w:hideMark/>
          </w:tcPr>
          <w:p w14:paraId="5FD7FD81" w14:textId="77777777" w:rsidR="0013173C" w:rsidRPr="00252D7B" w:rsidRDefault="0013173C" w:rsidP="00F6584E">
            <w:pPr>
              <w:spacing w:after="120"/>
              <w:rPr>
                <w:rFonts w:asciiTheme="minorHAnsi" w:hAnsiTheme="minorHAnsi" w:cstheme="minorHAnsi"/>
                <w:sz w:val="15"/>
                <w:szCs w:val="15"/>
              </w:rPr>
            </w:pPr>
          </w:p>
        </w:tc>
        <w:tc>
          <w:tcPr>
            <w:tcW w:w="700" w:type="dxa"/>
            <w:tcBorders>
              <w:top w:val="nil"/>
              <w:left w:val="nil"/>
              <w:bottom w:val="nil"/>
              <w:right w:val="nil"/>
            </w:tcBorders>
            <w:shd w:val="clear" w:color="auto" w:fill="auto"/>
            <w:noWrap/>
            <w:vAlign w:val="bottom"/>
            <w:hideMark/>
          </w:tcPr>
          <w:p w14:paraId="7C25378B" w14:textId="77777777" w:rsidR="0013173C" w:rsidRPr="00252D7B" w:rsidRDefault="0013173C" w:rsidP="00F6584E">
            <w:pPr>
              <w:spacing w:after="120"/>
              <w:rPr>
                <w:rFonts w:asciiTheme="minorHAnsi" w:hAnsiTheme="minorHAnsi" w:cstheme="minorHAnsi"/>
                <w:sz w:val="15"/>
                <w:szCs w:val="15"/>
              </w:rPr>
            </w:pPr>
          </w:p>
        </w:tc>
      </w:tr>
      <w:tr w:rsidR="0013173C" w:rsidRPr="00252D7B" w14:paraId="15CC705B" w14:textId="77777777" w:rsidTr="00F6584E">
        <w:trPr>
          <w:trHeight w:val="315"/>
        </w:trPr>
        <w:tc>
          <w:tcPr>
            <w:tcW w:w="3261" w:type="dxa"/>
            <w:tcBorders>
              <w:top w:val="single" w:sz="8" w:space="0" w:color="auto"/>
              <w:left w:val="nil"/>
              <w:bottom w:val="single" w:sz="8" w:space="0" w:color="auto"/>
              <w:right w:val="nil"/>
            </w:tcBorders>
            <w:shd w:val="clear" w:color="auto" w:fill="auto"/>
            <w:noWrap/>
            <w:vAlign w:val="center"/>
            <w:hideMark/>
          </w:tcPr>
          <w:p w14:paraId="77A5D8CE" w14:textId="77777777" w:rsidR="0013173C" w:rsidRPr="00252D7B" w:rsidRDefault="0013173C" w:rsidP="00F6584E">
            <w:pPr>
              <w:spacing w:after="120"/>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Total Bens Móveis (1)</w:t>
            </w:r>
          </w:p>
        </w:tc>
        <w:tc>
          <w:tcPr>
            <w:tcW w:w="1418" w:type="dxa"/>
            <w:tcBorders>
              <w:top w:val="single" w:sz="8" w:space="0" w:color="auto"/>
              <w:left w:val="nil"/>
              <w:bottom w:val="single" w:sz="8" w:space="0" w:color="auto"/>
              <w:right w:val="nil"/>
            </w:tcBorders>
            <w:shd w:val="clear" w:color="auto" w:fill="auto"/>
            <w:noWrap/>
            <w:vAlign w:val="center"/>
            <w:hideMark/>
          </w:tcPr>
          <w:p w14:paraId="307B582A"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              36.933.334 </w:t>
            </w:r>
          </w:p>
        </w:tc>
        <w:tc>
          <w:tcPr>
            <w:tcW w:w="1237" w:type="dxa"/>
            <w:tcBorders>
              <w:top w:val="single" w:sz="8" w:space="0" w:color="auto"/>
              <w:left w:val="nil"/>
              <w:bottom w:val="single" w:sz="8" w:space="0" w:color="auto"/>
              <w:right w:val="nil"/>
            </w:tcBorders>
            <w:shd w:val="clear" w:color="auto" w:fill="auto"/>
            <w:noWrap/>
            <w:vAlign w:val="center"/>
            <w:hideMark/>
          </w:tcPr>
          <w:p w14:paraId="06F20A85"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           1.644.900 </w:t>
            </w:r>
          </w:p>
        </w:tc>
        <w:tc>
          <w:tcPr>
            <w:tcW w:w="1167" w:type="dxa"/>
            <w:tcBorders>
              <w:top w:val="single" w:sz="8" w:space="0" w:color="auto"/>
              <w:left w:val="nil"/>
              <w:bottom w:val="single" w:sz="8" w:space="0" w:color="auto"/>
              <w:right w:val="nil"/>
            </w:tcBorders>
            <w:shd w:val="clear" w:color="auto" w:fill="auto"/>
            <w:noWrap/>
            <w:vAlign w:val="center"/>
            <w:hideMark/>
          </w:tcPr>
          <w:p w14:paraId="0E8A39D4"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           (412.177)</w:t>
            </w:r>
          </w:p>
        </w:tc>
        <w:tc>
          <w:tcPr>
            <w:tcW w:w="1441" w:type="dxa"/>
            <w:tcBorders>
              <w:top w:val="single" w:sz="8" w:space="0" w:color="auto"/>
              <w:left w:val="nil"/>
              <w:bottom w:val="single" w:sz="8" w:space="0" w:color="auto"/>
              <w:right w:val="nil"/>
            </w:tcBorders>
            <w:shd w:val="clear" w:color="auto" w:fill="auto"/>
            <w:noWrap/>
            <w:vAlign w:val="center"/>
            <w:hideMark/>
          </w:tcPr>
          <w:p w14:paraId="67D9459E"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                   560.169 </w:t>
            </w:r>
          </w:p>
        </w:tc>
        <w:tc>
          <w:tcPr>
            <w:tcW w:w="1522" w:type="dxa"/>
            <w:tcBorders>
              <w:top w:val="single" w:sz="8" w:space="0" w:color="auto"/>
              <w:left w:val="nil"/>
              <w:bottom w:val="single" w:sz="8" w:space="0" w:color="auto"/>
              <w:right w:val="nil"/>
            </w:tcBorders>
            <w:shd w:val="clear" w:color="auto" w:fill="auto"/>
            <w:noWrap/>
            <w:vAlign w:val="center"/>
            <w:hideMark/>
          </w:tcPr>
          <w:p w14:paraId="1550A2CE"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               38.726.226 </w:t>
            </w:r>
          </w:p>
        </w:tc>
        <w:tc>
          <w:tcPr>
            <w:tcW w:w="700" w:type="dxa"/>
            <w:tcBorders>
              <w:top w:val="single" w:sz="8" w:space="0" w:color="auto"/>
              <w:left w:val="nil"/>
              <w:bottom w:val="single" w:sz="8" w:space="0" w:color="auto"/>
              <w:right w:val="nil"/>
            </w:tcBorders>
            <w:shd w:val="clear" w:color="auto" w:fill="auto"/>
            <w:noWrap/>
            <w:vAlign w:val="center"/>
            <w:hideMark/>
          </w:tcPr>
          <w:p w14:paraId="51827B99"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w:t>
            </w:r>
          </w:p>
        </w:tc>
      </w:tr>
      <w:tr w:rsidR="0013173C" w:rsidRPr="00252D7B" w14:paraId="38548018" w14:textId="77777777" w:rsidTr="00F6584E">
        <w:trPr>
          <w:trHeight w:val="195"/>
        </w:trPr>
        <w:tc>
          <w:tcPr>
            <w:tcW w:w="3261" w:type="dxa"/>
            <w:tcBorders>
              <w:top w:val="nil"/>
              <w:left w:val="nil"/>
              <w:bottom w:val="nil"/>
              <w:right w:val="nil"/>
            </w:tcBorders>
            <w:shd w:val="clear" w:color="auto" w:fill="auto"/>
            <w:noWrap/>
            <w:vAlign w:val="bottom"/>
            <w:hideMark/>
          </w:tcPr>
          <w:p w14:paraId="5EFF0961" w14:textId="77777777" w:rsidR="0013173C" w:rsidRPr="00252D7B" w:rsidRDefault="0013173C" w:rsidP="00F6584E">
            <w:pPr>
              <w:spacing w:after="120"/>
              <w:jc w:val="right"/>
              <w:rPr>
                <w:rFonts w:asciiTheme="minorHAnsi" w:hAnsiTheme="minorHAnsi" w:cstheme="minorHAnsi"/>
                <w:b/>
                <w:bCs/>
                <w:color w:val="000000"/>
                <w:sz w:val="15"/>
                <w:szCs w:val="15"/>
              </w:rPr>
            </w:pPr>
          </w:p>
        </w:tc>
        <w:tc>
          <w:tcPr>
            <w:tcW w:w="1418" w:type="dxa"/>
            <w:tcBorders>
              <w:top w:val="nil"/>
              <w:left w:val="nil"/>
              <w:bottom w:val="nil"/>
              <w:right w:val="nil"/>
            </w:tcBorders>
            <w:shd w:val="clear" w:color="auto" w:fill="auto"/>
            <w:noWrap/>
            <w:vAlign w:val="bottom"/>
            <w:hideMark/>
          </w:tcPr>
          <w:p w14:paraId="7917C286" w14:textId="77777777" w:rsidR="0013173C" w:rsidRPr="00252D7B" w:rsidRDefault="0013173C" w:rsidP="00F6584E">
            <w:pPr>
              <w:spacing w:after="120"/>
              <w:rPr>
                <w:rFonts w:asciiTheme="minorHAnsi" w:hAnsiTheme="minorHAnsi" w:cstheme="minorHAnsi"/>
                <w:sz w:val="15"/>
                <w:szCs w:val="15"/>
              </w:rPr>
            </w:pPr>
          </w:p>
        </w:tc>
        <w:tc>
          <w:tcPr>
            <w:tcW w:w="1237" w:type="dxa"/>
            <w:tcBorders>
              <w:top w:val="nil"/>
              <w:left w:val="nil"/>
              <w:bottom w:val="nil"/>
              <w:right w:val="nil"/>
            </w:tcBorders>
            <w:shd w:val="clear" w:color="auto" w:fill="auto"/>
            <w:noWrap/>
            <w:vAlign w:val="bottom"/>
            <w:hideMark/>
          </w:tcPr>
          <w:p w14:paraId="1F8E8B4A" w14:textId="77777777" w:rsidR="0013173C" w:rsidRPr="00252D7B" w:rsidRDefault="0013173C" w:rsidP="00F6584E">
            <w:pPr>
              <w:spacing w:after="120"/>
              <w:rPr>
                <w:rFonts w:asciiTheme="minorHAnsi" w:hAnsiTheme="minorHAnsi" w:cstheme="minorHAnsi"/>
                <w:sz w:val="15"/>
                <w:szCs w:val="15"/>
              </w:rPr>
            </w:pPr>
          </w:p>
        </w:tc>
        <w:tc>
          <w:tcPr>
            <w:tcW w:w="1167" w:type="dxa"/>
            <w:tcBorders>
              <w:top w:val="nil"/>
              <w:left w:val="nil"/>
              <w:bottom w:val="nil"/>
              <w:right w:val="nil"/>
            </w:tcBorders>
            <w:shd w:val="clear" w:color="auto" w:fill="auto"/>
            <w:noWrap/>
            <w:vAlign w:val="bottom"/>
            <w:hideMark/>
          </w:tcPr>
          <w:p w14:paraId="3A824C0E" w14:textId="77777777" w:rsidR="0013173C" w:rsidRPr="00252D7B" w:rsidRDefault="0013173C" w:rsidP="00F6584E">
            <w:pPr>
              <w:spacing w:after="120"/>
              <w:rPr>
                <w:rFonts w:asciiTheme="minorHAnsi" w:hAnsiTheme="minorHAnsi" w:cstheme="minorHAnsi"/>
                <w:sz w:val="15"/>
                <w:szCs w:val="15"/>
              </w:rPr>
            </w:pPr>
          </w:p>
        </w:tc>
        <w:tc>
          <w:tcPr>
            <w:tcW w:w="1441" w:type="dxa"/>
            <w:tcBorders>
              <w:top w:val="nil"/>
              <w:left w:val="nil"/>
              <w:bottom w:val="nil"/>
              <w:right w:val="nil"/>
            </w:tcBorders>
            <w:shd w:val="clear" w:color="auto" w:fill="auto"/>
            <w:noWrap/>
            <w:vAlign w:val="bottom"/>
            <w:hideMark/>
          </w:tcPr>
          <w:p w14:paraId="33AC9B70" w14:textId="77777777" w:rsidR="0013173C" w:rsidRPr="00252D7B" w:rsidRDefault="0013173C" w:rsidP="00F6584E">
            <w:pPr>
              <w:spacing w:after="120"/>
              <w:rPr>
                <w:rFonts w:asciiTheme="minorHAnsi" w:hAnsiTheme="minorHAnsi" w:cstheme="minorHAnsi"/>
                <w:sz w:val="15"/>
                <w:szCs w:val="15"/>
              </w:rPr>
            </w:pPr>
          </w:p>
        </w:tc>
        <w:tc>
          <w:tcPr>
            <w:tcW w:w="1522" w:type="dxa"/>
            <w:tcBorders>
              <w:top w:val="nil"/>
              <w:left w:val="nil"/>
              <w:bottom w:val="nil"/>
              <w:right w:val="nil"/>
            </w:tcBorders>
            <w:shd w:val="clear" w:color="auto" w:fill="auto"/>
            <w:noWrap/>
            <w:vAlign w:val="bottom"/>
            <w:hideMark/>
          </w:tcPr>
          <w:p w14:paraId="7FD3F62B" w14:textId="77777777" w:rsidR="0013173C" w:rsidRPr="00252D7B" w:rsidRDefault="0013173C" w:rsidP="00F6584E">
            <w:pPr>
              <w:spacing w:after="120"/>
              <w:rPr>
                <w:rFonts w:asciiTheme="minorHAnsi" w:hAnsiTheme="minorHAnsi" w:cstheme="minorHAnsi"/>
                <w:sz w:val="15"/>
                <w:szCs w:val="15"/>
              </w:rPr>
            </w:pPr>
          </w:p>
        </w:tc>
        <w:tc>
          <w:tcPr>
            <w:tcW w:w="700" w:type="dxa"/>
            <w:tcBorders>
              <w:top w:val="nil"/>
              <w:left w:val="nil"/>
              <w:bottom w:val="nil"/>
              <w:right w:val="nil"/>
            </w:tcBorders>
            <w:shd w:val="clear" w:color="auto" w:fill="auto"/>
            <w:noWrap/>
            <w:vAlign w:val="bottom"/>
            <w:hideMark/>
          </w:tcPr>
          <w:p w14:paraId="0197D1B3" w14:textId="77777777" w:rsidR="0013173C" w:rsidRPr="00252D7B" w:rsidRDefault="0013173C" w:rsidP="00F6584E">
            <w:pPr>
              <w:spacing w:after="120"/>
              <w:rPr>
                <w:rFonts w:asciiTheme="minorHAnsi" w:hAnsiTheme="minorHAnsi" w:cstheme="minorHAnsi"/>
                <w:sz w:val="15"/>
                <w:szCs w:val="15"/>
              </w:rPr>
            </w:pPr>
          </w:p>
        </w:tc>
      </w:tr>
      <w:tr w:rsidR="0013173C" w:rsidRPr="00252D7B" w14:paraId="7673BD96" w14:textId="77777777" w:rsidTr="00F6584E">
        <w:trPr>
          <w:trHeight w:val="450"/>
        </w:trPr>
        <w:tc>
          <w:tcPr>
            <w:tcW w:w="3261" w:type="dxa"/>
            <w:tcBorders>
              <w:top w:val="nil"/>
              <w:left w:val="nil"/>
              <w:bottom w:val="single" w:sz="8" w:space="0" w:color="auto"/>
              <w:right w:val="nil"/>
            </w:tcBorders>
            <w:shd w:val="clear" w:color="auto" w:fill="auto"/>
            <w:vAlign w:val="center"/>
            <w:hideMark/>
          </w:tcPr>
          <w:p w14:paraId="1CC2D7D0" w14:textId="77777777" w:rsidR="0013173C" w:rsidRPr="00252D7B" w:rsidRDefault="0013173C" w:rsidP="00F6584E">
            <w:pPr>
              <w:spacing w:after="120"/>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lastRenderedPageBreak/>
              <w:t>IMOBILIZADO BENS IMÓVEIS</w:t>
            </w:r>
          </w:p>
        </w:tc>
        <w:tc>
          <w:tcPr>
            <w:tcW w:w="1418" w:type="dxa"/>
            <w:tcBorders>
              <w:top w:val="nil"/>
              <w:left w:val="nil"/>
              <w:bottom w:val="single" w:sz="8" w:space="0" w:color="auto"/>
              <w:right w:val="nil"/>
            </w:tcBorders>
            <w:shd w:val="clear" w:color="auto" w:fill="auto"/>
            <w:vAlign w:val="center"/>
            <w:hideMark/>
          </w:tcPr>
          <w:p w14:paraId="79DE0340"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SALDO EM 31/12/2020</w:t>
            </w:r>
          </w:p>
        </w:tc>
        <w:tc>
          <w:tcPr>
            <w:tcW w:w="1237" w:type="dxa"/>
            <w:tcBorders>
              <w:top w:val="nil"/>
              <w:left w:val="nil"/>
              <w:bottom w:val="single" w:sz="8" w:space="0" w:color="auto"/>
              <w:right w:val="nil"/>
            </w:tcBorders>
            <w:shd w:val="clear" w:color="auto" w:fill="auto"/>
            <w:vAlign w:val="center"/>
            <w:hideMark/>
          </w:tcPr>
          <w:p w14:paraId="552FB366"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ENTRADAS</w:t>
            </w:r>
          </w:p>
        </w:tc>
        <w:tc>
          <w:tcPr>
            <w:tcW w:w="1167" w:type="dxa"/>
            <w:tcBorders>
              <w:top w:val="nil"/>
              <w:left w:val="nil"/>
              <w:bottom w:val="single" w:sz="8" w:space="0" w:color="auto"/>
              <w:right w:val="nil"/>
            </w:tcBorders>
            <w:shd w:val="clear" w:color="auto" w:fill="auto"/>
            <w:vAlign w:val="center"/>
            <w:hideMark/>
          </w:tcPr>
          <w:p w14:paraId="2202215B"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BAIXAS</w:t>
            </w:r>
          </w:p>
        </w:tc>
        <w:tc>
          <w:tcPr>
            <w:tcW w:w="1441" w:type="dxa"/>
            <w:tcBorders>
              <w:top w:val="nil"/>
              <w:left w:val="nil"/>
              <w:bottom w:val="single" w:sz="8" w:space="0" w:color="auto"/>
              <w:right w:val="nil"/>
            </w:tcBorders>
            <w:shd w:val="clear" w:color="auto" w:fill="auto"/>
            <w:vAlign w:val="center"/>
            <w:hideMark/>
          </w:tcPr>
          <w:p w14:paraId="46C6569B"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TRANSF.</w:t>
            </w:r>
          </w:p>
        </w:tc>
        <w:tc>
          <w:tcPr>
            <w:tcW w:w="1522" w:type="dxa"/>
            <w:tcBorders>
              <w:top w:val="nil"/>
              <w:left w:val="nil"/>
              <w:bottom w:val="single" w:sz="8" w:space="0" w:color="auto"/>
              <w:right w:val="nil"/>
            </w:tcBorders>
            <w:shd w:val="clear" w:color="auto" w:fill="auto"/>
            <w:vAlign w:val="center"/>
            <w:hideMark/>
          </w:tcPr>
          <w:p w14:paraId="41F55B24"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SALDO EM 31/12/2021</w:t>
            </w:r>
          </w:p>
        </w:tc>
        <w:tc>
          <w:tcPr>
            <w:tcW w:w="700" w:type="dxa"/>
            <w:tcBorders>
              <w:top w:val="nil"/>
              <w:left w:val="nil"/>
              <w:bottom w:val="single" w:sz="8" w:space="0" w:color="auto"/>
              <w:right w:val="nil"/>
            </w:tcBorders>
            <w:shd w:val="clear" w:color="auto" w:fill="auto"/>
            <w:vAlign w:val="center"/>
            <w:hideMark/>
          </w:tcPr>
          <w:p w14:paraId="7CB63DF4"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TAXA DEPREC. (%)</w:t>
            </w:r>
          </w:p>
        </w:tc>
      </w:tr>
      <w:tr w:rsidR="0013173C" w:rsidRPr="00252D7B" w14:paraId="614E8470" w14:textId="77777777" w:rsidTr="00F6584E">
        <w:trPr>
          <w:trHeight w:val="300"/>
        </w:trPr>
        <w:tc>
          <w:tcPr>
            <w:tcW w:w="3261" w:type="dxa"/>
            <w:tcBorders>
              <w:top w:val="nil"/>
              <w:left w:val="nil"/>
              <w:bottom w:val="nil"/>
              <w:right w:val="nil"/>
            </w:tcBorders>
            <w:shd w:val="clear" w:color="auto" w:fill="auto"/>
            <w:noWrap/>
            <w:vAlign w:val="center"/>
            <w:hideMark/>
          </w:tcPr>
          <w:p w14:paraId="513D1EC0"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Terrenos</w:t>
            </w:r>
          </w:p>
        </w:tc>
        <w:tc>
          <w:tcPr>
            <w:tcW w:w="1418" w:type="dxa"/>
            <w:tcBorders>
              <w:top w:val="nil"/>
              <w:left w:val="nil"/>
              <w:bottom w:val="nil"/>
              <w:right w:val="nil"/>
            </w:tcBorders>
            <w:shd w:val="clear" w:color="auto" w:fill="auto"/>
            <w:noWrap/>
            <w:vAlign w:val="center"/>
            <w:hideMark/>
          </w:tcPr>
          <w:p w14:paraId="30D17DF3"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404.396.914 </w:t>
            </w:r>
          </w:p>
        </w:tc>
        <w:tc>
          <w:tcPr>
            <w:tcW w:w="1237" w:type="dxa"/>
            <w:tcBorders>
              <w:top w:val="nil"/>
              <w:left w:val="nil"/>
              <w:bottom w:val="nil"/>
              <w:right w:val="nil"/>
            </w:tcBorders>
            <w:shd w:val="clear" w:color="auto" w:fill="auto"/>
            <w:noWrap/>
            <w:vAlign w:val="center"/>
            <w:hideMark/>
          </w:tcPr>
          <w:p w14:paraId="6FD990B7"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3.088.297 </w:t>
            </w:r>
          </w:p>
        </w:tc>
        <w:tc>
          <w:tcPr>
            <w:tcW w:w="1167" w:type="dxa"/>
            <w:tcBorders>
              <w:top w:val="nil"/>
              <w:left w:val="nil"/>
              <w:bottom w:val="nil"/>
              <w:right w:val="nil"/>
            </w:tcBorders>
            <w:shd w:val="clear" w:color="auto" w:fill="auto"/>
            <w:noWrap/>
            <w:vAlign w:val="center"/>
            <w:hideMark/>
          </w:tcPr>
          <w:p w14:paraId="0891BA97"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441" w:type="dxa"/>
            <w:tcBorders>
              <w:top w:val="nil"/>
              <w:left w:val="nil"/>
              <w:bottom w:val="nil"/>
              <w:right w:val="nil"/>
            </w:tcBorders>
            <w:shd w:val="clear" w:color="auto" w:fill="auto"/>
            <w:noWrap/>
            <w:vAlign w:val="center"/>
            <w:hideMark/>
          </w:tcPr>
          <w:p w14:paraId="59AFDAF1"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522" w:type="dxa"/>
            <w:tcBorders>
              <w:top w:val="nil"/>
              <w:left w:val="nil"/>
              <w:bottom w:val="nil"/>
              <w:right w:val="nil"/>
            </w:tcBorders>
            <w:shd w:val="clear" w:color="auto" w:fill="auto"/>
            <w:noWrap/>
            <w:vAlign w:val="center"/>
            <w:hideMark/>
          </w:tcPr>
          <w:p w14:paraId="4A6F3035"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407.485.211 </w:t>
            </w:r>
          </w:p>
        </w:tc>
        <w:tc>
          <w:tcPr>
            <w:tcW w:w="700" w:type="dxa"/>
            <w:tcBorders>
              <w:top w:val="nil"/>
              <w:left w:val="nil"/>
              <w:bottom w:val="nil"/>
              <w:right w:val="nil"/>
            </w:tcBorders>
            <w:shd w:val="clear" w:color="auto" w:fill="auto"/>
            <w:noWrap/>
            <w:vAlign w:val="center"/>
            <w:hideMark/>
          </w:tcPr>
          <w:p w14:paraId="2699473C"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w:t>
            </w:r>
          </w:p>
        </w:tc>
      </w:tr>
      <w:tr w:rsidR="0013173C" w:rsidRPr="00252D7B" w14:paraId="6725D469" w14:textId="77777777" w:rsidTr="00F6584E">
        <w:trPr>
          <w:trHeight w:val="300"/>
        </w:trPr>
        <w:tc>
          <w:tcPr>
            <w:tcW w:w="3261" w:type="dxa"/>
            <w:tcBorders>
              <w:top w:val="nil"/>
              <w:left w:val="nil"/>
              <w:bottom w:val="nil"/>
              <w:right w:val="nil"/>
            </w:tcBorders>
            <w:shd w:val="clear" w:color="auto" w:fill="auto"/>
            <w:noWrap/>
            <w:vAlign w:val="center"/>
            <w:hideMark/>
          </w:tcPr>
          <w:p w14:paraId="1C3BAD02"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Terrenos – Permissão de Uso de Pátios</w:t>
            </w:r>
          </w:p>
        </w:tc>
        <w:tc>
          <w:tcPr>
            <w:tcW w:w="1418" w:type="dxa"/>
            <w:tcBorders>
              <w:top w:val="nil"/>
              <w:left w:val="nil"/>
              <w:bottom w:val="nil"/>
              <w:right w:val="nil"/>
            </w:tcBorders>
            <w:shd w:val="clear" w:color="auto" w:fill="auto"/>
            <w:noWrap/>
            <w:vAlign w:val="center"/>
            <w:hideMark/>
          </w:tcPr>
          <w:p w14:paraId="3868E3EB"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480.985 </w:t>
            </w:r>
          </w:p>
        </w:tc>
        <w:tc>
          <w:tcPr>
            <w:tcW w:w="1237" w:type="dxa"/>
            <w:tcBorders>
              <w:top w:val="nil"/>
              <w:left w:val="nil"/>
              <w:bottom w:val="nil"/>
              <w:right w:val="nil"/>
            </w:tcBorders>
            <w:shd w:val="clear" w:color="auto" w:fill="auto"/>
            <w:noWrap/>
            <w:vAlign w:val="center"/>
            <w:hideMark/>
          </w:tcPr>
          <w:p w14:paraId="2AFC7F12"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167" w:type="dxa"/>
            <w:tcBorders>
              <w:top w:val="nil"/>
              <w:left w:val="nil"/>
              <w:bottom w:val="nil"/>
              <w:right w:val="nil"/>
            </w:tcBorders>
            <w:shd w:val="clear" w:color="auto" w:fill="auto"/>
            <w:noWrap/>
            <w:vAlign w:val="center"/>
            <w:hideMark/>
          </w:tcPr>
          <w:p w14:paraId="33A3A111"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441" w:type="dxa"/>
            <w:tcBorders>
              <w:top w:val="nil"/>
              <w:left w:val="nil"/>
              <w:bottom w:val="nil"/>
              <w:right w:val="nil"/>
            </w:tcBorders>
            <w:shd w:val="clear" w:color="auto" w:fill="auto"/>
            <w:noWrap/>
            <w:vAlign w:val="center"/>
            <w:hideMark/>
          </w:tcPr>
          <w:p w14:paraId="2766E69D"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522" w:type="dxa"/>
            <w:tcBorders>
              <w:top w:val="nil"/>
              <w:left w:val="nil"/>
              <w:bottom w:val="nil"/>
              <w:right w:val="nil"/>
            </w:tcBorders>
            <w:shd w:val="clear" w:color="auto" w:fill="auto"/>
            <w:noWrap/>
            <w:vAlign w:val="center"/>
            <w:hideMark/>
          </w:tcPr>
          <w:p w14:paraId="31A9DBEB"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480.985 </w:t>
            </w:r>
          </w:p>
        </w:tc>
        <w:tc>
          <w:tcPr>
            <w:tcW w:w="700" w:type="dxa"/>
            <w:tcBorders>
              <w:top w:val="nil"/>
              <w:left w:val="nil"/>
              <w:bottom w:val="nil"/>
              <w:right w:val="nil"/>
            </w:tcBorders>
            <w:shd w:val="clear" w:color="auto" w:fill="auto"/>
            <w:noWrap/>
            <w:vAlign w:val="center"/>
            <w:hideMark/>
          </w:tcPr>
          <w:p w14:paraId="5C6699C4"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w:t>
            </w:r>
          </w:p>
        </w:tc>
      </w:tr>
      <w:tr w:rsidR="0013173C" w:rsidRPr="00252D7B" w14:paraId="405BADE6" w14:textId="77777777" w:rsidTr="00F6584E">
        <w:trPr>
          <w:trHeight w:val="300"/>
        </w:trPr>
        <w:tc>
          <w:tcPr>
            <w:tcW w:w="3261" w:type="dxa"/>
            <w:tcBorders>
              <w:top w:val="nil"/>
              <w:left w:val="nil"/>
              <w:bottom w:val="nil"/>
              <w:right w:val="nil"/>
            </w:tcBorders>
            <w:shd w:val="clear" w:color="auto" w:fill="auto"/>
            <w:noWrap/>
            <w:vAlign w:val="center"/>
            <w:hideMark/>
          </w:tcPr>
          <w:p w14:paraId="3152A2AD"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Salas e Escritórios</w:t>
            </w:r>
          </w:p>
        </w:tc>
        <w:tc>
          <w:tcPr>
            <w:tcW w:w="1418" w:type="dxa"/>
            <w:tcBorders>
              <w:top w:val="nil"/>
              <w:left w:val="nil"/>
              <w:bottom w:val="nil"/>
              <w:right w:val="nil"/>
            </w:tcBorders>
            <w:shd w:val="clear" w:color="auto" w:fill="auto"/>
            <w:noWrap/>
            <w:vAlign w:val="center"/>
            <w:hideMark/>
          </w:tcPr>
          <w:p w14:paraId="4A379B37"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6.324.576 </w:t>
            </w:r>
          </w:p>
        </w:tc>
        <w:tc>
          <w:tcPr>
            <w:tcW w:w="1237" w:type="dxa"/>
            <w:tcBorders>
              <w:top w:val="nil"/>
              <w:left w:val="nil"/>
              <w:bottom w:val="nil"/>
              <w:right w:val="nil"/>
            </w:tcBorders>
            <w:shd w:val="clear" w:color="auto" w:fill="auto"/>
            <w:noWrap/>
            <w:vAlign w:val="center"/>
            <w:hideMark/>
          </w:tcPr>
          <w:p w14:paraId="524A7B0D"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167" w:type="dxa"/>
            <w:tcBorders>
              <w:top w:val="nil"/>
              <w:left w:val="nil"/>
              <w:bottom w:val="nil"/>
              <w:right w:val="nil"/>
            </w:tcBorders>
            <w:shd w:val="clear" w:color="auto" w:fill="auto"/>
            <w:noWrap/>
            <w:vAlign w:val="center"/>
            <w:hideMark/>
          </w:tcPr>
          <w:p w14:paraId="0E5F750C"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(3.963.135)</w:t>
            </w:r>
          </w:p>
        </w:tc>
        <w:tc>
          <w:tcPr>
            <w:tcW w:w="1441" w:type="dxa"/>
            <w:tcBorders>
              <w:top w:val="nil"/>
              <w:left w:val="nil"/>
              <w:bottom w:val="nil"/>
              <w:right w:val="nil"/>
            </w:tcBorders>
            <w:shd w:val="clear" w:color="auto" w:fill="auto"/>
            <w:noWrap/>
            <w:vAlign w:val="center"/>
            <w:hideMark/>
          </w:tcPr>
          <w:p w14:paraId="7F1A003B"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522" w:type="dxa"/>
            <w:tcBorders>
              <w:top w:val="nil"/>
              <w:left w:val="nil"/>
              <w:bottom w:val="nil"/>
              <w:right w:val="nil"/>
            </w:tcBorders>
            <w:shd w:val="clear" w:color="auto" w:fill="auto"/>
            <w:noWrap/>
            <w:vAlign w:val="center"/>
            <w:hideMark/>
          </w:tcPr>
          <w:p w14:paraId="2387E473"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2.361.441 </w:t>
            </w:r>
          </w:p>
        </w:tc>
        <w:tc>
          <w:tcPr>
            <w:tcW w:w="700" w:type="dxa"/>
            <w:tcBorders>
              <w:top w:val="nil"/>
              <w:left w:val="nil"/>
              <w:bottom w:val="nil"/>
              <w:right w:val="nil"/>
            </w:tcBorders>
            <w:shd w:val="clear" w:color="auto" w:fill="auto"/>
            <w:noWrap/>
            <w:vAlign w:val="center"/>
            <w:hideMark/>
          </w:tcPr>
          <w:p w14:paraId="2F53E3EC"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10</w:t>
            </w:r>
          </w:p>
        </w:tc>
      </w:tr>
      <w:tr w:rsidR="0013173C" w:rsidRPr="00252D7B" w14:paraId="65D682C4" w14:textId="77777777" w:rsidTr="00F6584E">
        <w:trPr>
          <w:trHeight w:val="300"/>
        </w:trPr>
        <w:tc>
          <w:tcPr>
            <w:tcW w:w="3261" w:type="dxa"/>
            <w:tcBorders>
              <w:top w:val="nil"/>
              <w:left w:val="nil"/>
              <w:bottom w:val="nil"/>
              <w:right w:val="nil"/>
            </w:tcBorders>
            <w:shd w:val="clear" w:color="auto" w:fill="auto"/>
            <w:noWrap/>
            <w:vAlign w:val="center"/>
            <w:hideMark/>
          </w:tcPr>
          <w:p w14:paraId="182B303E"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Estudos e Projetos</w:t>
            </w:r>
          </w:p>
        </w:tc>
        <w:tc>
          <w:tcPr>
            <w:tcW w:w="1418" w:type="dxa"/>
            <w:tcBorders>
              <w:top w:val="nil"/>
              <w:left w:val="nil"/>
              <w:bottom w:val="nil"/>
              <w:right w:val="nil"/>
            </w:tcBorders>
            <w:shd w:val="clear" w:color="auto" w:fill="auto"/>
            <w:noWrap/>
            <w:vAlign w:val="center"/>
            <w:hideMark/>
          </w:tcPr>
          <w:p w14:paraId="4BE66C47"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161.631.306 </w:t>
            </w:r>
          </w:p>
        </w:tc>
        <w:tc>
          <w:tcPr>
            <w:tcW w:w="1237" w:type="dxa"/>
            <w:tcBorders>
              <w:top w:val="nil"/>
              <w:left w:val="nil"/>
              <w:bottom w:val="nil"/>
              <w:right w:val="nil"/>
            </w:tcBorders>
            <w:shd w:val="clear" w:color="auto" w:fill="auto"/>
            <w:noWrap/>
            <w:vAlign w:val="center"/>
            <w:hideMark/>
          </w:tcPr>
          <w:p w14:paraId="61D4AAA5"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17.354 </w:t>
            </w:r>
          </w:p>
        </w:tc>
        <w:tc>
          <w:tcPr>
            <w:tcW w:w="1167" w:type="dxa"/>
            <w:tcBorders>
              <w:top w:val="nil"/>
              <w:left w:val="nil"/>
              <w:bottom w:val="nil"/>
              <w:right w:val="nil"/>
            </w:tcBorders>
            <w:shd w:val="clear" w:color="auto" w:fill="auto"/>
            <w:noWrap/>
            <w:vAlign w:val="center"/>
            <w:hideMark/>
          </w:tcPr>
          <w:p w14:paraId="36A36764"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(414.197)</w:t>
            </w:r>
          </w:p>
        </w:tc>
        <w:tc>
          <w:tcPr>
            <w:tcW w:w="1441" w:type="dxa"/>
            <w:tcBorders>
              <w:top w:val="nil"/>
              <w:left w:val="nil"/>
              <w:bottom w:val="nil"/>
              <w:right w:val="nil"/>
            </w:tcBorders>
            <w:shd w:val="clear" w:color="auto" w:fill="auto"/>
            <w:noWrap/>
            <w:vAlign w:val="center"/>
            <w:hideMark/>
          </w:tcPr>
          <w:p w14:paraId="35C22CF0"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(3.487.596)</w:t>
            </w:r>
          </w:p>
        </w:tc>
        <w:tc>
          <w:tcPr>
            <w:tcW w:w="1522" w:type="dxa"/>
            <w:tcBorders>
              <w:top w:val="nil"/>
              <w:left w:val="nil"/>
              <w:bottom w:val="nil"/>
              <w:right w:val="nil"/>
            </w:tcBorders>
            <w:shd w:val="clear" w:color="auto" w:fill="auto"/>
            <w:noWrap/>
            <w:vAlign w:val="center"/>
            <w:hideMark/>
          </w:tcPr>
          <w:p w14:paraId="7542C335"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157.746.867 </w:t>
            </w:r>
          </w:p>
        </w:tc>
        <w:tc>
          <w:tcPr>
            <w:tcW w:w="700" w:type="dxa"/>
            <w:tcBorders>
              <w:top w:val="nil"/>
              <w:left w:val="nil"/>
              <w:bottom w:val="nil"/>
              <w:right w:val="nil"/>
            </w:tcBorders>
            <w:shd w:val="clear" w:color="auto" w:fill="auto"/>
            <w:noWrap/>
            <w:vAlign w:val="center"/>
            <w:hideMark/>
          </w:tcPr>
          <w:p w14:paraId="1D47C829"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w:t>
            </w:r>
          </w:p>
        </w:tc>
      </w:tr>
      <w:tr w:rsidR="0013173C" w:rsidRPr="00252D7B" w14:paraId="6C4BA49B" w14:textId="77777777" w:rsidTr="00F6584E">
        <w:trPr>
          <w:trHeight w:val="300"/>
        </w:trPr>
        <w:tc>
          <w:tcPr>
            <w:tcW w:w="3261" w:type="dxa"/>
            <w:tcBorders>
              <w:top w:val="nil"/>
              <w:left w:val="nil"/>
              <w:bottom w:val="nil"/>
              <w:right w:val="nil"/>
            </w:tcBorders>
            <w:shd w:val="clear" w:color="auto" w:fill="auto"/>
            <w:noWrap/>
            <w:vAlign w:val="center"/>
            <w:hideMark/>
          </w:tcPr>
          <w:p w14:paraId="71638A0B"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FNS - Porto Nacional/TO - Anápolis/GO</w:t>
            </w:r>
          </w:p>
        </w:tc>
        <w:tc>
          <w:tcPr>
            <w:tcW w:w="1418" w:type="dxa"/>
            <w:tcBorders>
              <w:top w:val="nil"/>
              <w:left w:val="nil"/>
              <w:bottom w:val="nil"/>
              <w:right w:val="nil"/>
            </w:tcBorders>
            <w:shd w:val="clear" w:color="auto" w:fill="auto"/>
            <w:noWrap/>
            <w:vAlign w:val="center"/>
            <w:hideMark/>
          </w:tcPr>
          <w:p w14:paraId="12B3B6F8"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237" w:type="dxa"/>
            <w:tcBorders>
              <w:top w:val="nil"/>
              <w:left w:val="nil"/>
              <w:bottom w:val="nil"/>
              <w:right w:val="nil"/>
            </w:tcBorders>
            <w:shd w:val="clear" w:color="auto" w:fill="auto"/>
            <w:noWrap/>
            <w:vAlign w:val="center"/>
            <w:hideMark/>
          </w:tcPr>
          <w:p w14:paraId="137EFC06"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167" w:type="dxa"/>
            <w:tcBorders>
              <w:top w:val="nil"/>
              <w:left w:val="nil"/>
              <w:bottom w:val="nil"/>
              <w:right w:val="nil"/>
            </w:tcBorders>
            <w:shd w:val="clear" w:color="auto" w:fill="auto"/>
            <w:noWrap/>
            <w:vAlign w:val="center"/>
            <w:hideMark/>
          </w:tcPr>
          <w:p w14:paraId="099720F0"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441" w:type="dxa"/>
            <w:tcBorders>
              <w:top w:val="nil"/>
              <w:left w:val="nil"/>
              <w:bottom w:val="nil"/>
              <w:right w:val="nil"/>
            </w:tcBorders>
            <w:shd w:val="clear" w:color="auto" w:fill="auto"/>
            <w:noWrap/>
            <w:vAlign w:val="center"/>
            <w:hideMark/>
          </w:tcPr>
          <w:p w14:paraId="05D757DB"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522" w:type="dxa"/>
            <w:tcBorders>
              <w:top w:val="nil"/>
              <w:left w:val="nil"/>
              <w:bottom w:val="nil"/>
              <w:right w:val="nil"/>
            </w:tcBorders>
            <w:shd w:val="clear" w:color="auto" w:fill="auto"/>
            <w:noWrap/>
            <w:vAlign w:val="center"/>
            <w:hideMark/>
          </w:tcPr>
          <w:p w14:paraId="315216AB"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700" w:type="dxa"/>
            <w:tcBorders>
              <w:top w:val="nil"/>
              <w:left w:val="nil"/>
              <w:bottom w:val="nil"/>
              <w:right w:val="nil"/>
            </w:tcBorders>
            <w:shd w:val="clear" w:color="auto" w:fill="auto"/>
            <w:noWrap/>
            <w:vAlign w:val="bottom"/>
            <w:hideMark/>
          </w:tcPr>
          <w:p w14:paraId="353C7B1C" w14:textId="77777777" w:rsidR="0013173C" w:rsidRPr="00252D7B" w:rsidRDefault="0013173C" w:rsidP="00F6584E">
            <w:pPr>
              <w:spacing w:after="120"/>
              <w:jc w:val="right"/>
              <w:rPr>
                <w:rFonts w:asciiTheme="minorHAnsi" w:hAnsiTheme="minorHAnsi" w:cstheme="minorHAnsi"/>
                <w:color w:val="000000"/>
                <w:sz w:val="15"/>
                <w:szCs w:val="15"/>
              </w:rPr>
            </w:pPr>
          </w:p>
        </w:tc>
      </w:tr>
      <w:tr w:rsidR="0013173C" w:rsidRPr="00252D7B" w14:paraId="571543EA" w14:textId="77777777" w:rsidTr="00F6584E">
        <w:trPr>
          <w:trHeight w:val="300"/>
        </w:trPr>
        <w:tc>
          <w:tcPr>
            <w:tcW w:w="3261" w:type="dxa"/>
            <w:tcBorders>
              <w:top w:val="nil"/>
              <w:left w:val="nil"/>
              <w:bottom w:val="nil"/>
              <w:right w:val="nil"/>
            </w:tcBorders>
            <w:shd w:val="clear" w:color="auto" w:fill="auto"/>
            <w:noWrap/>
            <w:vAlign w:val="center"/>
            <w:hideMark/>
          </w:tcPr>
          <w:p w14:paraId="2CF6BA6E"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FIOL - Ferrovia de Integração Oeste-Leste </w:t>
            </w:r>
          </w:p>
        </w:tc>
        <w:tc>
          <w:tcPr>
            <w:tcW w:w="1418" w:type="dxa"/>
            <w:tcBorders>
              <w:top w:val="nil"/>
              <w:left w:val="nil"/>
              <w:bottom w:val="nil"/>
              <w:right w:val="nil"/>
            </w:tcBorders>
            <w:shd w:val="clear" w:color="auto" w:fill="auto"/>
            <w:noWrap/>
            <w:vAlign w:val="center"/>
            <w:hideMark/>
          </w:tcPr>
          <w:p w14:paraId="105AEC00"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4.128.337 </w:t>
            </w:r>
          </w:p>
        </w:tc>
        <w:tc>
          <w:tcPr>
            <w:tcW w:w="1237" w:type="dxa"/>
            <w:tcBorders>
              <w:top w:val="nil"/>
              <w:left w:val="nil"/>
              <w:bottom w:val="nil"/>
              <w:right w:val="nil"/>
            </w:tcBorders>
            <w:shd w:val="clear" w:color="auto" w:fill="auto"/>
            <w:noWrap/>
            <w:vAlign w:val="center"/>
            <w:hideMark/>
          </w:tcPr>
          <w:p w14:paraId="0B1C6DE8"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167" w:type="dxa"/>
            <w:tcBorders>
              <w:top w:val="nil"/>
              <w:left w:val="nil"/>
              <w:bottom w:val="nil"/>
              <w:right w:val="nil"/>
            </w:tcBorders>
            <w:shd w:val="clear" w:color="auto" w:fill="auto"/>
            <w:noWrap/>
            <w:vAlign w:val="center"/>
            <w:hideMark/>
          </w:tcPr>
          <w:p w14:paraId="5CB10FB5"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441" w:type="dxa"/>
            <w:tcBorders>
              <w:top w:val="nil"/>
              <w:left w:val="nil"/>
              <w:bottom w:val="nil"/>
              <w:right w:val="nil"/>
            </w:tcBorders>
            <w:shd w:val="clear" w:color="auto" w:fill="auto"/>
            <w:noWrap/>
            <w:vAlign w:val="center"/>
            <w:hideMark/>
          </w:tcPr>
          <w:p w14:paraId="0FB475F6"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(3.487.596)</w:t>
            </w:r>
          </w:p>
        </w:tc>
        <w:tc>
          <w:tcPr>
            <w:tcW w:w="1522" w:type="dxa"/>
            <w:tcBorders>
              <w:top w:val="nil"/>
              <w:left w:val="nil"/>
              <w:bottom w:val="nil"/>
              <w:right w:val="nil"/>
            </w:tcBorders>
            <w:shd w:val="clear" w:color="auto" w:fill="auto"/>
            <w:noWrap/>
            <w:vAlign w:val="center"/>
            <w:hideMark/>
          </w:tcPr>
          <w:p w14:paraId="191E24BA"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640.741 </w:t>
            </w:r>
          </w:p>
        </w:tc>
        <w:tc>
          <w:tcPr>
            <w:tcW w:w="700" w:type="dxa"/>
            <w:tcBorders>
              <w:top w:val="nil"/>
              <w:left w:val="nil"/>
              <w:bottom w:val="nil"/>
              <w:right w:val="nil"/>
            </w:tcBorders>
            <w:shd w:val="clear" w:color="auto" w:fill="auto"/>
            <w:noWrap/>
            <w:vAlign w:val="bottom"/>
            <w:hideMark/>
          </w:tcPr>
          <w:p w14:paraId="3473BC8D" w14:textId="77777777" w:rsidR="0013173C" w:rsidRPr="00252D7B" w:rsidRDefault="0013173C" w:rsidP="00F6584E">
            <w:pPr>
              <w:spacing w:after="120"/>
              <w:jc w:val="right"/>
              <w:rPr>
                <w:rFonts w:asciiTheme="minorHAnsi" w:hAnsiTheme="minorHAnsi" w:cstheme="minorHAnsi"/>
                <w:color w:val="000000"/>
                <w:sz w:val="15"/>
                <w:szCs w:val="15"/>
              </w:rPr>
            </w:pPr>
          </w:p>
        </w:tc>
      </w:tr>
      <w:tr w:rsidR="0013173C" w:rsidRPr="00252D7B" w14:paraId="4F009241" w14:textId="77777777" w:rsidTr="00F6584E">
        <w:trPr>
          <w:trHeight w:val="300"/>
        </w:trPr>
        <w:tc>
          <w:tcPr>
            <w:tcW w:w="3261" w:type="dxa"/>
            <w:tcBorders>
              <w:top w:val="nil"/>
              <w:left w:val="nil"/>
              <w:bottom w:val="nil"/>
              <w:right w:val="nil"/>
            </w:tcBorders>
            <w:shd w:val="clear" w:color="auto" w:fill="auto"/>
            <w:noWrap/>
            <w:vAlign w:val="center"/>
            <w:hideMark/>
          </w:tcPr>
          <w:p w14:paraId="65DB47EA"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Ferrovia Transcontinental</w:t>
            </w:r>
          </w:p>
        </w:tc>
        <w:tc>
          <w:tcPr>
            <w:tcW w:w="1418" w:type="dxa"/>
            <w:tcBorders>
              <w:top w:val="nil"/>
              <w:left w:val="nil"/>
              <w:bottom w:val="nil"/>
              <w:right w:val="nil"/>
            </w:tcBorders>
            <w:shd w:val="clear" w:color="auto" w:fill="auto"/>
            <w:noWrap/>
            <w:vAlign w:val="center"/>
            <w:hideMark/>
          </w:tcPr>
          <w:p w14:paraId="2862C908"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131.977.882 </w:t>
            </w:r>
          </w:p>
        </w:tc>
        <w:tc>
          <w:tcPr>
            <w:tcW w:w="1237" w:type="dxa"/>
            <w:tcBorders>
              <w:top w:val="nil"/>
              <w:left w:val="nil"/>
              <w:bottom w:val="nil"/>
              <w:right w:val="nil"/>
            </w:tcBorders>
            <w:shd w:val="clear" w:color="auto" w:fill="auto"/>
            <w:noWrap/>
            <w:vAlign w:val="center"/>
            <w:hideMark/>
          </w:tcPr>
          <w:p w14:paraId="70C6F665"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17.354 </w:t>
            </w:r>
          </w:p>
        </w:tc>
        <w:tc>
          <w:tcPr>
            <w:tcW w:w="1167" w:type="dxa"/>
            <w:tcBorders>
              <w:top w:val="nil"/>
              <w:left w:val="nil"/>
              <w:bottom w:val="nil"/>
              <w:right w:val="nil"/>
            </w:tcBorders>
            <w:shd w:val="clear" w:color="auto" w:fill="auto"/>
            <w:noWrap/>
            <w:vAlign w:val="center"/>
            <w:hideMark/>
          </w:tcPr>
          <w:p w14:paraId="1BE76D44"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(414.197)</w:t>
            </w:r>
          </w:p>
        </w:tc>
        <w:tc>
          <w:tcPr>
            <w:tcW w:w="1441" w:type="dxa"/>
            <w:tcBorders>
              <w:top w:val="nil"/>
              <w:left w:val="nil"/>
              <w:bottom w:val="nil"/>
              <w:right w:val="nil"/>
            </w:tcBorders>
            <w:shd w:val="clear" w:color="auto" w:fill="auto"/>
            <w:noWrap/>
            <w:vAlign w:val="center"/>
            <w:hideMark/>
          </w:tcPr>
          <w:p w14:paraId="185784D3"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522" w:type="dxa"/>
            <w:tcBorders>
              <w:top w:val="nil"/>
              <w:left w:val="nil"/>
              <w:bottom w:val="nil"/>
              <w:right w:val="nil"/>
            </w:tcBorders>
            <w:shd w:val="clear" w:color="auto" w:fill="auto"/>
            <w:noWrap/>
            <w:vAlign w:val="center"/>
            <w:hideMark/>
          </w:tcPr>
          <w:p w14:paraId="708F5230"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131.581.039 </w:t>
            </w:r>
          </w:p>
        </w:tc>
        <w:tc>
          <w:tcPr>
            <w:tcW w:w="700" w:type="dxa"/>
            <w:tcBorders>
              <w:top w:val="nil"/>
              <w:left w:val="nil"/>
              <w:bottom w:val="nil"/>
              <w:right w:val="nil"/>
            </w:tcBorders>
            <w:shd w:val="clear" w:color="auto" w:fill="auto"/>
            <w:noWrap/>
            <w:vAlign w:val="bottom"/>
            <w:hideMark/>
          </w:tcPr>
          <w:p w14:paraId="4550FCD7" w14:textId="77777777" w:rsidR="0013173C" w:rsidRPr="00252D7B" w:rsidRDefault="0013173C" w:rsidP="00F6584E">
            <w:pPr>
              <w:spacing w:after="120"/>
              <w:jc w:val="right"/>
              <w:rPr>
                <w:rFonts w:asciiTheme="minorHAnsi" w:hAnsiTheme="minorHAnsi" w:cstheme="minorHAnsi"/>
                <w:color w:val="000000"/>
                <w:sz w:val="15"/>
                <w:szCs w:val="15"/>
              </w:rPr>
            </w:pPr>
          </w:p>
        </w:tc>
      </w:tr>
      <w:tr w:rsidR="0013173C" w:rsidRPr="00252D7B" w14:paraId="0138412A" w14:textId="77777777" w:rsidTr="00F6584E">
        <w:trPr>
          <w:trHeight w:val="300"/>
        </w:trPr>
        <w:tc>
          <w:tcPr>
            <w:tcW w:w="3261" w:type="dxa"/>
            <w:tcBorders>
              <w:top w:val="nil"/>
              <w:left w:val="nil"/>
              <w:bottom w:val="nil"/>
              <w:right w:val="nil"/>
            </w:tcBorders>
            <w:shd w:val="clear" w:color="auto" w:fill="auto"/>
            <w:noWrap/>
            <w:vAlign w:val="center"/>
            <w:hideMark/>
          </w:tcPr>
          <w:p w14:paraId="63F7B2C2"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Outros Empreendimentos</w:t>
            </w:r>
          </w:p>
        </w:tc>
        <w:tc>
          <w:tcPr>
            <w:tcW w:w="1418" w:type="dxa"/>
            <w:tcBorders>
              <w:top w:val="nil"/>
              <w:left w:val="nil"/>
              <w:bottom w:val="nil"/>
              <w:right w:val="nil"/>
            </w:tcBorders>
            <w:shd w:val="clear" w:color="auto" w:fill="auto"/>
            <w:noWrap/>
            <w:vAlign w:val="center"/>
            <w:hideMark/>
          </w:tcPr>
          <w:p w14:paraId="3091B2F1"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25.525.087 </w:t>
            </w:r>
          </w:p>
        </w:tc>
        <w:tc>
          <w:tcPr>
            <w:tcW w:w="1237" w:type="dxa"/>
            <w:tcBorders>
              <w:top w:val="nil"/>
              <w:left w:val="nil"/>
              <w:bottom w:val="nil"/>
              <w:right w:val="nil"/>
            </w:tcBorders>
            <w:shd w:val="clear" w:color="auto" w:fill="auto"/>
            <w:noWrap/>
            <w:vAlign w:val="center"/>
            <w:hideMark/>
          </w:tcPr>
          <w:p w14:paraId="608A81B2"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167" w:type="dxa"/>
            <w:tcBorders>
              <w:top w:val="nil"/>
              <w:left w:val="nil"/>
              <w:bottom w:val="nil"/>
              <w:right w:val="nil"/>
            </w:tcBorders>
            <w:shd w:val="clear" w:color="auto" w:fill="auto"/>
            <w:noWrap/>
            <w:vAlign w:val="center"/>
            <w:hideMark/>
          </w:tcPr>
          <w:p w14:paraId="3C9E61B5"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441" w:type="dxa"/>
            <w:tcBorders>
              <w:top w:val="nil"/>
              <w:left w:val="nil"/>
              <w:bottom w:val="nil"/>
              <w:right w:val="nil"/>
            </w:tcBorders>
            <w:shd w:val="clear" w:color="auto" w:fill="auto"/>
            <w:noWrap/>
            <w:vAlign w:val="center"/>
            <w:hideMark/>
          </w:tcPr>
          <w:p w14:paraId="231720A4"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522" w:type="dxa"/>
            <w:tcBorders>
              <w:top w:val="nil"/>
              <w:left w:val="nil"/>
              <w:bottom w:val="nil"/>
              <w:right w:val="nil"/>
            </w:tcBorders>
            <w:shd w:val="clear" w:color="auto" w:fill="auto"/>
            <w:noWrap/>
            <w:vAlign w:val="center"/>
            <w:hideMark/>
          </w:tcPr>
          <w:p w14:paraId="494BFCC8"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25.525.087 </w:t>
            </w:r>
          </w:p>
        </w:tc>
        <w:tc>
          <w:tcPr>
            <w:tcW w:w="700" w:type="dxa"/>
            <w:tcBorders>
              <w:top w:val="nil"/>
              <w:left w:val="nil"/>
              <w:bottom w:val="nil"/>
              <w:right w:val="nil"/>
            </w:tcBorders>
            <w:shd w:val="clear" w:color="auto" w:fill="auto"/>
            <w:noWrap/>
            <w:vAlign w:val="bottom"/>
            <w:hideMark/>
          </w:tcPr>
          <w:p w14:paraId="032D7042" w14:textId="77777777" w:rsidR="0013173C" w:rsidRPr="00252D7B" w:rsidRDefault="0013173C" w:rsidP="00F6584E">
            <w:pPr>
              <w:spacing w:after="120"/>
              <w:jc w:val="right"/>
              <w:rPr>
                <w:rFonts w:asciiTheme="minorHAnsi" w:hAnsiTheme="minorHAnsi" w:cstheme="minorHAnsi"/>
                <w:color w:val="000000"/>
                <w:sz w:val="15"/>
                <w:szCs w:val="15"/>
              </w:rPr>
            </w:pPr>
          </w:p>
        </w:tc>
      </w:tr>
      <w:tr w:rsidR="0013173C" w:rsidRPr="00252D7B" w14:paraId="4312278A" w14:textId="77777777" w:rsidTr="00F6584E">
        <w:trPr>
          <w:trHeight w:val="300"/>
        </w:trPr>
        <w:tc>
          <w:tcPr>
            <w:tcW w:w="3261" w:type="dxa"/>
            <w:tcBorders>
              <w:top w:val="nil"/>
              <w:left w:val="nil"/>
              <w:bottom w:val="nil"/>
              <w:right w:val="nil"/>
            </w:tcBorders>
            <w:shd w:val="clear" w:color="auto" w:fill="auto"/>
            <w:noWrap/>
            <w:vAlign w:val="center"/>
            <w:hideMark/>
          </w:tcPr>
          <w:p w14:paraId="662889AD"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Implantação - Ferrovias</w:t>
            </w:r>
          </w:p>
        </w:tc>
        <w:tc>
          <w:tcPr>
            <w:tcW w:w="1418" w:type="dxa"/>
            <w:tcBorders>
              <w:top w:val="nil"/>
              <w:left w:val="nil"/>
              <w:bottom w:val="nil"/>
              <w:right w:val="nil"/>
            </w:tcBorders>
            <w:shd w:val="clear" w:color="auto" w:fill="auto"/>
            <w:noWrap/>
            <w:vAlign w:val="center"/>
            <w:hideMark/>
          </w:tcPr>
          <w:p w14:paraId="3C36A322"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5.324.234.547 </w:t>
            </w:r>
          </w:p>
        </w:tc>
        <w:tc>
          <w:tcPr>
            <w:tcW w:w="1237" w:type="dxa"/>
            <w:tcBorders>
              <w:top w:val="nil"/>
              <w:left w:val="nil"/>
              <w:bottom w:val="nil"/>
              <w:right w:val="nil"/>
            </w:tcBorders>
            <w:shd w:val="clear" w:color="auto" w:fill="auto"/>
            <w:noWrap/>
            <w:vAlign w:val="center"/>
            <w:hideMark/>
          </w:tcPr>
          <w:p w14:paraId="171D2EAA"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642.123.060 </w:t>
            </w:r>
          </w:p>
        </w:tc>
        <w:tc>
          <w:tcPr>
            <w:tcW w:w="1167" w:type="dxa"/>
            <w:tcBorders>
              <w:top w:val="nil"/>
              <w:left w:val="nil"/>
              <w:bottom w:val="nil"/>
              <w:right w:val="nil"/>
            </w:tcBorders>
            <w:shd w:val="clear" w:color="auto" w:fill="auto"/>
            <w:noWrap/>
            <w:vAlign w:val="center"/>
            <w:hideMark/>
          </w:tcPr>
          <w:p w14:paraId="5593E508"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(163)</w:t>
            </w:r>
          </w:p>
        </w:tc>
        <w:tc>
          <w:tcPr>
            <w:tcW w:w="1441" w:type="dxa"/>
            <w:tcBorders>
              <w:top w:val="nil"/>
              <w:left w:val="nil"/>
              <w:bottom w:val="nil"/>
              <w:right w:val="nil"/>
            </w:tcBorders>
            <w:shd w:val="clear" w:color="auto" w:fill="auto"/>
            <w:noWrap/>
            <w:vAlign w:val="center"/>
            <w:hideMark/>
          </w:tcPr>
          <w:p w14:paraId="25C6435E"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(3.567.519.337)</w:t>
            </w:r>
          </w:p>
        </w:tc>
        <w:tc>
          <w:tcPr>
            <w:tcW w:w="1522" w:type="dxa"/>
            <w:tcBorders>
              <w:top w:val="nil"/>
              <w:left w:val="nil"/>
              <w:bottom w:val="nil"/>
              <w:right w:val="nil"/>
            </w:tcBorders>
            <w:shd w:val="clear" w:color="auto" w:fill="auto"/>
            <w:noWrap/>
            <w:vAlign w:val="center"/>
            <w:hideMark/>
          </w:tcPr>
          <w:p w14:paraId="4213305C"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2.398.838.107 </w:t>
            </w:r>
          </w:p>
        </w:tc>
        <w:tc>
          <w:tcPr>
            <w:tcW w:w="700" w:type="dxa"/>
            <w:tcBorders>
              <w:top w:val="nil"/>
              <w:left w:val="nil"/>
              <w:bottom w:val="nil"/>
              <w:right w:val="nil"/>
            </w:tcBorders>
            <w:shd w:val="clear" w:color="auto" w:fill="auto"/>
            <w:noWrap/>
            <w:vAlign w:val="bottom"/>
            <w:hideMark/>
          </w:tcPr>
          <w:p w14:paraId="753310A3" w14:textId="77777777" w:rsidR="0013173C" w:rsidRPr="00252D7B" w:rsidRDefault="0013173C" w:rsidP="00F6584E">
            <w:pPr>
              <w:spacing w:after="120"/>
              <w:jc w:val="right"/>
              <w:rPr>
                <w:rFonts w:asciiTheme="minorHAnsi" w:hAnsiTheme="minorHAnsi" w:cstheme="minorHAnsi"/>
                <w:color w:val="000000"/>
                <w:sz w:val="15"/>
                <w:szCs w:val="15"/>
              </w:rPr>
            </w:pPr>
          </w:p>
        </w:tc>
      </w:tr>
      <w:tr w:rsidR="0013173C" w:rsidRPr="00252D7B" w14:paraId="50A23CAC" w14:textId="77777777" w:rsidTr="00F6584E">
        <w:trPr>
          <w:trHeight w:val="300"/>
        </w:trPr>
        <w:tc>
          <w:tcPr>
            <w:tcW w:w="3261" w:type="dxa"/>
            <w:tcBorders>
              <w:top w:val="nil"/>
              <w:left w:val="nil"/>
              <w:bottom w:val="nil"/>
              <w:right w:val="nil"/>
            </w:tcBorders>
            <w:shd w:val="clear" w:color="auto" w:fill="auto"/>
            <w:noWrap/>
            <w:vAlign w:val="center"/>
            <w:hideMark/>
          </w:tcPr>
          <w:p w14:paraId="2A83A962"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FNS - Porto Nacional/TO - Anápolis/GO</w:t>
            </w:r>
          </w:p>
        </w:tc>
        <w:tc>
          <w:tcPr>
            <w:tcW w:w="1418" w:type="dxa"/>
            <w:tcBorders>
              <w:top w:val="nil"/>
              <w:left w:val="nil"/>
              <w:bottom w:val="nil"/>
              <w:right w:val="nil"/>
            </w:tcBorders>
            <w:shd w:val="clear" w:color="auto" w:fill="auto"/>
            <w:noWrap/>
            <w:vAlign w:val="center"/>
            <w:hideMark/>
          </w:tcPr>
          <w:p w14:paraId="1805DCAF"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237" w:type="dxa"/>
            <w:tcBorders>
              <w:top w:val="nil"/>
              <w:left w:val="nil"/>
              <w:bottom w:val="nil"/>
              <w:right w:val="nil"/>
            </w:tcBorders>
            <w:shd w:val="clear" w:color="auto" w:fill="auto"/>
            <w:noWrap/>
            <w:vAlign w:val="center"/>
            <w:hideMark/>
          </w:tcPr>
          <w:p w14:paraId="33EFF560"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167" w:type="dxa"/>
            <w:tcBorders>
              <w:top w:val="nil"/>
              <w:left w:val="nil"/>
              <w:bottom w:val="nil"/>
              <w:right w:val="nil"/>
            </w:tcBorders>
            <w:shd w:val="clear" w:color="auto" w:fill="auto"/>
            <w:noWrap/>
            <w:vAlign w:val="center"/>
            <w:hideMark/>
          </w:tcPr>
          <w:p w14:paraId="17A52883"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441" w:type="dxa"/>
            <w:tcBorders>
              <w:top w:val="nil"/>
              <w:left w:val="nil"/>
              <w:bottom w:val="nil"/>
              <w:right w:val="nil"/>
            </w:tcBorders>
            <w:shd w:val="clear" w:color="auto" w:fill="auto"/>
            <w:noWrap/>
            <w:vAlign w:val="center"/>
            <w:hideMark/>
          </w:tcPr>
          <w:p w14:paraId="360FEBC1"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522" w:type="dxa"/>
            <w:tcBorders>
              <w:top w:val="nil"/>
              <w:left w:val="nil"/>
              <w:bottom w:val="nil"/>
              <w:right w:val="nil"/>
            </w:tcBorders>
            <w:shd w:val="clear" w:color="auto" w:fill="auto"/>
            <w:noWrap/>
            <w:vAlign w:val="center"/>
            <w:hideMark/>
          </w:tcPr>
          <w:p w14:paraId="1BD40D81"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700" w:type="dxa"/>
            <w:tcBorders>
              <w:top w:val="nil"/>
              <w:left w:val="nil"/>
              <w:bottom w:val="nil"/>
              <w:right w:val="nil"/>
            </w:tcBorders>
            <w:shd w:val="clear" w:color="auto" w:fill="auto"/>
            <w:noWrap/>
            <w:vAlign w:val="bottom"/>
            <w:hideMark/>
          </w:tcPr>
          <w:p w14:paraId="3116BECB" w14:textId="77777777" w:rsidR="0013173C" w:rsidRPr="00252D7B" w:rsidRDefault="0013173C" w:rsidP="00F6584E">
            <w:pPr>
              <w:spacing w:after="120"/>
              <w:jc w:val="right"/>
              <w:rPr>
                <w:rFonts w:asciiTheme="minorHAnsi" w:hAnsiTheme="minorHAnsi" w:cstheme="minorHAnsi"/>
                <w:color w:val="000000"/>
                <w:sz w:val="15"/>
                <w:szCs w:val="15"/>
              </w:rPr>
            </w:pPr>
          </w:p>
        </w:tc>
      </w:tr>
      <w:tr w:rsidR="0013173C" w:rsidRPr="00252D7B" w14:paraId="2C376236" w14:textId="77777777" w:rsidTr="00F6584E">
        <w:trPr>
          <w:trHeight w:val="300"/>
        </w:trPr>
        <w:tc>
          <w:tcPr>
            <w:tcW w:w="3261" w:type="dxa"/>
            <w:tcBorders>
              <w:top w:val="nil"/>
              <w:left w:val="nil"/>
              <w:bottom w:val="nil"/>
              <w:right w:val="nil"/>
            </w:tcBorders>
            <w:shd w:val="clear" w:color="auto" w:fill="auto"/>
            <w:noWrap/>
            <w:vAlign w:val="center"/>
            <w:hideMark/>
          </w:tcPr>
          <w:p w14:paraId="7AFE84E6"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FNS - Ouro Verde/GO - Estrela D'Oeste/SP</w:t>
            </w:r>
          </w:p>
        </w:tc>
        <w:tc>
          <w:tcPr>
            <w:tcW w:w="1418" w:type="dxa"/>
            <w:tcBorders>
              <w:top w:val="nil"/>
              <w:left w:val="nil"/>
              <w:bottom w:val="nil"/>
              <w:right w:val="nil"/>
            </w:tcBorders>
            <w:shd w:val="clear" w:color="auto" w:fill="auto"/>
            <w:noWrap/>
            <w:vAlign w:val="center"/>
            <w:hideMark/>
          </w:tcPr>
          <w:p w14:paraId="113D5369"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49.144.521 </w:t>
            </w:r>
          </w:p>
        </w:tc>
        <w:tc>
          <w:tcPr>
            <w:tcW w:w="1237" w:type="dxa"/>
            <w:tcBorders>
              <w:top w:val="nil"/>
              <w:left w:val="nil"/>
              <w:bottom w:val="nil"/>
              <w:right w:val="nil"/>
            </w:tcBorders>
            <w:shd w:val="clear" w:color="auto" w:fill="auto"/>
            <w:noWrap/>
            <w:vAlign w:val="center"/>
            <w:hideMark/>
          </w:tcPr>
          <w:p w14:paraId="78B58D53"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15.036.777 </w:t>
            </w:r>
          </w:p>
        </w:tc>
        <w:tc>
          <w:tcPr>
            <w:tcW w:w="1167" w:type="dxa"/>
            <w:tcBorders>
              <w:top w:val="nil"/>
              <w:left w:val="nil"/>
              <w:bottom w:val="nil"/>
              <w:right w:val="nil"/>
            </w:tcBorders>
            <w:shd w:val="clear" w:color="auto" w:fill="auto"/>
            <w:noWrap/>
            <w:vAlign w:val="center"/>
            <w:hideMark/>
          </w:tcPr>
          <w:p w14:paraId="67FBB378"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441" w:type="dxa"/>
            <w:tcBorders>
              <w:top w:val="nil"/>
              <w:left w:val="nil"/>
              <w:bottom w:val="nil"/>
              <w:right w:val="nil"/>
            </w:tcBorders>
            <w:shd w:val="clear" w:color="auto" w:fill="auto"/>
            <w:noWrap/>
            <w:vAlign w:val="center"/>
            <w:hideMark/>
          </w:tcPr>
          <w:p w14:paraId="3E20E86C"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(64.181.298)</w:t>
            </w:r>
          </w:p>
        </w:tc>
        <w:tc>
          <w:tcPr>
            <w:tcW w:w="1522" w:type="dxa"/>
            <w:tcBorders>
              <w:top w:val="nil"/>
              <w:left w:val="nil"/>
              <w:bottom w:val="nil"/>
              <w:right w:val="nil"/>
            </w:tcBorders>
            <w:shd w:val="clear" w:color="auto" w:fill="auto"/>
            <w:noWrap/>
            <w:vAlign w:val="center"/>
            <w:hideMark/>
          </w:tcPr>
          <w:p w14:paraId="0F814B4F"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700" w:type="dxa"/>
            <w:tcBorders>
              <w:top w:val="nil"/>
              <w:left w:val="nil"/>
              <w:bottom w:val="nil"/>
              <w:right w:val="nil"/>
            </w:tcBorders>
            <w:shd w:val="clear" w:color="auto" w:fill="auto"/>
            <w:noWrap/>
            <w:vAlign w:val="bottom"/>
            <w:hideMark/>
          </w:tcPr>
          <w:p w14:paraId="6E32C188" w14:textId="77777777" w:rsidR="0013173C" w:rsidRPr="00252D7B" w:rsidRDefault="0013173C" w:rsidP="00F6584E">
            <w:pPr>
              <w:spacing w:after="120"/>
              <w:jc w:val="right"/>
              <w:rPr>
                <w:rFonts w:asciiTheme="minorHAnsi" w:hAnsiTheme="minorHAnsi" w:cstheme="minorHAnsi"/>
                <w:color w:val="000000"/>
                <w:sz w:val="15"/>
                <w:szCs w:val="15"/>
              </w:rPr>
            </w:pPr>
          </w:p>
        </w:tc>
      </w:tr>
      <w:tr w:rsidR="0013173C" w:rsidRPr="00252D7B" w14:paraId="54BF3932" w14:textId="77777777" w:rsidTr="00F6584E">
        <w:trPr>
          <w:trHeight w:val="300"/>
        </w:trPr>
        <w:tc>
          <w:tcPr>
            <w:tcW w:w="3261" w:type="dxa"/>
            <w:tcBorders>
              <w:top w:val="nil"/>
              <w:left w:val="nil"/>
              <w:bottom w:val="nil"/>
              <w:right w:val="nil"/>
            </w:tcBorders>
            <w:shd w:val="clear" w:color="auto" w:fill="auto"/>
            <w:noWrap/>
            <w:vAlign w:val="center"/>
            <w:hideMark/>
          </w:tcPr>
          <w:p w14:paraId="63BF895B"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FIOL - Ferrovia de Integração Oeste-Leste </w:t>
            </w:r>
          </w:p>
        </w:tc>
        <w:tc>
          <w:tcPr>
            <w:tcW w:w="1418" w:type="dxa"/>
            <w:tcBorders>
              <w:top w:val="nil"/>
              <w:left w:val="nil"/>
              <w:bottom w:val="nil"/>
              <w:right w:val="nil"/>
            </w:tcBorders>
            <w:shd w:val="clear" w:color="auto" w:fill="auto"/>
            <w:noWrap/>
            <w:vAlign w:val="center"/>
            <w:hideMark/>
          </w:tcPr>
          <w:p w14:paraId="46055CCC"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5.275.090.026 </w:t>
            </w:r>
          </w:p>
        </w:tc>
        <w:tc>
          <w:tcPr>
            <w:tcW w:w="1237" w:type="dxa"/>
            <w:tcBorders>
              <w:top w:val="nil"/>
              <w:left w:val="nil"/>
              <w:bottom w:val="nil"/>
              <w:right w:val="nil"/>
            </w:tcBorders>
            <w:shd w:val="clear" w:color="auto" w:fill="auto"/>
            <w:noWrap/>
            <w:vAlign w:val="center"/>
            <w:hideMark/>
          </w:tcPr>
          <w:p w14:paraId="56C5D7CC"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362.651.451 </w:t>
            </w:r>
          </w:p>
        </w:tc>
        <w:tc>
          <w:tcPr>
            <w:tcW w:w="1167" w:type="dxa"/>
            <w:tcBorders>
              <w:top w:val="nil"/>
              <w:left w:val="nil"/>
              <w:bottom w:val="nil"/>
              <w:right w:val="nil"/>
            </w:tcBorders>
            <w:shd w:val="clear" w:color="auto" w:fill="auto"/>
            <w:noWrap/>
            <w:vAlign w:val="center"/>
            <w:hideMark/>
          </w:tcPr>
          <w:p w14:paraId="7EF49734"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(163)</w:t>
            </w:r>
          </w:p>
        </w:tc>
        <w:tc>
          <w:tcPr>
            <w:tcW w:w="1441" w:type="dxa"/>
            <w:tcBorders>
              <w:top w:val="nil"/>
              <w:left w:val="nil"/>
              <w:bottom w:val="nil"/>
              <w:right w:val="nil"/>
            </w:tcBorders>
            <w:shd w:val="clear" w:color="auto" w:fill="auto"/>
            <w:noWrap/>
            <w:vAlign w:val="center"/>
            <w:hideMark/>
          </w:tcPr>
          <w:p w14:paraId="0859ADE4"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(3.503.338.039)</w:t>
            </w:r>
          </w:p>
        </w:tc>
        <w:tc>
          <w:tcPr>
            <w:tcW w:w="1522" w:type="dxa"/>
            <w:tcBorders>
              <w:top w:val="nil"/>
              <w:left w:val="nil"/>
              <w:bottom w:val="nil"/>
              <w:right w:val="nil"/>
            </w:tcBorders>
            <w:shd w:val="clear" w:color="auto" w:fill="auto"/>
            <w:noWrap/>
            <w:vAlign w:val="center"/>
            <w:hideMark/>
          </w:tcPr>
          <w:p w14:paraId="7370AB03"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2.134.403.275 </w:t>
            </w:r>
          </w:p>
        </w:tc>
        <w:tc>
          <w:tcPr>
            <w:tcW w:w="700" w:type="dxa"/>
            <w:tcBorders>
              <w:top w:val="nil"/>
              <w:left w:val="nil"/>
              <w:bottom w:val="nil"/>
              <w:right w:val="nil"/>
            </w:tcBorders>
            <w:shd w:val="clear" w:color="auto" w:fill="auto"/>
            <w:noWrap/>
            <w:vAlign w:val="bottom"/>
            <w:hideMark/>
          </w:tcPr>
          <w:p w14:paraId="445D9238" w14:textId="77777777" w:rsidR="0013173C" w:rsidRPr="00252D7B" w:rsidRDefault="0013173C" w:rsidP="00F6584E">
            <w:pPr>
              <w:spacing w:after="120"/>
              <w:jc w:val="right"/>
              <w:rPr>
                <w:rFonts w:asciiTheme="minorHAnsi" w:hAnsiTheme="minorHAnsi" w:cstheme="minorHAnsi"/>
                <w:color w:val="000000"/>
                <w:sz w:val="15"/>
                <w:szCs w:val="15"/>
              </w:rPr>
            </w:pPr>
          </w:p>
        </w:tc>
      </w:tr>
      <w:tr w:rsidR="0013173C" w:rsidRPr="00252D7B" w14:paraId="60024A6A" w14:textId="77777777" w:rsidTr="00F6584E">
        <w:trPr>
          <w:trHeight w:val="300"/>
        </w:trPr>
        <w:tc>
          <w:tcPr>
            <w:tcW w:w="3261" w:type="dxa"/>
            <w:tcBorders>
              <w:top w:val="nil"/>
              <w:left w:val="nil"/>
              <w:bottom w:val="nil"/>
              <w:right w:val="nil"/>
            </w:tcBorders>
            <w:shd w:val="clear" w:color="auto" w:fill="auto"/>
            <w:noWrap/>
            <w:vAlign w:val="center"/>
            <w:hideMark/>
          </w:tcPr>
          <w:p w14:paraId="47021E9C"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FICO - Ferrovia Transcontinental</w:t>
            </w:r>
          </w:p>
        </w:tc>
        <w:tc>
          <w:tcPr>
            <w:tcW w:w="1418" w:type="dxa"/>
            <w:tcBorders>
              <w:top w:val="nil"/>
              <w:left w:val="nil"/>
              <w:bottom w:val="nil"/>
              <w:right w:val="nil"/>
            </w:tcBorders>
            <w:shd w:val="clear" w:color="auto" w:fill="auto"/>
            <w:noWrap/>
            <w:vAlign w:val="center"/>
            <w:hideMark/>
          </w:tcPr>
          <w:p w14:paraId="375D32A5"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237" w:type="dxa"/>
            <w:tcBorders>
              <w:top w:val="nil"/>
              <w:left w:val="nil"/>
              <w:bottom w:val="nil"/>
              <w:right w:val="nil"/>
            </w:tcBorders>
            <w:shd w:val="clear" w:color="auto" w:fill="auto"/>
            <w:noWrap/>
            <w:vAlign w:val="center"/>
            <w:hideMark/>
          </w:tcPr>
          <w:p w14:paraId="0D6CB3F8"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504.022 </w:t>
            </w:r>
          </w:p>
        </w:tc>
        <w:tc>
          <w:tcPr>
            <w:tcW w:w="1167" w:type="dxa"/>
            <w:tcBorders>
              <w:top w:val="nil"/>
              <w:left w:val="nil"/>
              <w:bottom w:val="nil"/>
              <w:right w:val="nil"/>
            </w:tcBorders>
            <w:shd w:val="clear" w:color="auto" w:fill="auto"/>
            <w:noWrap/>
            <w:vAlign w:val="center"/>
            <w:hideMark/>
          </w:tcPr>
          <w:p w14:paraId="1E40E446"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441" w:type="dxa"/>
            <w:tcBorders>
              <w:top w:val="nil"/>
              <w:left w:val="nil"/>
              <w:bottom w:val="nil"/>
              <w:right w:val="nil"/>
            </w:tcBorders>
            <w:shd w:val="clear" w:color="auto" w:fill="auto"/>
            <w:noWrap/>
            <w:vAlign w:val="center"/>
            <w:hideMark/>
          </w:tcPr>
          <w:p w14:paraId="3A82073B"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522" w:type="dxa"/>
            <w:tcBorders>
              <w:top w:val="nil"/>
              <w:left w:val="nil"/>
              <w:bottom w:val="nil"/>
              <w:right w:val="nil"/>
            </w:tcBorders>
            <w:shd w:val="clear" w:color="auto" w:fill="auto"/>
            <w:noWrap/>
            <w:vAlign w:val="center"/>
            <w:hideMark/>
          </w:tcPr>
          <w:p w14:paraId="295C25F2"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504.022 </w:t>
            </w:r>
          </w:p>
        </w:tc>
        <w:tc>
          <w:tcPr>
            <w:tcW w:w="700" w:type="dxa"/>
            <w:tcBorders>
              <w:top w:val="nil"/>
              <w:left w:val="nil"/>
              <w:bottom w:val="nil"/>
              <w:right w:val="nil"/>
            </w:tcBorders>
            <w:shd w:val="clear" w:color="auto" w:fill="auto"/>
            <w:noWrap/>
            <w:vAlign w:val="bottom"/>
            <w:hideMark/>
          </w:tcPr>
          <w:p w14:paraId="4F2881A4" w14:textId="77777777" w:rsidR="0013173C" w:rsidRPr="00252D7B" w:rsidRDefault="0013173C" w:rsidP="00F6584E">
            <w:pPr>
              <w:spacing w:after="120"/>
              <w:jc w:val="right"/>
              <w:rPr>
                <w:rFonts w:asciiTheme="minorHAnsi" w:hAnsiTheme="minorHAnsi" w:cstheme="minorHAnsi"/>
                <w:color w:val="000000"/>
                <w:sz w:val="15"/>
                <w:szCs w:val="15"/>
              </w:rPr>
            </w:pPr>
          </w:p>
        </w:tc>
      </w:tr>
      <w:tr w:rsidR="0013173C" w:rsidRPr="00252D7B" w14:paraId="6F05AD7F" w14:textId="77777777" w:rsidTr="00F6584E">
        <w:trPr>
          <w:trHeight w:val="300"/>
        </w:trPr>
        <w:tc>
          <w:tcPr>
            <w:tcW w:w="3261" w:type="dxa"/>
            <w:tcBorders>
              <w:top w:val="nil"/>
              <w:left w:val="nil"/>
              <w:bottom w:val="nil"/>
              <w:right w:val="nil"/>
            </w:tcBorders>
            <w:shd w:val="clear" w:color="auto" w:fill="auto"/>
            <w:noWrap/>
            <w:vAlign w:val="center"/>
            <w:hideMark/>
          </w:tcPr>
          <w:p w14:paraId="52EDBC8B"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FICO - INVESTIMENTO CRUZADO</w:t>
            </w:r>
          </w:p>
        </w:tc>
        <w:tc>
          <w:tcPr>
            <w:tcW w:w="1418" w:type="dxa"/>
            <w:tcBorders>
              <w:top w:val="nil"/>
              <w:left w:val="nil"/>
              <w:bottom w:val="nil"/>
              <w:right w:val="nil"/>
            </w:tcBorders>
            <w:shd w:val="clear" w:color="auto" w:fill="auto"/>
            <w:noWrap/>
            <w:vAlign w:val="center"/>
            <w:hideMark/>
          </w:tcPr>
          <w:p w14:paraId="0566F9E4"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237" w:type="dxa"/>
            <w:tcBorders>
              <w:top w:val="nil"/>
              <w:left w:val="nil"/>
              <w:bottom w:val="nil"/>
              <w:right w:val="nil"/>
            </w:tcBorders>
            <w:shd w:val="clear" w:color="auto" w:fill="auto"/>
            <w:noWrap/>
            <w:vAlign w:val="center"/>
            <w:hideMark/>
          </w:tcPr>
          <w:p w14:paraId="5A8D47B0"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5.398.692 </w:t>
            </w:r>
          </w:p>
        </w:tc>
        <w:tc>
          <w:tcPr>
            <w:tcW w:w="1167" w:type="dxa"/>
            <w:tcBorders>
              <w:top w:val="nil"/>
              <w:left w:val="nil"/>
              <w:bottom w:val="nil"/>
              <w:right w:val="nil"/>
            </w:tcBorders>
            <w:shd w:val="clear" w:color="auto" w:fill="auto"/>
            <w:noWrap/>
            <w:vAlign w:val="center"/>
            <w:hideMark/>
          </w:tcPr>
          <w:p w14:paraId="79041D0D"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441" w:type="dxa"/>
            <w:tcBorders>
              <w:top w:val="nil"/>
              <w:left w:val="nil"/>
              <w:bottom w:val="nil"/>
              <w:right w:val="nil"/>
            </w:tcBorders>
            <w:shd w:val="clear" w:color="auto" w:fill="auto"/>
            <w:noWrap/>
            <w:vAlign w:val="center"/>
            <w:hideMark/>
          </w:tcPr>
          <w:p w14:paraId="2DDB6E11"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522" w:type="dxa"/>
            <w:tcBorders>
              <w:top w:val="nil"/>
              <w:left w:val="nil"/>
              <w:bottom w:val="nil"/>
              <w:right w:val="nil"/>
            </w:tcBorders>
            <w:shd w:val="clear" w:color="auto" w:fill="auto"/>
            <w:noWrap/>
            <w:vAlign w:val="center"/>
            <w:hideMark/>
          </w:tcPr>
          <w:p w14:paraId="561A3CD8"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5.398.692 </w:t>
            </w:r>
          </w:p>
        </w:tc>
        <w:tc>
          <w:tcPr>
            <w:tcW w:w="700" w:type="dxa"/>
            <w:tcBorders>
              <w:top w:val="nil"/>
              <w:left w:val="nil"/>
              <w:bottom w:val="nil"/>
              <w:right w:val="nil"/>
            </w:tcBorders>
            <w:shd w:val="clear" w:color="auto" w:fill="auto"/>
            <w:noWrap/>
            <w:vAlign w:val="bottom"/>
            <w:hideMark/>
          </w:tcPr>
          <w:p w14:paraId="479D0CED" w14:textId="77777777" w:rsidR="0013173C" w:rsidRPr="00252D7B" w:rsidRDefault="0013173C" w:rsidP="00F6584E">
            <w:pPr>
              <w:spacing w:after="120"/>
              <w:jc w:val="right"/>
              <w:rPr>
                <w:rFonts w:asciiTheme="minorHAnsi" w:hAnsiTheme="minorHAnsi" w:cstheme="minorHAnsi"/>
                <w:color w:val="000000"/>
                <w:sz w:val="15"/>
                <w:szCs w:val="15"/>
              </w:rPr>
            </w:pPr>
          </w:p>
        </w:tc>
      </w:tr>
      <w:tr w:rsidR="0013173C" w:rsidRPr="00252D7B" w14:paraId="7DBA31EB" w14:textId="77777777" w:rsidTr="00F6584E">
        <w:trPr>
          <w:trHeight w:val="300"/>
        </w:trPr>
        <w:tc>
          <w:tcPr>
            <w:tcW w:w="3261" w:type="dxa"/>
            <w:tcBorders>
              <w:top w:val="nil"/>
              <w:left w:val="nil"/>
              <w:bottom w:val="nil"/>
              <w:right w:val="nil"/>
            </w:tcBorders>
            <w:shd w:val="clear" w:color="auto" w:fill="auto"/>
            <w:noWrap/>
            <w:vAlign w:val="center"/>
            <w:hideMark/>
          </w:tcPr>
          <w:p w14:paraId="47DDD354"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FIOL - INVESTIMENTO CRUZADO</w:t>
            </w:r>
          </w:p>
        </w:tc>
        <w:tc>
          <w:tcPr>
            <w:tcW w:w="1418" w:type="dxa"/>
            <w:tcBorders>
              <w:top w:val="nil"/>
              <w:left w:val="nil"/>
              <w:bottom w:val="nil"/>
              <w:right w:val="nil"/>
            </w:tcBorders>
            <w:shd w:val="clear" w:color="auto" w:fill="auto"/>
            <w:noWrap/>
            <w:vAlign w:val="center"/>
            <w:hideMark/>
          </w:tcPr>
          <w:p w14:paraId="24011077"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237" w:type="dxa"/>
            <w:tcBorders>
              <w:top w:val="nil"/>
              <w:left w:val="nil"/>
              <w:bottom w:val="nil"/>
              <w:right w:val="nil"/>
            </w:tcBorders>
            <w:shd w:val="clear" w:color="auto" w:fill="auto"/>
            <w:noWrap/>
            <w:vAlign w:val="center"/>
            <w:hideMark/>
          </w:tcPr>
          <w:p w14:paraId="57E15BA1"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258.532.118 </w:t>
            </w:r>
          </w:p>
        </w:tc>
        <w:tc>
          <w:tcPr>
            <w:tcW w:w="1167" w:type="dxa"/>
            <w:tcBorders>
              <w:top w:val="nil"/>
              <w:left w:val="nil"/>
              <w:bottom w:val="nil"/>
              <w:right w:val="nil"/>
            </w:tcBorders>
            <w:shd w:val="clear" w:color="auto" w:fill="auto"/>
            <w:noWrap/>
            <w:vAlign w:val="center"/>
            <w:hideMark/>
          </w:tcPr>
          <w:p w14:paraId="7B850461"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441" w:type="dxa"/>
            <w:tcBorders>
              <w:top w:val="nil"/>
              <w:left w:val="nil"/>
              <w:bottom w:val="nil"/>
              <w:right w:val="nil"/>
            </w:tcBorders>
            <w:shd w:val="clear" w:color="auto" w:fill="auto"/>
            <w:noWrap/>
            <w:vAlign w:val="center"/>
            <w:hideMark/>
          </w:tcPr>
          <w:p w14:paraId="3905F5B9"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522" w:type="dxa"/>
            <w:tcBorders>
              <w:top w:val="nil"/>
              <w:left w:val="nil"/>
              <w:bottom w:val="nil"/>
              <w:right w:val="nil"/>
            </w:tcBorders>
            <w:shd w:val="clear" w:color="auto" w:fill="auto"/>
            <w:noWrap/>
            <w:vAlign w:val="center"/>
            <w:hideMark/>
          </w:tcPr>
          <w:p w14:paraId="34B0970B"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258.532.118 </w:t>
            </w:r>
          </w:p>
        </w:tc>
        <w:tc>
          <w:tcPr>
            <w:tcW w:w="700" w:type="dxa"/>
            <w:tcBorders>
              <w:top w:val="nil"/>
              <w:left w:val="nil"/>
              <w:bottom w:val="nil"/>
              <w:right w:val="nil"/>
            </w:tcBorders>
            <w:shd w:val="clear" w:color="auto" w:fill="auto"/>
            <w:noWrap/>
            <w:vAlign w:val="bottom"/>
            <w:hideMark/>
          </w:tcPr>
          <w:p w14:paraId="759F5CDB" w14:textId="77777777" w:rsidR="0013173C" w:rsidRPr="00252D7B" w:rsidRDefault="0013173C" w:rsidP="00F6584E">
            <w:pPr>
              <w:spacing w:after="120"/>
              <w:jc w:val="right"/>
              <w:rPr>
                <w:rFonts w:asciiTheme="minorHAnsi" w:hAnsiTheme="minorHAnsi" w:cstheme="minorHAnsi"/>
                <w:color w:val="000000"/>
                <w:sz w:val="15"/>
                <w:szCs w:val="15"/>
              </w:rPr>
            </w:pPr>
          </w:p>
        </w:tc>
      </w:tr>
      <w:tr w:rsidR="0013173C" w:rsidRPr="00252D7B" w14:paraId="2D8E69E1" w14:textId="77777777" w:rsidTr="00F6584E">
        <w:trPr>
          <w:trHeight w:val="300"/>
        </w:trPr>
        <w:tc>
          <w:tcPr>
            <w:tcW w:w="3261" w:type="dxa"/>
            <w:tcBorders>
              <w:top w:val="nil"/>
              <w:left w:val="nil"/>
              <w:bottom w:val="nil"/>
              <w:right w:val="nil"/>
            </w:tcBorders>
            <w:shd w:val="clear" w:color="auto" w:fill="auto"/>
            <w:noWrap/>
            <w:vAlign w:val="center"/>
            <w:hideMark/>
          </w:tcPr>
          <w:p w14:paraId="6B1A0805"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Ativos de Concessão</w:t>
            </w:r>
          </w:p>
        </w:tc>
        <w:tc>
          <w:tcPr>
            <w:tcW w:w="1418" w:type="dxa"/>
            <w:tcBorders>
              <w:top w:val="nil"/>
              <w:left w:val="nil"/>
              <w:bottom w:val="nil"/>
              <w:right w:val="nil"/>
            </w:tcBorders>
            <w:shd w:val="clear" w:color="auto" w:fill="auto"/>
            <w:noWrap/>
            <w:vAlign w:val="center"/>
            <w:hideMark/>
          </w:tcPr>
          <w:p w14:paraId="60B28733"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12.230.673.128 </w:t>
            </w:r>
          </w:p>
        </w:tc>
        <w:tc>
          <w:tcPr>
            <w:tcW w:w="1237" w:type="dxa"/>
            <w:tcBorders>
              <w:top w:val="nil"/>
              <w:left w:val="nil"/>
              <w:bottom w:val="nil"/>
              <w:right w:val="nil"/>
            </w:tcBorders>
            <w:shd w:val="clear" w:color="auto" w:fill="auto"/>
            <w:noWrap/>
            <w:vAlign w:val="center"/>
            <w:hideMark/>
          </w:tcPr>
          <w:p w14:paraId="3BF99235"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167" w:type="dxa"/>
            <w:tcBorders>
              <w:top w:val="nil"/>
              <w:left w:val="nil"/>
              <w:bottom w:val="nil"/>
              <w:right w:val="nil"/>
            </w:tcBorders>
            <w:shd w:val="clear" w:color="auto" w:fill="auto"/>
            <w:noWrap/>
            <w:vAlign w:val="center"/>
            <w:hideMark/>
          </w:tcPr>
          <w:p w14:paraId="706ADD8F"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(12.183.778)</w:t>
            </w:r>
          </w:p>
        </w:tc>
        <w:tc>
          <w:tcPr>
            <w:tcW w:w="1441" w:type="dxa"/>
            <w:tcBorders>
              <w:top w:val="nil"/>
              <w:left w:val="nil"/>
              <w:bottom w:val="nil"/>
              <w:right w:val="nil"/>
            </w:tcBorders>
            <w:shd w:val="clear" w:color="auto" w:fill="auto"/>
            <w:noWrap/>
            <w:vAlign w:val="center"/>
            <w:hideMark/>
          </w:tcPr>
          <w:p w14:paraId="4EC29CC7"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3.570.730.732 </w:t>
            </w:r>
          </w:p>
        </w:tc>
        <w:tc>
          <w:tcPr>
            <w:tcW w:w="1522" w:type="dxa"/>
            <w:tcBorders>
              <w:top w:val="nil"/>
              <w:left w:val="nil"/>
              <w:bottom w:val="nil"/>
              <w:right w:val="nil"/>
            </w:tcBorders>
            <w:shd w:val="clear" w:color="auto" w:fill="auto"/>
            <w:noWrap/>
            <w:vAlign w:val="center"/>
            <w:hideMark/>
          </w:tcPr>
          <w:p w14:paraId="1B055271"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15.789.220.082 </w:t>
            </w:r>
          </w:p>
        </w:tc>
        <w:tc>
          <w:tcPr>
            <w:tcW w:w="700" w:type="dxa"/>
            <w:tcBorders>
              <w:top w:val="nil"/>
              <w:left w:val="nil"/>
              <w:bottom w:val="nil"/>
              <w:right w:val="nil"/>
            </w:tcBorders>
            <w:shd w:val="clear" w:color="auto" w:fill="auto"/>
            <w:noWrap/>
            <w:vAlign w:val="bottom"/>
            <w:hideMark/>
          </w:tcPr>
          <w:p w14:paraId="36386BDA" w14:textId="77777777" w:rsidR="0013173C" w:rsidRPr="00252D7B" w:rsidRDefault="0013173C" w:rsidP="00F6584E">
            <w:pPr>
              <w:spacing w:after="120"/>
              <w:jc w:val="right"/>
              <w:rPr>
                <w:rFonts w:asciiTheme="minorHAnsi" w:hAnsiTheme="minorHAnsi" w:cstheme="minorHAnsi"/>
                <w:color w:val="000000"/>
                <w:sz w:val="15"/>
                <w:szCs w:val="15"/>
              </w:rPr>
            </w:pPr>
          </w:p>
        </w:tc>
      </w:tr>
      <w:tr w:rsidR="0013173C" w:rsidRPr="00252D7B" w14:paraId="03712A44" w14:textId="77777777" w:rsidTr="00F6584E">
        <w:trPr>
          <w:trHeight w:val="300"/>
        </w:trPr>
        <w:tc>
          <w:tcPr>
            <w:tcW w:w="3261" w:type="dxa"/>
            <w:tcBorders>
              <w:top w:val="nil"/>
              <w:left w:val="nil"/>
              <w:bottom w:val="nil"/>
              <w:right w:val="nil"/>
            </w:tcBorders>
            <w:shd w:val="clear" w:color="auto" w:fill="auto"/>
            <w:noWrap/>
            <w:vAlign w:val="center"/>
            <w:hideMark/>
          </w:tcPr>
          <w:p w14:paraId="4B80B4DB"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FNS - Açailândia/MA - Palmas/TO</w:t>
            </w:r>
          </w:p>
        </w:tc>
        <w:tc>
          <w:tcPr>
            <w:tcW w:w="1418" w:type="dxa"/>
            <w:tcBorders>
              <w:top w:val="nil"/>
              <w:left w:val="nil"/>
              <w:bottom w:val="nil"/>
              <w:right w:val="nil"/>
            </w:tcBorders>
            <w:shd w:val="clear" w:color="auto" w:fill="auto"/>
            <w:noWrap/>
            <w:vAlign w:val="center"/>
            <w:hideMark/>
          </w:tcPr>
          <w:p w14:paraId="23A7006A"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2.606.984.696 </w:t>
            </w:r>
          </w:p>
        </w:tc>
        <w:tc>
          <w:tcPr>
            <w:tcW w:w="1237" w:type="dxa"/>
            <w:tcBorders>
              <w:top w:val="nil"/>
              <w:left w:val="nil"/>
              <w:bottom w:val="nil"/>
              <w:right w:val="nil"/>
            </w:tcBorders>
            <w:shd w:val="clear" w:color="auto" w:fill="auto"/>
            <w:noWrap/>
            <w:vAlign w:val="center"/>
            <w:hideMark/>
          </w:tcPr>
          <w:p w14:paraId="58C7A797"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167" w:type="dxa"/>
            <w:tcBorders>
              <w:top w:val="nil"/>
              <w:left w:val="nil"/>
              <w:bottom w:val="nil"/>
              <w:right w:val="nil"/>
            </w:tcBorders>
            <w:shd w:val="clear" w:color="auto" w:fill="auto"/>
            <w:noWrap/>
            <w:vAlign w:val="center"/>
            <w:hideMark/>
          </w:tcPr>
          <w:p w14:paraId="7E7537D3"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441" w:type="dxa"/>
            <w:tcBorders>
              <w:top w:val="nil"/>
              <w:left w:val="nil"/>
              <w:bottom w:val="nil"/>
              <w:right w:val="nil"/>
            </w:tcBorders>
            <w:shd w:val="clear" w:color="auto" w:fill="auto"/>
            <w:noWrap/>
            <w:vAlign w:val="center"/>
            <w:hideMark/>
          </w:tcPr>
          <w:p w14:paraId="71EB9009"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283.968 </w:t>
            </w:r>
          </w:p>
        </w:tc>
        <w:tc>
          <w:tcPr>
            <w:tcW w:w="1522" w:type="dxa"/>
            <w:tcBorders>
              <w:top w:val="nil"/>
              <w:left w:val="nil"/>
              <w:bottom w:val="nil"/>
              <w:right w:val="nil"/>
            </w:tcBorders>
            <w:shd w:val="clear" w:color="auto" w:fill="auto"/>
            <w:noWrap/>
            <w:vAlign w:val="center"/>
            <w:hideMark/>
          </w:tcPr>
          <w:p w14:paraId="7501A92B"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2.607.268.664 </w:t>
            </w:r>
          </w:p>
        </w:tc>
        <w:tc>
          <w:tcPr>
            <w:tcW w:w="700" w:type="dxa"/>
            <w:tcBorders>
              <w:top w:val="nil"/>
              <w:left w:val="nil"/>
              <w:bottom w:val="nil"/>
              <w:right w:val="nil"/>
            </w:tcBorders>
            <w:shd w:val="clear" w:color="auto" w:fill="auto"/>
            <w:noWrap/>
            <w:vAlign w:val="center"/>
            <w:hideMark/>
          </w:tcPr>
          <w:p w14:paraId="5BC3D938"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4 e 2,86</w:t>
            </w:r>
          </w:p>
        </w:tc>
      </w:tr>
      <w:tr w:rsidR="0013173C" w:rsidRPr="00252D7B" w14:paraId="2C72F6B7" w14:textId="77777777" w:rsidTr="00F6584E">
        <w:trPr>
          <w:trHeight w:val="300"/>
        </w:trPr>
        <w:tc>
          <w:tcPr>
            <w:tcW w:w="3261" w:type="dxa"/>
            <w:tcBorders>
              <w:top w:val="nil"/>
              <w:left w:val="nil"/>
              <w:bottom w:val="nil"/>
              <w:right w:val="nil"/>
            </w:tcBorders>
            <w:shd w:val="clear" w:color="auto" w:fill="auto"/>
            <w:noWrap/>
            <w:vAlign w:val="center"/>
            <w:hideMark/>
          </w:tcPr>
          <w:p w14:paraId="276F1BEA"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FNS - Porto Nacional/TO - Anápolis/GO</w:t>
            </w:r>
          </w:p>
        </w:tc>
        <w:tc>
          <w:tcPr>
            <w:tcW w:w="1418" w:type="dxa"/>
            <w:tcBorders>
              <w:top w:val="nil"/>
              <w:left w:val="nil"/>
              <w:bottom w:val="nil"/>
              <w:right w:val="nil"/>
            </w:tcBorders>
            <w:shd w:val="clear" w:color="auto" w:fill="auto"/>
            <w:noWrap/>
            <w:vAlign w:val="center"/>
            <w:hideMark/>
          </w:tcPr>
          <w:p w14:paraId="6C8EB619"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4.928.867.968 </w:t>
            </w:r>
          </w:p>
        </w:tc>
        <w:tc>
          <w:tcPr>
            <w:tcW w:w="1237" w:type="dxa"/>
            <w:tcBorders>
              <w:top w:val="nil"/>
              <w:left w:val="nil"/>
              <w:bottom w:val="nil"/>
              <w:right w:val="nil"/>
            </w:tcBorders>
            <w:shd w:val="clear" w:color="auto" w:fill="auto"/>
            <w:noWrap/>
            <w:vAlign w:val="center"/>
            <w:hideMark/>
          </w:tcPr>
          <w:p w14:paraId="39ECD1F9"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167" w:type="dxa"/>
            <w:tcBorders>
              <w:top w:val="nil"/>
              <w:left w:val="nil"/>
              <w:bottom w:val="nil"/>
              <w:right w:val="nil"/>
            </w:tcBorders>
            <w:shd w:val="clear" w:color="auto" w:fill="auto"/>
            <w:noWrap/>
            <w:vAlign w:val="center"/>
            <w:hideMark/>
          </w:tcPr>
          <w:p w14:paraId="4D3FFEB8"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(1.162.980)</w:t>
            </w:r>
          </w:p>
        </w:tc>
        <w:tc>
          <w:tcPr>
            <w:tcW w:w="1441" w:type="dxa"/>
            <w:tcBorders>
              <w:top w:val="nil"/>
              <w:left w:val="nil"/>
              <w:bottom w:val="nil"/>
              <w:right w:val="nil"/>
            </w:tcBorders>
            <w:shd w:val="clear" w:color="auto" w:fill="auto"/>
            <w:noWrap/>
            <w:vAlign w:val="center"/>
            <w:hideMark/>
          </w:tcPr>
          <w:p w14:paraId="2B1BBAB4"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522" w:type="dxa"/>
            <w:tcBorders>
              <w:top w:val="nil"/>
              <w:left w:val="nil"/>
              <w:bottom w:val="nil"/>
              <w:right w:val="nil"/>
            </w:tcBorders>
            <w:shd w:val="clear" w:color="auto" w:fill="auto"/>
            <w:noWrap/>
            <w:vAlign w:val="center"/>
            <w:hideMark/>
          </w:tcPr>
          <w:p w14:paraId="61D64768"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4.927.704.988 </w:t>
            </w:r>
          </w:p>
        </w:tc>
        <w:tc>
          <w:tcPr>
            <w:tcW w:w="700" w:type="dxa"/>
            <w:tcBorders>
              <w:top w:val="nil"/>
              <w:left w:val="nil"/>
              <w:bottom w:val="nil"/>
              <w:right w:val="nil"/>
            </w:tcBorders>
            <w:shd w:val="clear" w:color="auto" w:fill="auto"/>
            <w:noWrap/>
            <w:vAlign w:val="center"/>
            <w:hideMark/>
          </w:tcPr>
          <w:p w14:paraId="747E4D93"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4 e 2,86</w:t>
            </w:r>
          </w:p>
        </w:tc>
      </w:tr>
      <w:tr w:rsidR="0013173C" w:rsidRPr="00252D7B" w14:paraId="20F2DD42" w14:textId="77777777" w:rsidTr="00F6584E">
        <w:trPr>
          <w:trHeight w:val="300"/>
        </w:trPr>
        <w:tc>
          <w:tcPr>
            <w:tcW w:w="3261" w:type="dxa"/>
            <w:tcBorders>
              <w:top w:val="nil"/>
              <w:left w:val="nil"/>
              <w:bottom w:val="nil"/>
              <w:right w:val="nil"/>
            </w:tcBorders>
            <w:shd w:val="clear" w:color="auto" w:fill="auto"/>
            <w:noWrap/>
            <w:vAlign w:val="center"/>
            <w:hideMark/>
          </w:tcPr>
          <w:p w14:paraId="516F9D20"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FNS - Ouro Verde/GO - Estrela D'Oeste/SP</w:t>
            </w:r>
          </w:p>
        </w:tc>
        <w:tc>
          <w:tcPr>
            <w:tcW w:w="1418" w:type="dxa"/>
            <w:tcBorders>
              <w:top w:val="nil"/>
              <w:left w:val="nil"/>
              <w:bottom w:val="nil"/>
              <w:right w:val="nil"/>
            </w:tcBorders>
            <w:shd w:val="clear" w:color="auto" w:fill="auto"/>
            <w:noWrap/>
            <w:vAlign w:val="center"/>
            <w:hideMark/>
          </w:tcPr>
          <w:p w14:paraId="41EBBBE0"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4.685.811.003 </w:t>
            </w:r>
          </w:p>
        </w:tc>
        <w:tc>
          <w:tcPr>
            <w:tcW w:w="1237" w:type="dxa"/>
            <w:tcBorders>
              <w:top w:val="nil"/>
              <w:left w:val="nil"/>
              <w:bottom w:val="nil"/>
              <w:right w:val="nil"/>
            </w:tcBorders>
            <w:shd w:val="clear" w:color="auto" w:fill="auto"/>
            <w:noWrap/>
            <w:vAlign w:val="center"/>
            <w:hideMark/>
          </w:tcPr>
          <w:p w14:paraId="0B9365C2"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167" w:type="dxa"/>
            <w:tcBorders>
              <w:top w:val="nil"/>
              <w:left w:val="nil"/>
              <w:bottom w:val="nil"/>
              <w:right w:val="nil"/>
            </w:tcBorders>
            <w:shd w:val="clear" w:color="auto" w:fill="auto"/>
            <w:noWrap/>
            <w:vAlign w:val="center"/>
            <w:hideMark/>
          </w:tcPr>
          <w:p w14:paraId="30B36DBD"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(3.648.766)</w:t>
            </w:r>
          </w:p>
        </w:tc>
        <w:tc>
          <w:tcPr>
            <w:tcW w:w="1441" w:type="dxa"/>
            <w:tcBorders>
              <w:top w:val="nil"/>
              <w:left w:val="nil"/>
              <w:bottom w:val="nil"/>
              <w:right w:val="nil"/>
            </w:tcBorders>
            <w:shd w:val="clear" w:color="auto" w:fill="auto"/>
            <w:noWrap/>
            <w:vAlign w:val="center"/>
            <w:hideMark/>
          </w:tcPr>
          <w:p w14:paraId="6E85B038"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64.181.298 </w:t>
            </w:r>
          </w:p>
        </w:tc>
        <w:tc>
          <w:tcPr>
            <w:tcW w:w="1522" w:type="dxa"/>
            <w:tcBorders>
              <w:top w:val="nil"/>
              <w:left w:val="nil"/>
              <w:bottom w:val="nil"/>
              <w:right w:val="nil"/>
            </w:tcBorders>
            <w:shd w:val="clear" w:color="auto" w:fill="auto"/>
            <w:noWrap/>
            <w:vAlign w:val="center"/>
            <w:hideMark/>
          </w:tcPr>
          <w:p w14:paraId="19C635E7"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4.746.343.535 </w:t>
            </w:r>
          </w:p>
        </w:tc>
        <w:tc>
          <w:tcPr>
            <w:tcW w:w="700" w:type="dxa"/>
            <w:tcBorders>
              <w:top w:val="nil"/>
              <w:left w:val="nil"/>
              <w:bottom w:val="nil"/>
              <w:right w:val="nil"/>
            </w:tcBorders>
            <w:shd w:val="clear" w:color="auto" w:fill="auto"/>
            <w:noWrap/>
            <w:vAlign w:val="bottom"/>
            <w:hideMark/>
          </w:tcPr>
          <w:p w14:paraId="640EA593" w14:textId="77777777" w:rsidR="0013173C" w:rsidRPr="00252D7B" w:rsidRDefault="0013173C" w:rsidP="00F6584E">
            <w:pPr>
              <w:spacing w:after="120"/>
              <w:jc w:val="right"/>
              <w:rPr>
                <w:rFonts w:asciiTheme="minorHAnsi" w:hAnsiTheme="minorHAnsi" w:cstheme="minorHAnsi"/>
                <w:color w:val="000000"/>
                <w:sz w:val="15"/>
                <w:szCs w:val="15"/>
              </w:rPr>
            </w:pPr>
          </w:p>
        </w:tc>
      </w:tr>
      <w:tr w:rsidR="0013173C" w:rsidRPr="00252D7B" w14:paraId="1F0B41C6" w14:textId="77777777" w:rsidTr="00F6584E">
        <w:trPr>
          <w:trHeight w:val="300"/>
        </w:trPr>
        <w:tc>
          <w:tcPr>
            <w:tcW w:w="3261" w:type="dxa"/>
            <w:tcBorders>
              <w:top w:val="nil"/>
              <w:left w:val="nil"/>
              <w:bottom w:val="nil"/>
              <w:right w:val="nil"/>
            </w:tcBorders>
            <w:shd w:val="clear" w:color="auto" w:fill="auto"/>
            <w:noWrap/>
            <w:vAlign w:val="center"/>
            <w:hideMark/>
          </w:tcPr>
          <w:p w14:paraId="201EF330"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FIOL - Trecho I</w:t>
            </w:r>
          </w:p>
        </w:tc>
        <w:tc>
          <w:tcPr>
            <w:tcW w:w="1418" w:type="dxa"/>
            <w:tcBorders>
              <w:top w:val="nil"/>
              <w:left w:val="nil"/>
              <w:bottom w:val="nil"/>
              <w:right w:val="nil"/>
            </w:tcBorders>
            <w:shd w:val="clear" w:color="auto" w:fill="auto"/>
            <w:noWrap/>
            <w:vAlign w:val="center"/>
            <w:hideMark/>
          </w:tcPr>
          <w:p w14:paraId="5E64337B"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237" w:type="dxa"/>
            <w:tcBorders>
              <w:top w:val="nil"/>
              <w:left w:val="nil"/>
              <w:bottom w:val="nil"/>
              <w:right w:val="nil"/>
            </w:tcBorders>
            <w:shd w:val="clear" w:color="auto" w:fill="auto"/>
            <w:noWrap/>
            <w:vAlign w:val="center"/>
            <w:hideMark/>
          </w:tcPr>
          <w:p w14:paraId="4517D49E"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167" w:type="dxa"/>
            <w:tcBorders>
              <w:top w:val="nil"/>
              <w:left w:val="nil"/>
              <w:bottom w:val="nil"/>
              <w:right w:val="nil"/>
            </w:tcBorders>
            <w:shd w:val="clear" w:color="auto" w:fill="auto"/>
            <w:noWrap/>
            <w:vAlign w:val="center"/>
            <w:hideMark/>
          </w:tcPr>
          <w:p w14:paraId="3E44908F"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(7.372.032)</w:t>
            </w:r>
          </w:p>
        </w:tc>
        <w:tc>
          <w:tcPr>
            <w:tcW w:w="1441" w:type="dxa"/>
            <w:tcBorders>
              <w:top w:val="nil"/>
              <w:left w:val="nil"/>
              <w:bottom w:val="nil"/>
              <w:right w:val="nil"/>
            </w:tcBorders>
            <w:shd w:val="clear" w:color="auto" w:fill="auto"/>
            <w:noWrap/>
            <w:vAlign w:val="center"/>
            <w:hideMark/>
          </w:tcPr>
          <w:p w14:paraId="676A8BA6"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3.506.265.466 </w:t>
            </w:r>
          </w:p>
        </w:tc>
        <w:tc>
          <w:tcPr>
            <w:tcW w:w="1522" w:type="dxa"/>
            <w:tcBorders>
              <w:top w:val="nil"/>
              <w:left w:val="nil"/>
              <w:bottom w:val="nil"/>
              <w:right w:val="nil"/>
            </w:tcBorders>
            <w:shd w:val="clear" w:color="auto" w:fill="auto"/>
            <w:noWrap/>
            <w:vAlign w:val="center"/>
            <w:hideMark/>
          </w:tcPr>
          <w:p w14:paraId="7D7C4701"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3.498.893.434 </w:t>
            </w:r>
          </w:p>
        </w:tc>
        <w:tc>
          <w:tcPr>
            <w:tcW w:w="700" w:type="dxa"/>
            <w:tcBorders>
              <w:top w:val="nil"/>
              <w:left w:val="nil"/>
              <w:bottom w:val="nil"/>
              <w:right w:val="nil"/>
            </w:tcBorders>
            <w:shd w:val="clear" w:color="auto" w:fill="auto"/>
            <w:noWrap/>
            <w:vAlign w:val="bottom"/>
            <w:hideMark/>
          </w:tcPr>
          <w:p w14:paraId="23BCDA31" w14:textId="77777777" w:rsidR="0013173C" w:rsidRPr="00252D7B" w:rsidRDefault="0013173C" w:rsidP="00F6584E">
            <w:pPr>
              <w:spacing w:after="120"/>
              <w:jc w:val="right"/>
              <w:rPr>
                <w:rFonts w:asciiTheme="minorHAnsi" w:hAnsiTheme="minorHAnsi" w:cstheme="minorHAnsi"/>
                <w:color w:val="000000"/>
                <w:sz w:val="15"/>
                <w:szCs w:val="15"/>
              </w:rPr>
            </w:pPr>
          </w:p>
        </w:tc>
      </w:tr>
      <w:tr w:rsidR="0013173C" w:rsidRPr="00252D7B" w14:paraId="0E6C7AA4" w14:textId="77777777" w:rsidTr="00F6584E">
        <w:trPr>
          <w:trHeight w:val="300"/>
        </w:trPr>
        <w:tc>
          <w:tcPr>
            <w:tcW w:w="3261" w:type="dxa"/>
            <w:tcBorders>
              <w:top w:val="nil"/>
              <w:left w:val="nil"/>
              <w:bottom w:val="nil"/>
              <w:right w:val="nil"/>
            </w:tcBorders>
            <w:shd w:val="clear" w:color="auto" w:fill="auto"/>
            <w:noWrap/>
            <w:vAlign w:val="center"/>
            <w:hideMark/>
          </w:tcPr>
          <w:p w14:paraId="0DE716B5"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Pátio Porto Franco</w:t>
            </w:r>
          </w:p>
        </w:tc>
        <w:tc>
          <w:tcPr>
            <w:tcW w:w="1418" w:type="dxa"/>
            <w:tcBorders>
              <w:top w:val="nil"/>
              <w:left w:val="nil"/>
              <w:bottom w:val="nil"/>
              <w:right w:val="nil"/>
            </w:tcBorders>
            <w:shd w:val="clear" w:color="auto" w:fill="auto"/>
            <w:noWrap/>
            <w:vAlign w:val="center"/>
            <w:hideMark/>
          </w:tcPr>
          <w:p w14:paraId="755EE60F"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9.009.461 </w:t>
            </w:r>
          </w:p>
        </w:tc>
        <w:tc>
          <w:tcPr>
            <w:tcW w:w="1237" w:type="dxa"/>
            <w:tcBorders>
              <w:top w:val="nil"/>
              <w:left w:val="nil"/>
              <w:bottom w:val="nil"/>
              <w:right w:val="nil"/>
            </w:tcBorders>
            <w:shd w:val="clear" w:color="auto" w:fill="auto"/>
            <w:noWrap/>
            <w:vAlign w:val="center"/>
            <w:hideMark/>
          </w:tcPr>
          <w:p w14:paraId="54ACB227"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167" w:type="dxa"/>
            <w:tcBorders>
              <w:top w:val="nil"/>
              <w:left w:val="nil"/>
              <w:bottom w:val="nil"/>
              <w:right w:val="nil"/>
            </w:tcBorders>
            <w:shd w:val="clear" w:color="auto" w:fill="auto"/>
            <w:noWrap/>
            <w:vAlign w:val="center"/>
            <w:hideMark/>
          </w:tcPr>
          <w:p w14:paraId="003B60CE"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441" w:type="dxa"/>
            <w:tcBorders>
              <w:top w:val="nil"/>
              <w:left w:val="nil"/>
              <w:bottom w:val="nil"/>
              <w:right w:val="nil"/>
            </w:tcBorders>
            <w:shd w:val="clear" w:color="auto" w:fill="auto"/>
            <w:noWrap/>
            <w:vAlign w:val="center"/>
            <w:hideMark/>
          </w:tcPr>
          <w:p w14:paraId="00FD8220"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522" w:type="dxa"/>
            <w:tcBorders>
              <w:top w:val="nil"/>
              <w:left w:val="nil"/>
              <w:bottom w:val="nil"/>
              <w:right w:val="nil"/>
            </w:tcBorders>
            <w:shd w:val="clear" w:color="auto" w:fill="auto"/>
            <w:noWrap/>
            <w:vAlign w:val="center"/>
            <w:hideMark/>
          </w:tcPr>
          <w:p w14:paraId="1875BD73"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9.009.461 </w:t>
            </w:r>
          </w:p>
        </w:tc>
        <w:tc>
          <w:tcPr>
            <w:tcW w:w="700" w:type="dxa"/>
            <w:tcBorders>
              <w:top w:val="nil"/>
              <w:left w:val="nil"/>
              <w:bottom w:val="nil"/>
              <w:right w:val="nil"/>
            </w:tcBorders>
            <w:shd w:val="clear" w:color="auto" w:fill="auto"/>
            <w:noWrap/>
            <w:vAlign w:val="center"/>
            <w:hideMark/>
          </w:tcPr>
          <w:p w14:paraId="77F1B2FD"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5 a 30</w:t>
            </w:r>
          </w:p>
        </w:tc>
      </w:tr>
      <w:tr w:rsidR="0013173C" w:rsidRPr="00252D7B" w14:paraId="28C989B6" w14:textId="77777777" w:rsidTr="00F6584E">
        <w:trPr>
          <w:trHeight w:val="300"/>
        </w:trPr>
        <w:tc>
          <w:tcPr>
            <w:tcW w:w="3261" w:type="dxa"/>
            <w:tcBorders>
              <w:top w:val="nil"/>
              <w:left w:val="nil"/>
              <w:bottom w:val="nil"/>
              <w:right w:val="nil"/>
            </w:tcBorders>
            <w:shd w:val="clear" w:color="auto" w:fill="auto"/>
            <w:noWrap/>
            <w:vAlign w:val="center"/>
            <w:hideMark/>
          </w:tcPr>
          <w:p w14:paraId="72A99A40"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CMT Lei 8.200/91</w:t>
            </w:r>
          </w:p>
        </w:tc>
        <w:tc>
          <w:tcPr>
            <w:tcW w:w="1418" w:type="dxa"/>
            <w:tcBorders>
              <w:top w:val="nil"/>
              <w:left w:val="nil"/>
              <w:bottom w:val="nil"/>
              <w:right w:val="nil"/>
            </w:tcBorders>
            <w:shd w:val="clear" w:color="auto" w:fill="auto"/>
            <w:noWrap/>
            <w:vAlign w:val="center"/>
            <w:hideMark/>
          </w:tcPr>
          <w:p w14:paraId="6F8F7DB0"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283.968 </w:t>
            </w:r>
          </w:p>
        </w:tc>
        <w:tc>
          <w:tcPr>
            <w:tcW w:w="1237" w:type="dxa"/>
            <w:tcBorders>
              <w:top w:val="nil"/>
              <w:left w:val="nil"/>
              <w:bottom w:val="nil"/>
              <w:right w:val="nil"/>
            </w:tcBorders>
            <w:shd w:val="clear" w:color="auto" w:fill="auto"/>
            <w:noWrap/>
            <w:vAlign w:val="center"/>
            <w:hideMark/>
          </w:tcPr>
          <w:p w14:paraId="6ED5AD44"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167" w:type="dxa"/>
            <w:tcBorders>
              <w:top w:val="nil"/>
              <w:left w:val="nil"/>
              <w:bottom w:val="nil"/>
              <w:right w:val="nil"/>
            </w:tcBorders>
            <w:shd w:val="clear" w:color="auto" w:fill="auto"/>
            <w:noWrap/>
            <w:vAlign w:val="center"/>
            <w:hideMark/>
          </w:tcPr>
          <w:p w14:paraId="1664EBF0"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441" w:type="dxa"/>
            <w:tcBorders>
              <w:top w:val="nil"/>
              <w:left w:val="nil"/>
              <w:bottom w:val="nil"/>
              <w:right w:val="nil"/>
            </w:tcBorders>
            <w:shd w:val="clear" w:color="auto" w:fill="auto"/>
            <w:noWrap/>
            <w:vAlign w:val="center"/>
            <w:hideMark/>
          </w:tcPr>
          <w:p w14:paraId="38BC0EC2"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(283.968)</w:t>
            </w:r>
          </w:p>
        </w:tc>
        <w:tc>
          <w:tcPr>
            <w:tcW w:w="1522" w:type="dxa"/>
            <w:tcBorders>
              <w:top w:val="nil"/>
              <w:left w:val="nil"/>
              <w:bottom w:val="nil"/>
              <w:right w:val="nil"/>
            </w:tcBorders>
            <w:shd w:val="clear" w:color="auto" w:fill="auto"/>
            <w:noWrap/>
            <w:vAlign w:val="center"/>
            <w:hideMark/>
          </w:tcPr>
          <w:p w14:paraId="218F07A3"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700" w:type="dxa"/>
            <w:tcBorders>
              <w:top w:val="nil"/>
              <w:left w:val="nil"/>
              <w:bottom w:val="nil"/>
              <w:right w:val="nil"/>
            </w:tcBorders>
            <w:shd w:val="clear" w:color="auto" w:fill="auto"/>
            <w:noWrap/>
            <w:vAlign w:val="bottom"/>
            <w:hideMark/>
          </w:tcPr>
          <w:p w14:paraId="0724C5EB" w14:textId="77777777" w:rsidR="0013173C" w:rsidRPr="00252D7B" w:rsidRDefault="0013173C" w:rsidP="00F6584E">
            <w:pPr>
              <w:spacing w:after="120"/>
              <w:jc w:val="right"/>
              <w:rPr>
                <w:rFonts w:asciiTheme="minorHAnsi" w:hAnsiTheme="minorHAnsi" w:cstheme="minorHAnsi"/>
                <w:color w:val="000000"/>
                <w:sz w:val="15"/>
                <w:szCs w:val="15"/>
              </w:rPr>
            </w:pPr>
          </w:p>
        </w:tc>
      </w:tr>
      <w:tr w:rsidR="0013173C" w:rsidRPr="00252D7B" w14:paraId="0C74A7DF" w14:textId="77777777" w:rsidTr="00F6584E">
        <w:trPr>
          <w:trHeight w:val="75"/>
        </w:trPr>
        <w:tc>
          <w:tcPr>
            <w:tcW w:w="3261" w:type="dxa"/>
            <w:tcBorders>
              <w:top w:val="nil"/>
              <w:left w:val="nil"/>
              <w:bottom w:val="nil"/>
              <w:right w:val="nil"/>
            </w:tcBorders>
            <w:shd w:val="clear" w:color="auto" w:fill="auto"/>
            <w:noWrap/>
            <w:vAlign w:val="bottom"/>
            <w:hideMark/>
          </w:tcPr>
          <w:p w14:paraId="56B4CD94" w14:textId="77777777" w:rsidR="0013173C" w:rsidRPr="00252D7B" w:rsidRDefault="0013173C" w:rsidP="00F6584E">
            <w:pPr>
              <w:spacing w:after="120"/>
              <w:rPr>
                <w:rFonts w:asciiTheme="minorHAnsi" w:hAnsiTheme="minorHAnsi" w:cstheme="minorHAnsi"/>
                <w:sz w:val="15"/>
                <w:szCs w:val="15"/>
              </w:rPr>
            </w:pPr>
          </w:p>
        </w:tc>
        <w:tc>
          <w:tcPr>
            <w:tcW w:w="1418" w:type="dxa"/>
            <w:tcBorders>
              <w:top w:val="nil"/>
              <w:left w:val="nil"/>
              <w:bottom w:val="nil"/>
              <w:right w:val="nil"/>
            </w:tcBorders>
            <w:shd w:val="clear" w:color="auto" w:fill="auto"/>
            <w:noWrap/>
            <w:vAlign w:val="bottom"/>
            <w:hideMark/>
          </w:tcPr>
          <w:p w14:paraId="713F8506" w14:textId="77777777" w:rsidR="0013173C" w:rsidRPr="00252D7B" w:rsidRDefault="0013173C" w:rsidP="00F6584E">
            <w:pPr>
              <w:spacing w:after="120"/>
              <w:rPr>
                <w:rFonts w:asciiTheme="minorHAnsi" w:hAnsiTheme="minorHAnsi" w:cstheme="minorHAnsi"/>
                <w:sz w:val="15"/>
                <w:szCs w:val="15"/>
              </w:rPr>
            </w:pPr>
          </w:p>
        </w:tc>
        <w:tc>
          <w:tcPr>
            <w:tcW w:w="1237" w:type="dxa"/>
            <w:tcBorders>
              <w:top w:val="nil"/>
              <w:left w:val="nil"/>
              <w:bottom w:val="nil"/>
              <w:right w:val="nil"/>
            </w:tcBorders>
            <w:shd w:val="clear" w:color="auto" w:fill="auto"/>
            <w:noWrap/>
            <w:vAlign w:val="bottom"/>
            <w:hideMark/>
          </w:tcPr>
          <w:p w14:paraId="2CDF245A" w14:textId="77777777" w:rsidR="0013173C" w:rsidRPr="00252D7B" w:rsidRDefault="0013173C" w:rsidP="00F6584E">
            <w:pPr>
              <w:spacing w:after="120"/>
              <w:rPr>
                <w:rFonts w:asciiTheme="minorHAnsi" w:hAnsiTheme="minorHAnsi" w:cstheme="minorHAnsi"/>
                <w:sz w:val="15"/>
                <w:szCs w:val="15"/>
              </w:rPr>
            </w:pPr>
          </w:p>
        </w:tc>
        <w:tc>
          <w:tcPr>
            <w:tcW w:w="1167" w:type="dxa"/>
            <w:tcBorders>
              <w:top w:val="nil"/>
              <w:left w:val="nil"/>
              <w:bottom w:val="nil"/>
              <w:right w:val="nil"/>
            </w:tcBorders>
            <w:shd w:val="clear" w:color="auto" w:fill="auto"/>
            <w:noWrap/>
            <w:vAlign w:val="bottom"/>
            <w:hideMark/>
          </w:tcPr>
          <w:p w14:paraId="07825D33" w14:textId="77777777" w:rsidR="0013173C" w:rsidRPr="00252D7B" w:rsidRDefault="0013173C" w:rsidP="00F6584E">
            <w:pPr>
              <w:spacing w:after="120"/>
              <w:rPr>
                <w:rFonts w:asciiTheme="minorHAnsi" w:hAnsiTheme="minorHAnsi" w:cstheme="minorHAnsi"/>
                <w:sz w:val="15"/>
                <w:szCs w:val="15"/>
              </w:rPr>
            </w:pPr>
          </w:p>
        </w:tc>
        <w:tc>
          <w:tcPr>
            <w:tcW w:w="1441" w:type="dxa"/>
            <w:tcBorders>
              <w:top w:val="nil"/>
              <w:left w:val="nil"/>
              <w:bottom w:val="nil"/>
              <w:right w:val="nil"/>
            </w:tcBorders>
            <w:shd w:val="clear" w:color="auto" w:fill="auto"/>
            <w:noWrap/>
            <w:vAlign w:val="bottom"/>
            <w:hideMark/>
          </w:tcPr>
          <w:p w14:paraId="2F3E3276" w14:textId="77777777" w:rsidR="0013173C" w:rsidRPr="00252D7B" w:rsidRDefault="0013173C" w:rsidP="00F6584E">
            <w:pPr>
              <w:spacing w:after="120"/>
              <w:rPr>
                <w:rFonts w:asciiTheme="minorHAnsi" w:hAnsiTheme="minorHAnsi" w:cstheme="minorHAnsi"/>
                <w:sz w:val="15"/>
                <w:szCs w:val="15"/>
              </w:rPr>
            </w:pPr>
          </w:p>
        </w:tc>
        <w:tc>
          <w:tcPr>
            <w:tcW w:w="1522" w:type="dxa"/>
            <w:tcBorders>
              <w:top w:val="nil"/>
              <w:left w:val="nil"/>
              <w:bottom w:val="nil"/>
              <w:right w:val="nil"/>
            </w:tcBorders>
            <w:shd w:val="clear" w:color="auto" w:fill="auto"/>
            <w:noWrap/>
            <w:vAlign w:val="bottom"/>
            <w:hideMark/>
          </w:tcPr>
          <w:p w14:paraId="0022B6E8" w14:textId="77777777" w:rsidR="0013173C" w:rsidRPr="00252D7B" w:rsidRDefault="0013173C" w:rsidP="00F6584E">
            <w:pPr>
              <w:spacing w:after="120"/>
              <w:rPr>
                <w:rFonts w:asciiTheme="minorHAnsi" w:hAnsiTheme="minorHAnsi" w:cstheme="minorHAnsi"/>
                <w:sz w:val="15"/>
                <w:szCs w:val="15"/>
              </w:rPr>
            </w:pPr>
          </w:p>
        </w:tc>
        <w:tc>
          <w:tcPr>
            <w:tcW w:w="700" w:type="dxa"/>
            <w:tcBorders>
              <w:top w:val="nil"/>
              <w:left w:val="nil"/>
              <w:bottom w:val="nil"/>
              <w:right w:val="nil"/>
            </w:tcBorders>
            <w:shd w:val="clear" w:color="auto" w:fill="auto"/>
            <w:noWrap/>
            <w:vAlign w:val="bottom"/>
            <w:hideMark/>
          </w:tcPr>
          <w:p w14:paraId="4ECF942F" w14:textId="77777777" w:rsidR="0013173C" w:rsidRPr="00252D7B" w:rsidRDefault="0013173C" w:rsidP="00F6584E">
            <w:pPr>
              <w:spacing w:after="120"/>
              <w:rPr>
                <w:rFonts w:asciiTheme="minorHAnsi" w:hAnsiTheme="minorHAnsi" w:cstheme="minorHAnsi"/>
                <w:sz w:val="15"/>
                <w:szCs w:val="15"/>
              </w:rPr>
            </w:pPr>
          </w:p>
        </w:tc>
      </w:tr>
      <w:tr w:rsidR="0013173C" w:rsidRPr="00252D7B" w14:paraId="06F4730C" w14:textId="77777777" w:rsidTr="00F6584E">
        <w:trPr>
          <w:trHeight w:val="315"/>
        </w:trPr>
        <w:tc>
          <w:tcPr>
            <w:tcW w:w="3261" w:type="dxa"/>
            <w:tcBorders>
              <w:top w:val="single" w:sz="8" w:space="0" w:color="auto"/>
              <w:left w:val="nil"/>
              <w:bottom w:val="single" w:sz="8" w:space="0" w:color="auto"/>
              <w:right w:val="nil"/>
            </w:tcBorders>
            <w:shd w:val="clear" w:color="auto" w:fill="auto"/>
            <w:noWrap/>
            <w:vAlign w:val="center"/>
            <w:hideMark/>
          </w:tcPr>
          <w:p w14:paraId="7258BAE0" w14:textId="77777777" w:rsidR="0013173C" w:rsidRPr="00252D7B" w:rsidRDefault="0013173C" w:rsidP="00F6584E">
            <w:pPr>
              <w:spacing w:after="120"/>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Total Bens Imóveis (2)</w:t>
            </w:r>
          </w:p>
        </w:tc>
        <w:tc>
          <w:tcPr>
            <w:tcW w:w="1418" w:type="dxa"/>
            <w:tcBorders>
              <w:top w:val="single" w:sz="8" w:space="0" w:color="auto"/>
              <w:left w:val="nil"/>
              <w:bottom w:val="single" w:sz="8" w:space="0" w:color="auto"/>
              <w:right w:val="nil"/>
            </w:tcBorders>
            <w:shd w:val="clear" w:color="auto" w:fill="auto"/>
            <w:noWrap/>
            <w:vAlign w:val="center"/>
            <w:hideMark/>
          </w:tcPr>
          <w:p w14:paraId="51060B4D"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   18.128.025.424 </w:t>
            </w:r>
          </w:p>
        </w:tc>
        <w:tc>
          <w:tcPr>
            <w:tcW w:w="1237" w:type="dxa"/>
            <w:tcBorders>
              <w:top w:val="single" w:sz="8" w:space="0" w:color="auto"/>
              <w:left w:val="nil"/>
              <w:bottom w:val="single" w:sz="8" w:space="0" w:color="auto"/>
              <w:right w:val="nil"/>
            </w:tcBorders>
            <w:shd w:val="clear" w:color="auto" w:fill="auto"/>
            <w:noWrap/>
            <w:vAlign w:val="center"/>
            <w:hideMark/>
          </w:tcPr>
          <w:p w14:paraId="6FEC6069"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     645.228.711 </w:t>
            </w:r>
          </w:p>
        </w:tc>
        <w:tc>
          <w:tcPr>
            <w:tcW w:w="1167" w:type="dxa"/>
            <w:tcBorders>
              <w:top w:val="single" w:sz="8" w:space="0" w:color="auto"/>
              <w:left w:val="nil"/>
              <w:bottom w:val="single" w:sz="8" w:space="0" w:color="auto"/>
              <w:right w:val="nil"/>
            </w:tcBorders>
            <w:shd w:val="clear" w:color="auto" w:fill="auto"/>
            <w:noWrap/>
            <w:vAlign w:val="center"/>
            <w:hideMark/>
          </w:tcPr>
          <w:p w14:paraId="5A3B9B5F"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    (16.561.273)</w:t>
            </w:r>
          </w:p>
        </w:tc>
        <w:tc>
          <w:tcPr>
            <w:tcW w:w="1441" w:type="dxa"/>
            <w:tcBorders>
              <w:top w:val="single" w:sz="8" w:space="0" w:color="auto"/>
              <w:left w:val="nil"/>
              <w:bottom w:val="single" w:sz="8" w:space="0" w:color="auto"/>
              <w:right w:val="nil"/>
            </w:tcBorders>
            <w:shd w:val="clear" w:color="auto" w:fill="auto"/>
            <w:noWrap/>
            <w:vAlign w:val="center"/>
            <w:hideMark/>
          </w:tcPr>
          <w:p w14:paraId="3BC475D6"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                 (560.169)</w:t>
            </w:r>
          </w:p>
        </w:tc>
        <w:tc>
          <w:tcPr>
            <w:tcW w:w="1522" w:type="dxa"/>
            <w:tcBorders>
              <w:top w:val="single" w:sz="8" w:space="0" w:color="auto"/>
              <w:left w:val="nil"/>
              <w:bottom w:val="single" w:sz="8" w:space="0" w:color="auto"/>
              <w:right w:val="nil"/>
            </w:tcBorders>
            <w:shd w:val="clear" w:color="auto" w:fill="auto"/>
            <w:noWrap/>
            <w:vAlign w:val="center"/>
            <w:hideMark/>
          </w:tcPr>
          <w:p w14:paraId="7AE962EA"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     18.756.132.693 </w:t>
            </w:r>
          </w:p>
        </w:tc>
        <w:tc>
          <w:tcPr>
            <w:tcW w:w="700" w:type="dxa"/>
            <w:tcBorders>
              <w:top w:val="single" w:sz="8" w:space="0" w:color="auto"/>
              <w:left w:val="nil"/>
              <w:bottom w:val="single" w:sz="8" w:space="0" w:color="auto"/>
              <w:right w:val="nil"/>
            </w:tcBorders>
            <w:shd w:val="clear" w:color="auto" w:fill="auto"/>
            <w:noWrap/>
            <w:vAlign w:val="center"/>
            <w:hideMark/>
          </w:tcPr>
          <w:p w14:paraId="6684927B"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w:t>
            </w:r>
          </w:p>
        </w:tc>
      </w:tr>
      <w:tr w:rsidR="0013173C" w:rsidRPr="00252D7B" w14:paraId="621412C1" w14:textId="77777777" w:rsidTr="00F6584E">
        <w:trPr>
          <w:trHeight w:val="120"/>
        </w:trPr>
        <w:tc>
          <w:tcPr>
            <w:tcW w:w="3261" w:type="dxa"/>
            <w:tcBorders>
              <w:top w:val="nil"/>
              <w:left w:val="nil"/>
              <w:bottom w:val="nil"/>
              <w:right w:val="nil"/>
            </w:tcBorders>
            <w:shd w:val="clear" w:color="auto" w:fill="auto"/>
            <w:noWrap/>
            <w:vAlign w:val="bottom"/>
            <w:hideMark/>
          </w:tcPr>
          <w:p w14:paraId="6AEE3839" w14:textId="77777777" w:rsidR="0013173C" w:rsidRPr="00252D7B" w:rsidRDefault="0013173C" w:rsidP="00F6584E">
            <w:pPr>
              <w:spacing w:after="120"/>
              <w:jc w:val="right"/>
              <w:rPr>
                <w:rFonts w:asciiTheme="minorHAnsi" w:hAnsiTheme="minorHAnsi" w:cstheme="minorHAnsi"/>
                <w:b/>
                <w:bCs/>
                <w:color w:val="000000"/>
                <w:sz w:val="15"/>
                <w:szCs w:val="15"/>
              </w:rPr>
            </w:pPr>
          </w:p>
        </w:tc>
        <w:tc>
          <w:tcPr>
            <w:tcW w:w="1418" w:type="dxa"/>
            <w:tcBorders>
              <w:top w:val="nil"/>
              <w:left w:val="nil"/>
              <w:bottom w:val="nil"/>
              <w:right w:val="nil"/>
            </w:tcBorders>
            <w:shd w:val="clear" w:color="auto" w:fill="auto"/>
            <w:noWrap/>
            <w:vAlign w:val="bottom"/>
            <w:hideMark/>
          </w:tcPr>
          <w:p w14:paraId="4FEFCAA2" w14:textId="77777777" w:rsidR="0013173C" w:rsidRPr="00252D7B" w:rsidRDefault="0013173C" w:rsidP="00F6584E">
            <w:pPr>
              <w:spacing w:after="120"/>
              <w:rPr>
                <w:rFonts w:asciiTheme="minorHAnsi" w:hAnsiTheme="minorHAnsi" w:cstheme="minorHAnsi"/>
                <w:sz w:val="15"/>
                <w:szCs w:val="15"/>
              </w:rPr>
            </w:pPr>
          </w:p>
        </w:tc>
        <w:tc>
          <w:tcPr>
            <w:tcW w:w="1237" w:type="dxa"/>
            <w:tcBorders>
              <w:top w:val="nil"/>
              <w:left w:val="nil"/>
              <w:bottom w:val="nil"/>
              <w:right w:val="nil"/>
            </w:tcBorders>
            <w:shd w:val="clear" w:color="auto" w:fill="auto"/>
            <w:noWrap/>
            <w:vAlign w:val="bottom"/>
            <w:hideMark/>
          </w:tcPr>
          <w:p w14:paraId="3D3D804B" w14:textId="77777777" w:rsidR="0013173C" w:rsidRPr="00252D7B" w:rsidRDefault="0013173C" w:rsidP="00F6584E">
            <w:pPr>
              <w:spacing w:after="120"/>
              <w:rPr>
                <w:rFonts w:asciiTheme="minorHAnsi" w:hAnsiTheme="minorHAnsi" w:cstheme="minorHAnsi"/>
                <w:sz w:val="15"/>
                <w:szCs w:val="15"/>
              </w:rPr>
            </w:pPr>
          </w:p>
        </w:tc>
        <w:tc>
          <w:tcPr>
            <w:tcW w:w="1167" w:type="dxa"/>
            <w:tcBorders>
              <w:top w:val="nil"/>
              <w:left w:val="nil"/>
              <w:bottom w:val="nil"/>
              <w:right w:val="nil"/>
            </w:tcBorders>
            <w:shd w:val="clear" w:color="auto" w:fill="auto"/>
            <w:noWrap/>
            <w:vAlign w:val="bottom"/>
            <w:hideMark/>
          </w:tcPr>
          <w:p w14:paraId="7B6F961C" w14:textId="77777777" w:rsidR="0013173C" w:rsidRPr="00252D7B" w:rsidRDefault="0013173C" w:rsidP="00F6584E">
            <w:pPr>
              <w:spacing w:after="120"/>
              <w:rPr>
                <w:rFonts w:asciiTheme="minorHAnsi" w:hAnsiTheme="minorHAnsi" w:cstheme="minorHAnsi"/>
                <w:sz w:val="15"/>
                <w:szCs w:val="15"/>
              </w:rPr>
            </w:pPr>
          </w:p>
        </w:tc>
        <w:tc>
          <w:tcPr>
            <w:tcW w:w="1441" w:type="dxa"/>
            <w:tcBorders>
              <w:top w:val="nil"/>
              <w:left w:val="nil"/>
              <w:bottom w:val="nil"/>
              <w:right w:val="nil"/>
            </w:tcBorders>
            <w:shd w:val="clear" w:color="auto" w:fill="auto"/>
            <w:noWrap/>
            <w:vAlign w:val="bottom"/>
            <w:hideMark/>
          </w:tcPr>
          <w:p w14:paraId="02DE9A59" w14:textId="77777777" w:rsidR="0013173C" w:rsidRPr="00252D7B" w:rsidRDefault="0013173C" w:rsidP="00F6584E">
            <w:pPr>
              <w:spacing w:after="120"/>
              <w:rPr>
                <w:rFonts w:asciiTheme="minorHAnsi" w:hAnsiTheme="minorHAnsi" w:cstheme="minorHAnsi"/>
                <w:sz w:val="15"/>
                <w:szCs w:val="15"/>
              </w:rPr>
            </w:pPr>
          </w:p>
        </w:tc>
        <w:tc>
          <w:tcPr>
            <w:tcW w:w="1522" w:type="dxa"/>
            <w:tcBorders>
              <w:top w:val="nil"/>
              <w:left w:val="nil"/>
              <w:bottom w:val="nil"/>
              <w:right w:val="nil"/>
            </w:tcBorders>
            <w:shd w:val="clear" w:color="auto" w:fill="auto"/>
            <w:noWrap/>
            <w:vAlign w:val="bottom"/>
            <w:hideMark/>
          </w:tcPr>
          <w:p w14:paraId="30D40AA5" w14:textId="77777777" w:rsidR="0013173C" w:rsidRPr="00252D7B" w:rsidRDefault="0013173C" w:rsidP="00F6584E">
            <w:pPr>
              <w:spacing w:after="120"/>
              <w:rPr>
                <w:rFonts w:asciiTheme="minorHAnsi" w:hAnsiTheme="minorHAnsi" w:cstheme="minorHAnsi"/>
                <w:sz w:val="15"/>
                <w:szCs w:val="15"/>
              </w:rPr>
            </w:pPr>
          </w:p>
        </w:tc>
        <w:tc>
          <w:tcPr>
            <w:tcW w:w="700" w:type="dxa"/>
            <w:tcBorders>
              <w:top w:val="nil"/>
              <w:left w:val="nil"/>
              <w:bottom w:val="nil"/>
              <w:right w:val="nil"/>
            </w:tcBorders>
            <w:shd w:val="clear" w:color="auto" w:fill="auto"/>
            <w:noWrap/>
            <w:vAlign w:val="bottom"/>
            <w:hideMark/>
          </w:tcPr>
          <w:p w14:paraId="51A92C44" w14:textId="77777777" w:rsidR="0013173C" w:rsidRPr="00252D7B" w:rsidRDefault="0013173C" w:rsidP="00F6584E">
            <w:pPr>
              <w:spacing w:after="120"/>
              <w:rPr>
                <w:rFonts w:asciiTheme="minorHAnsi" w:hAnsiTheme="minorHAnsi" w:cstheme="minorHAnsi"/>
                <w:sz w:val="15"/>
                <w:szCs w:val="15"/>
              </w:rPr>
            </w:pPr>
          </w:p>
        </w:tc>
      </w:tr>
      <w:tr w:rsidR="0013173C" w:rsidRPr="00252D7B" w14:paraId="27425242" w14:textId="77777777" w:rsidTr="00F6584E">
        <w:trPr>
          <w:trHeight w:val="315"/>
        </w:trPr>
        <w:tc>
          <w:tcPr>
            <w:tcW w:w="3261" w:type="dxa"/>
            <w:tcBorders>
              <w:top w:val="single" w:sz="8" w:space="0" w:color="auto"/>
              <w:left w:val="nil"/>
              <w:bottom w:val="single" w:sz="8" w:space="0" w:color="auto"/>
              <w:right w:val="nil"/>
            </w:tcBorders>
            <w:shd w:val="clear" w:color="auto" w:fill="auto"/>
            <w:noWrap/>
            <w:vAlign w:val="center"/>
            <w:hideMark/>
          </w:tcPr>
          <w:p w14:paraId="37205F17" w14:textId="77777777" w:rsidR="0013173C" w:rsidRPr="00252D7B" w:rsidRDefault="0013173C" w:rsidP="00F6584E">
            <w:pPr>
              <w:spacing w:after="120"/>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(Redução ao Valor Recuperável - FNS) (3)</w:t>
            </w:r>
          </w:p>
        </w:tc>
        <w:tc>
          <w:tcPr>
            <w:tcW w:w="1418" w:type="dxa"/>
            <w:tcBorders>
              <w:top w:val="single" w:sz="8" w:space="0" w:color="auto"/>
              <w:left w:val="nil"/>
              <w:bottom w:val="single" w:sz="8" w:space="0" w:color="auto"/>
              <w:right w:val="nil"/>
            </w:tcBorders>
            <w:shd w:val="clear" w:color="auto" w:fill="auto"/>
            <w:noWrap/>
            <w:vAlign w:val="center"/>
            <w:hideMark/>
          </w:tcPr>
          <w:p w14:paraId="6FECBB30"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 (11.354.416.372)</w:t>
            </w:r>
          </w:p>
        </w:tc>
        <w:tc>
          <w:tcPr>
            <w:tcW w:w="1237" w:type="dxa"/>
            <w:tcBorders>
              <w:top w:val="single" w:sz="8" w:space="0" w:color="auto"/>
              <w:left w:val="nil"/>
              <w:bottom w:val="single" w:sz="8" w:space="0" w:color="auto"/>
              <w:right w:val="nil"/>
            </w:tcBorders>
            <w:shd w:val="clear" w:color="auto" w:fill="auto"/>
            <w:noWrap/>
            <w:vAlign w:val="center"/>
            <w:hideMark/>
          </w:tcPr>
          <w:p w14:paraId="67D6055D"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      (15.034.627)</w:t>
            </w:r>
          </w:p>
        </w:tc>
        <w:tc>
          <w:tcPr>
            <w:tcW w:w="1167" w:type="dxa"/>
            <w:tcBorders>
              <w:top w:val="single" w:sz="8" w:space="0" w:color="auto"/>
              <w:left w:val="nil"/>
              <w:bottom w:val="single" w:sz="8" w:space="0" w:color="auto"/>
              <w:right w:val="nil"/>
            </w:tcBorders>
            <w:shd w:val="clear" w:color="auto" w:fill="auto"/>
            <w:noWrap/>
            <w:vAlign w:val="center"/>
            <w:hideMark/>
          </w:tcPr>
          <w:p w14:paraId="1898B467"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         4.809.595 </w:t>
            </w:r>
          </w:p>
        </w:tc>
        <w:tc>
          <w:tcPr>
            <w:tcW w:w="1441" w:type="dxa"/>
            <w:tcBorders>
              <w:top w:val="single" w:sz="8" w:space="0" w:color="auto"/>
              <w:left w:val="nil"/>
              <w:bottom w:val="single" w:sz="8" w:space="0" w:color="auto"/>
              <w:right w:val="nil"/>
            </w:tcBorders>
            <w:shd w:val="clear" w:color="auto" w:fill="auto"/>
            <w:noWrap/>
            <w:vAlign w:val="center"/>
            <w:hideMark/>
          </w:tcPr>
          <w:p w14:paraId="354D914F"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                                   0   </w:t>
            </w:r>
          </w:p>
        </w:tc>
        <w:tc>
          <w:tcPr>
            <w:tcW w:w="1522" w:type="dxa"/>
            <w:tcBorders>
              <w:top w:val="single" w:sz="8" w:space="0" w:color="auto"/>
              <w:left w:val="nil"/>
              <w:bottom w:val="single" w:sz="8" w:space="0" w:color="auto"/>
              <w:right w:val="nil"/>
            </w:tcBorders>
            <w:shd w:val="clear" w:color="auto" w:fill="auto"/>
            <w:noWrap/>
            <w:vAlign w:val="center"/>
            <w:hideMark/>
          </w:tcPr>
          <w:p w14:paraId="7BCC5EE2"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   (11.364.641.404)</w:t>
            </w:r>
          </w:p>
        </w:tc>
        <w:tc>
          <w:tcPr>
            <w:tcW w:w="700" w:type="dxa"/>
            <w:tcBorders>
              <w:top w:val="single" w:sz="8" w:space="0" w:color="auto"/>
              <w:left w:val="nil"/>
              <w:bottom w:val="single" w:sz="8" w:space="0" w:color="auto"/>
              <w:right w:val="nil"/>
            </w:tcBorders>
            <w:shd w:val="clear" w:color="auto" w:fill="auto"/>
            <w:noWrap/>
            <w:vAlign w:val="center"/>
            <w:hideMark/>
          </w:tcPr>
          <w:p w14:paraId="6A610679"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w:t>
            </w:r>
          </w:p>
        </w:tc>
      </w:tr>
      <w:tr w:rsidR="0013173C" w:rsidRPr="00252D7B" w14:paraId="11CBE88D" w14:textId="77777777" w:rsidTr="00F6584E">
        <w:trPr>
          <w:trHeight w:val="300"/>
        </w:trPr>
        <w:tc>
          <w:tcPr>
            <w:tcW w:w="3261" w:type="dxa"/>
            <w:tcBorders>
              <w:top w:val="nil"/>
              <w:left w:val="nil"/>
              <w:bottom w:val="nil"/>
              <w:right w:val="nil"/>
            </w:tcBorders>
            <w:shd w:val="clear" w:color="auto" w:fill="auto"/>
            <w:noWrap/>
            <w:vAlign w:val="center"/>
            <w:hideMark/>
          </w:tcPr>
          <w:p w14:paraId="365A82F2"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Estudos e Projetos - FNS</w:t>
            </w:r>
          </w:p>
        </w:tc>
        <w:tc>
          <w:tcPr>
            <w:tcW w:w="1418" w:type="dxa"/>
            <w:tcBorders>
              <w:top w:val="nil"/>
              <w:left w:val="nil"/>
              <w:bottom w:val="nil"/>
              <w:right w:val="nil"/>
            </w:tcBorders>
            <w:shd w:val="clear" w:color="auto" w:fill="auto"/>
            <w:noWrap/>
            <w:vAlign w:val="center"/>
            <w:hideMark/>
          </w:tcPr>
          <w:p w14:paraId="495E5701"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237" w:type="dxa"/>
            <w:tcBorders>
              <w:top w:val="nil"/>
              <w:left w:val="nil"/>
              <w:bottom w:val="nil"/>
              <w:right w:val="nil"/>
            </w:tcBorders>
            <w:shd w:val="clear" w:color="auto" w:fill="auto"/>
            <w:noWrap/>
            <w:vAlign w:val="center"/>
            <w:hideMark/>
          </w:tcPr>
          <w:p w14:paraId="433C9A14"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167" w:type="dxa"/>
            <w:tcBorders>
              <w:top w:val="nil"/>
              <w:left w:val="nil"/>
              <w:bottom w:val="nil"/>
              <w:right w:val="nil"/>
            </w:tcBorders>
            <w:shd w:val="clear" w:color="auto" w:fill="auto"/>
            <w:noWrap/>
            <w:vAlign w:val="center"/>
            <w:hideMark/>
          </w:tcPr>
          <w:p w14:paraId="06EFCD82"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441" w:type="dxa"/>
            <w:tcBorders>
              <w:top w:val="nil"/>
              <w:left w:val="nil"/>
              <w:bottom w:val="nil"/>
              <w:right w:val="nil"/>
            </w:tcBorders>
            <w:shd w:val="clear" w:color="auto" w:fill="auto"/>
            <w:noWrap/>
            <w:vAlign w:val="center"/>
            <w:hideMark/>
          </w:tcPr>
          <w:p w14:paraId="38AB9858"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522" w:type="dxa"/>
            <w:tcBorders>
              <w:top w:val="nil"/>
              <w:left w:val="nil"/>
              <w:bottom w:val="nil"/>
              <w:right w:val="nil"/>
            </w:tcBorders>
            <w:shd w:val="clear" w:color="auto" w:fill="auto"/>
            <w:noWrap/>
            <w:vAlign w:val="center"/>
            <w:hideMark/>
          </w:tcPr>
          <w:p w14:paraId="2A003093"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700" w:type="dxa"/>
            <w:tcBorders>
              <w:top w:val="nil"/>
              <w:left w:val="nil"/>
              <w:bottom w:val="nil"/>
              <w:right w:val="nil"/>
            </w:tcBorders>
            <w:shd w:val="clear" w:color="auto" w:fill="auto"/>
            <w:noWrap/>
            <w:vAlign w:val="center"/>
            <w:hideMark/>
          </w:tcPr>
          <w:p w14:paraId="6454519D" w14:textId="77777777" w:rsidR="0013173C" w:rsidRPr="00252D7B" w:rsidRDefault="0013173C" w:rsidP="00F6584E">
            <w:pPr>
              <w:spacing w:after="120"/>
              <w:jc w:val="right"/>
              <w:rPr>
                <w:rFonts w:asciiTheme="minorHAnsi" w:hAnsiTheme="minorHAnsi" w:cstheme="minorHAnsi"/>
                <w:color w:val="000000"/>
                <w:sz w:val="15"/>
                <w:szCs w:val="15"/>
              </w:rPr>
            </w:pPr>
          </w:p>
        </w:tc>
      </w:tr>
      <w:tr w:rsidR="0013173C" w:rsidRPr="00252D7B" w14:paraId="28FEAE33" w14:textId="77777777" w:rsidTr="00F6584E">
        <w:trPr>
          <w:trHeight w:val="300"/>
        </w:trPr>
        <w:tc>
          <w:tcPr>
            <w:tcW w:w="3261" w:type="dxa"/>
            <w:tcBorders>
              <w:top w:val="nil"/>
              <w:left w:val="nil"/>
              <w:bottom w:val="nil"/>
              <w:right w:val="nil"/>
            </w:tcBorders>
            <w:shd w:val="clear" w:color="auto" w:fill="auto"/>
            <w:noWrap/>
            <w:vAlign w:val="center"/>
            <w:hideMark/>
          </w:tcPr>
          <w:p w14:paraId="56A52E01"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Implantação - Ferrovias - FNS</w:t>
            </w:r>
          </w:p>
        </w:tc>
        <w:tc>
          <w:tcPr>
            <w:tcW w:w="1418" w:type="dxa"/>
            <w:tcBorders>
              <w:top w:val="nil"/>
              <w:left w:val="nil"/>
              <w:bottom w:val="nil"/>
              <w:right w:val="nil"/>
            </w:tcBorders>
            <w:shd w:val="clear" w:color="auto" w:fill="auto"/>
            <w:noWrap/>
            <w:vAlign w:val="center"/>
            <w:hideMark/>
          </w:tcPr>
          <w:p w14:paraId="19E2D2D4"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(49.144.520)</w:t>
            </w:r>
          </w:p>
        </w:tc>
        <w:tc>
          <w:tcPr>
            <w:tcW w:w="1237" w:type="dxa"/>
            <w:tcBorders>
              <w:top w:val="nil"/>
              <w:left w:val="nil"/>
              <w:bottom w:val="nil"/>
              <w:right w:val="nil"/>
            </w:tcBorders>
            <w:shd w:val="clear" w:color="auto" w:fill="auto"/>
            <w:noWrap/>
            <w:vAlign w:val="center"/>
            <w:hideMark/>
          </w:tcPr>
          <w:p w14:paraId="2DBEC929"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167" w:type="dxa"/>
            <w:tcBorders>
              <w:top w:val="nil"/>
              <w:left w:val="nil"/>
              <w:bottom w:val="nil"/>
              <w:right w:val="nil"/>
            </w:tcBorders>
            <w:shd w:val="clear" w:color="auto" w:fill="auto"/>
            <w:noWrap/>
            <w:vAlign w:val="center"/>
            <w:hideMark/>
          </w:tcPr>
          <w:p w14:paraId="0B3801F0"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441" w:type="dxa"/>
            <w:tcBorders>
              <w:top w:val="nil"/>
              <w:left w:val="nil"/>
              <w:bottom w:val="nil"/>
              <w:right w:val="nil"/>
            </w:tcBorders>
            <w:shd w:val="clear" w:color="auto" w:fill="auto"/>
            <w:noWrap/>
            <w:vAlign w:val="center"/>
            <w:hideMark/>
          </w:tcPr>
          <w:p w14:paraId="7EAF1812"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49.144.520 </w:t>
            </w:r>
          </w:p>
        </w:tc>
        <w:tc>
          <w:tcPr>
            <w:tcW w:w="1522" w:type="dxa"/>
            <w:tcBorders>
              <w:top w:val="nil"/>
              <w:left w:val="nil"/>
              <w:bottom w:val="nil"/>
              <w:right w:val="nil"/>
            </w:tcBorders>
            <w:shd w:val="clear" w:color="auto" w:fill="auto"/>
            <w:noWrap/>
            <w:vAlign w:val="center"/>
            <w:hideMark/>
          </w:tcPr>
          <w:p w14:paraId="1E3B5A1C"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700" w:type="dxa"/>
            <w:tcBorders>
              <w:top w:val="nil"/>
              <w:left w:val="nil"/>
              <w:bottom w:val="nil"/>
              <w:right w:val="nil"/>
            </w:tcBorders>
            <w:shd w:val="clear" w:color="auto" w:fill="auto"/>
            <w:noWrap/>
            <w:vAlign w:val="center"/>
            <w:hideMark/>
          </w:tcPr>
          <w:p w14:paraId="65FCA97B" w14:textId="77777777" w:rsidR="0013173C" w:rsidRPr="00252D7B" w:rsidRDefault="0013173C" w:rsidP="00F6584E">
            <w:pPr>
              <w:spacing w:after="120"/>
              <w:jc w:val="right"/>
              <w:rPr>
                <w:rFonts w:asciiTheme="minorHAnsi" w:hAnsiTheme="minorHAnsi" w:cstheme="minorHAnsi"/>
                <w:color w:val="000000"/>
                <w:sz w:val="15"/>
                <w:szCs w:val="15"/>
              </w:rPr>
            </w:pPr>
          </w:p>
        </w:tc>
      </w:tr>
      <w:tr w:rsidR="0013173C" w:rsidRPr="00252D7B" w14:paraId="75FC5D14" w14:textId="77777777" w:rsidTr="00F6584E">
        <w:trPr>
          <w:trHeight w:val="300"/>
        </w:trPr>
        <w:tc>
          <w:tcPr>
            <w:tcW w:w="3261" w:type="dxa"/>
            <w:tcBorders>
              <w:top w:val="nil"/>
              <w:left w:val="nil"/>
              <w:bottom w:val="nil"/>
              <w:right w:val="nil"/>
            </w:tcBorders>
            <w:shd w:val="clear" w:color="auto" w:fill="auto"/>
            <w:noWrap/>
            <w:vAlign w:val="center"/>
            <w:hideMark/>
          </w:tcPr>
          <w:p w14:paraId="4D6D9E30"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Ativos de Concessão Imóveis - FNS</w:t>
            </w:r>
          </w:p>
        </w:tc>
        <w:tc>
          <w:tcPr>
            <w:tcW w:w="1418" w:type="dxa"/>
            <w:tcBorders>
              <w:top w:val="nil"/>
              <w:left w:val="nil"/>
              <w:bottom w:val="nil"/>
              <w:right w:val="nil"/>
            </w:tcBorders>
            <w:shd w:val="clear" w:color="auto" w:fill="auto"/>
            <w:noWrap/>
            <w:vAlign w:val="center"/>
            <w:hideMark/>
          </w:tcPr>
          <w:p w14:paraId="015A721B"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(12.221.663.667)</w:t>
            </w:r>
          </w:p>
        </w:tc>
        <w:tc>
          <w:tcPr>
            <w:tcW w:w="1237" w:type="dxa"/>
            <w:tcBorders>
              <w:top w:val="nil"/>
              <w:left w:val="nil"/>
              <w:bottom w:val="nil"/>
              <w:right w:val="nil"/>
            </w:tcBorders>
            <w:shd w:val="clear" w:color="auto" w:fill="auto"/>
            <w:noWrap/>
            <w:vAlign w:val="center"/>
            <w:hideMark/>
          </w:tcPr>
          <w:p w14:paraId="05D8210C"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(15.034.627)</w:t>
            </w:r>
          </w:p>
        </w:tc>
        <w:tc>
          <w:tcPr>
            <w:tcW w:w="1167" w:type="dxa"/>
            <w:tcBorders>
              <w:top w:val="nil"/>
              <w:left w:val="nil"/>
              <w:bottom w:val="nil"/>
              <w:right w:val="nil"/>
            </w:tcBorders>
            <w:shd w:val="clear" w:color="auto" w:fill="auto"/>
            <w:noWrap/>
            <w:vAlign w:val="center"/>
            <w:hideMark/>
          </w:tcPr>
          <w:p w14:paraId="4F78756B"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4.809.595 </w:t>
            </w:r>
          </w:p>
        </w:tc>
        <w:tc>
          <w:tcPr>
            <w:tcW w:w="1441" w:type="dxa"/>
            <w:tcBorders>
              <w:top w:val="nil"/>
              <w:left w:val="nil"/>
              <w:bottom w:val="nil"/>
              <w:right w:val="nil"/>
            </w:tcBorders>
            <w:shd w:val="clear" w:color="auto" w:fill="auto"/>
            <w:noWrap/>
            <w:vAlign w:val="center"/>
            <w:hideMark/>
          </w:tcPr>
          <w:p w14:paraId="5B3D67B6"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(49.428.488)</w:t>
            </w:r>
          </w:p>
        </w:tc>
        <w:tc>
          <w:tcPr>
            <w:tcW w:w="1522" w:type="dxa"/>
            <w:tcBorders>
              <w:top w:val="nil"/>
              <w:left w:val="nil"/>
              <w:bottom w:val="nil"/>
              <w:right w:val="nil"/>
            </w:tcBorders>
            <w:shd w:val="clear" w:color="auto" w:fill="auto"/>
            <w:noWrap/>
            <w:vAlign w:val="center"/>
            <w:hideMark/>
          </w:tcPr>
          <w:p w14:paraId="5DC0A9E6"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(12.281.317.187)</w:t>
            </w:r>
          </w:p>
        </w:tc>
        <w:tc>
          <w:tcPr>
            <w:tcW w:w="700" w:type="dxa"/>
            <w:tcBorders>
              <w:top w:val="nil"/>
              <w:left w:val="nil"/>
              <w:bottom w:val="nil"/>
              <w:right w:val="nil"/>
            </w:tcBorders>
            <w:shd w:val="clear" w:color="auto" w:fill="auto"/>
            <w:noWrap/>
            <w:vAlign w:val="center"/>
            <w:hideMark/>
          </w:tcPr>
          <w:p w14:paraId="4342D544" w14:textId="77777777" w:rsidR="0013173C" w:rsidRPr="00252D7B" w:rsidRDefault="0013173C" w:rsidP="00F6584E">
            <w:pPr>
              <w:spacing w:after="120"/>
              <w:jc w:val="right"/>
              <w:rPr>
                <w:rFonts w:asciiTheme="minorHAnsi" w:hAnsiTheme="minorHAnsi" w:cstheme="minorHAnsi"/>
                <w:color w:val="000000"/>
                <w:sz w:val="15"/>
                <w:szCs w:val="15"/>
              </w:rPr>
            </w:pPr>
          </w:p>
        </w:tc>
      </w:tr>
      <w:tr w:rsidR="0013173C" w:rsidRPr="00252D7B" w14:paraId="78BD6F5A" w14:textId="77777777" w:rsidTr="00F6584E">
        <w:trPr>
          <w:trHeight w:val="300"/>
        </w:trPr>
        <w:tc>
          <w:tcPr>
            <w:tcW w:w="3261" w:type="dxa"/>
            <w:tcBorders>
              <w:top w:val="nil"/>
              <w:left w:val="nil"/>
              <w:bottom w:val="nil"/>
              <w:right w:val="nil"/>
            </w:tcBorders>
            <w:shd w:val="clear" w:color="auto" w:fill="auto"/>
            <w:noWrap/>
            <w:vAlign w:val="center"/>
            <w:hideMark/>
          </w:tcPr>
          <w:p w14:paraId="6D8BBE20"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CMT Lei 8.200/91</w:t>
            </w:r>
          </w:p>
        </w:tc>
        <w:tc>
          <w:tcPr>
            <w:tcW w:w="1418" w:type="dxa"/>
            <w:tcBorders>
              <w:top w:val="nil"/>
              <w:left w:val="nil"/>
              <w:bottom w:val="nil"/>
              <w:right w:val="nil"/>
            </w:tcBorders>
            <w:shd w:val="clear" w:color="auto" w:fill="auto"/>
            <w:noWrap/>
            <w:vAlign w:val="center"/>
            <w:hideMark/>
          </w:tcPr>
          <w:p w14:paraId="2509C731"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(283.968)</w:t>
            </w:r>
          </w:p>
        </w:tc>
        <w:tc>
          <w:tcPr>
            <w:tcW w:w="1237" w:type="dxa"/>
            <w:tcBorders>
              <w:top w:val="nil"/>
              <w:left w:val="nil"/>
              <w:bottom w:val="nil"/>
              <w:right w:val="nil"/>
            </w:tcBorders>
            <w:shd w:val="clear" w:color="auto" w:fill="auto"/>
            <w:noWrap/>
            <w:vAlign w:val="center"/>
            <w:hideMark/>
          </w:tcPr>
          <w:p w14:paraId="032B5621"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167" w:type="dxa"/>
            <w:tcBorders>
              <w:top w:val="nil"/>
              <w:left w:val="nil"/>
              <w:bottom w:val="nil"/>
              <w:right w:val="nil"/>
            </w:tcBorders>
            <w:shd w:val="clear" w:color="auto" w:fill="auto"/>
            <w:noWrap/>
            <w:vAlign w:val="center"/>
            <w:hideMark/>
          </w:tcPr>
          <w:p w14:paraId="3093F3BA"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441" w:type="dxa"/>
            <w:tcBorders>
              <w:top w:val="nil"/>
              <w:left w:val="nil"/>
              <w:bottom w:val="nil"/>
              <w:right w:val="nil"/>
            </w:tcBorders>
            <w:shd w:val="clear" w:color="auto" w:fill="auto"/>
            <w:noWrap/>
            <w:vAlign w:val="center"/>
            <w:hideMark/>
          </w:tcPr>
          <w:p w14:paraId="36F9E1D8"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283.968 </w:t>
            </w:r>
          </w:p>
        </w:tc>
        <w:tc>
          <w:tcPr>
            <w:tcW w:w="1522" w:type="dxa"/>
            <w:tcBorders>
              <w:top w:val="nil"/>
              <w:left w:val="nil"/>
              <w:bottom w:val="nil"/>
              <w:right w:val="nil"/>
            </w:tcBorders>
            <w:shd w:val="clear" w:color="auto" w:fill="auto"/>
            <w:noWrap/>
            <w:vAlign w:val="center"/>
            <w:hideMark/>
          </w:tcPr>
          <w:p w14:paraId="2B59D996"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700" w:type="dxa"/>
            <w:tcBorders>
              <w:top w:val="nil"/>
              <w:left w:val="nil"/>
              <w:bottom w:val="nil"/>
              <w:right w:val="nil"/>
            </w:tcBorders>
            <w:shd w:val="clear" w:color="auto" w:fill="auto"/>
            <w:noWrap/>
            <w:vAlign w:val="center"/>
            <w:hideMark/>
          </w:tcPr>
          <w:p w14:paraId="30FD1939" w14:textId="77777777" w:rsidR="0013173C" w:rsidRPr="00252D7B" w:rsidRDefault="0013173C" w:rsidP="00F6584E">
            <w:pPr>
              <w:spacing w:after="120"/>
              <w:jc w:val="right"/>
              <w:rPr>
                <w:rFonts w:asciiTheme="minorHAnsi" w:hAnsiTheme="minorHAnsi" w:cstheme="minorHAnsi"/>
                <w:color w:val="000000"/>
                <w:sz w:val="15"/>
                <w:szCs w:val="15"/>
              </w:rPr>
            </w:pPr>
          </w:p>
        </w:tc>
      </w:tr>
      <w:tr w:rsidR="0013173C" w:rsidRPr="00252D7B" w14:paraId="763DC146" w14:textId="77777777" w:rsidTr="00F6584E">
        <w:trPr>
          <w:trHeight w:val="315"/>
        </w:trPr>
        <w:tc>
          <w:tcPr>
            <w:tcW w:w="3261" w:type="dxa"/>
            <w:tcBorders>
              <w:top w:val="nil"/>
              <w:left w:val="nil"/>
              <w:bottom w:val="nil"/>
              <w:right w:val="nil"/>
            </w:tcBorders>
            <w:shd w:val="clear" w:color="auto" w:fill="auto"/>
            <w:noWrap/>
            <w:vAlign w:val="center"/>
            <w:hideMark/>
          </w:tcPr>
          <w:p w14:paraId="1665D31F"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Depreciação Acumulada das Ferrovias - FNS</w:t>
            </w:r>
          </w:p>
        </w:tc>
        <w:tc>
          <w:tcPr>
            <w:tcW w:w="1418" w:type="dxa"/>
            <w:tcBorders>
              <w:top w:val="nil"/>
              <w:left w:val="nil"/>
              <w:bottom w:val="nil"/>
              <w:right w:val="nil"/>
            </w:tcBorders>
            <w:shd w:val="clear" w:color="auto" w:fill="auto"/>
            <w:noWrap/>
            <w:vAlign w:val="center"/>
            <w:hideMark/>
          </w:tcPr>
          <w:p w14:paraId="5B6116D0"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916.675.783 </w:t>
            </w:r>
          </w:p>
        </w:tc>
        <w:tc>
          <w:tcPr>
            <w:tcW w:w="1237" w:type="dxa"/>
            <w:tcBorders>
              <w:top w:val="nil"/>
              <w:left w:val="nil"/>
              <w:bottom w:val="nil"/>
              <w:right w:val="nil"/>
            </w:tcBorders>
            <w:shd w:val="clear" w:color="auto" w:fill="auto"/>
            <w:noWrap/>
            <w:vAlign w:val="center"/>
            <w:hideMark/>
          </w:tcPr>
          <w:p w14:paraId="36B51F80"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167" w:type="dxa"/>
            <w:tcBorders>
              <w:top w:val="nil"/>
              <w:left w:val="nil"/>
              <w:bottom w:val="nil"/>
              <w:right w:val="nil"/>
            </w:tcBorders>
            <w:shd w:val="clear" w:color="auto" w:fill="auto"/>
            <w:noWrap/>
            <w:vAlign w:val="center"/>
            <w:hideMark/>
          </w:tcPr>
          <w:p w14:paraId="5D864797"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441" w:type="dxa"/>
            <w:tcBorders>
              <w:top w:val="nil"/>
              <w:left w:val="nil"/>
              <w:bottom w:val="nil"/>
              <w:right w:val="nil"/>
            </w:tcBorders>
            <w:shd w:val="clear" w:color="auto" w:fill="auto"/>
            <w:noWrap/>
            <w:vAlign w:val="center"/>
            <w:hideMark/>
          </w:tcPr>
          <w:p w14:paraId="037560BF"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522" w:type="dxa"/>
            <w:tcBorders>
              <w:top w:val="nil"/>
              <w:left w:val="nil"/>
              <w:bottom w:val="nil"/>
              <w:right w:val="nil"/>
            </w:tcBorders>
            <w:shd w:val="clear" w:color="auto" w:fill="auto"/>
            <w:noWrap/>
            <w:vAlign w:val="center"/>
            <w:hideMark/>
          </w:tcPr>
          <w:p w14:paraId="490D40A6"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916.675.783 </w:t>
            </w:r>
          </w:p>
        </w:tc>
        <w:tc>
          <w:tcPr>
            <w:tcW w:w="700" w:type="dxa"/>
            <w:tcBorders>
              <w:top w:val="nil"/>
              <w:left w:val="nil"/>
              <w:bottom w:val="nil"/>
              <w:right w:val="nil"/>
            </w:tcBorders>
            <w:shd w:val="clear" w:color="auto" w:fill="auto"/>
            <w:noWrap/>
            <w:vAlign w:val="center"/>
            <w:hideMark/>
          </w:tcPr>
          <w:p w14:paraId="1C76022A" w14:textId="77777777" w:rsidR="0013173C" w:rsidRPr="00252D7B" w:rsidRDefault="0013173C" w:rsidP="00F6584E">
            <w:pPr>
              <w:spacing w:after="120"/>
              <w:jc w:val="right"/>
              <w:rPr>
                <w:rFonts w:asciiTheme="minorHAnsi" w:hAnsiTheme="minorHAnsi" w:cstheme="minorHAnsi"/>
                <w:color w:val="000000"/>
                <w:sz w:val="15"/>
                <w:szCs w:val="15"/>
              </w:rPr>
            </w:pPr>
          </w:p>
        </w:tc>
      </w:tr>
      <w:tr w:rsidR="0013173C" w:rsidRPr="00252D7B" w14:paraId="3574E7C3" w14:textId="77777777" w:rsidTr="00F6584E">
        <w:trPr>
          <w:trHeight w:val="135"/>
        </w:trPr>
        <w:tc>
          <w:tcPr>
            <w:tcW w:w="3261" w:type="dxa"/>
            <w:tcBorders>
              <w:top w:val="single" w:sz="8" w:space="0" w:color="auto"/>
              <w:left w:val="nil"/>
              <w:bottom w:val="single" w:sz="8" w:space="0" w:color="auto"/>
              <w:right w:val="nil"/>
            </w:tcBorders>
            <w:shd w:val="clear" w:color="auto" w:fill="auto"/>
            <w:noWrap/>
            <w:vAlign w:val="bottom"/>
            <w:hideMark/>
          </w:tcPr>
          <w:p w14:paraId="3A2C873A"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 </w:t>
            </w:r>
          </w:p>
        </w:tc>
        <w:tc>
          <w:tcPr>
            <w:tcW w:w="1418" w:type="dxa"/>
            <w:tcBorders>
              <w:top w:val="single" w:sz="8" w:space="0" w:color="auto"/>
              <w:left w:val="nil"/>
              <w:bottom w:val="single" w:sz="8" w:space="0" w:color="auto"/>
              <w:right w:val="nil"/>
            </w:tcBorders>
            <w:shd w:val="clear" w:color="auto" w:fill="auto"/>
            <w:noWrap/>
            <w:vAlign w:val="bottom"/>
            <w:hideMark/>
          </w:tcPr>
          <w:p w14:paraId="594C8C05"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 </w:t>
            </w:r>
          </w:p>
        </w:tc>
        <w:tc>
          <w:tcPr>
            <w:tcW w:w="1237" w:type="dxa"/>
            <w:tcBorders>
              <w:top w:val="single" w:sz="8" w:space="0" w:color="auto"/>
              <w:left w:val="nil"/>
              <w:bottom w:val="single" w:sz="8" w:space="0" w:color="auto"/>
              <w:right w:val="nil"/>
            </w:tcBorders>
            <w:shd w:val="clear" w:color="auto" w:fill="auto"/>
            <w:noWrap/>
            <w:vAlign w:val="bottom"/>
            <w:hideMark/>
          </w:tcPr>
          <w:p w14:paraId="68A46E63"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 </w:t>
            </w:r>
          </w:p>
        </w:tc>
        <w:tc>
          <w:tcPr>
            <w:tcW w:w="1167" w:type="dxa"/>
            <w:tcBorders>
              <w:top w:val="single" w:sz="8" w:space="0" w:color="auto"/>
              <w:left w:val="nil"/>
              <w:bottom w:val="single" w:sz="8" w:space="0" w:color="auto"/>
              <w:right w:val="nil"/>
            </w:tcBorders>
            <w:shd w:val="clear" w:color="auto" w:fill="auto"/>
            <w:noWrap/>
            <w:vAlign w:val="bottom"/>
            <w:hideMark/>
          </w:tcPr>
          <w:p w14:paraId="072BAC40"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 </w:t>
            </w:r>
          </w:p>
        </w:tc>
        <w:tc>
          <w:tcPr>
            <w:tcW w:w="1441" w:type="dxa"/>
            <w:tcBorders>
              <w:top w:val="single" w:sz="8" w:space="0" w:color="auto"/>
              <w:left w:val="nil"/>
              <w:bottom w:val="single" w:sz="8" w:space="0" w:color="auto"/>
              <w:right w:val="nil"/>
            </w:tcBorders>
            <w:shd w:val="clear" w:color="auto" w:fill="auto"/>
            <w:noWrap/>
            <w:vAlign w:val="bottom"/>
            <w:hideMark/>
          </w:tcPr>
          <w:p w14:paraId="317BD663"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 </w:t>
            </w:r>
          </w:p>
        </w:tc>
        <w:tc>
          <w:tcPr>
            <w:tcW w:w="1522" w:type="dxa"/>
            <w:tcBorders>
              <w:top w:val="single" w:sz="8" w:space="0" w:color="auto"/>
              <w:left w:val="nil"/>
              <w:bottom w:val="single" w:sz="8" w:space="0" w:color="auto"/>
              <w:right w:val="nil"/>
            </w:tcBorders>
            <w:shd w:val="clear" w:color="auto" w:fill="auto"/>
            <w:noWrap/>
            <w:vAlign w:val="bottom"/>
            <w:hideMark/>
          </w:tcPr>
          <w:p w14:paraId="76DC6436"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 </w:t>
            </w:r>
          </w:p>
        </w:tc>
        <w:tc>
          <w:tcPr>
            <w:tcW w:w="700" w:type="dxa"/>
            <w:tcBorders>
              <w:top w:val="single" w:sz="8" w:space="0" w:color="auto"/>
              <w:left w:val="nil"/>
              <w:bottom w:val="single" w:sz="8" w:space="0" w:color="auto"/>
              <w:right w:val="nil"/>
            </w:tcBorders>
            <w:shd w:val="clear" w:color="auto" w:fill="auto"/>
            <w:noWrap/>
            <w:vAlign w:val="bottom"/>
            <w:hideMark/>
          </w:tcPr>
          <w:p w14:paraId="7FFD5A0F"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 </w:t>
            </w:r>
          </w:p>
        </w:tc>
      </w:tr>
      <w:tr w:rsidR="0013173C" w:rsidRPr="00252D7B" w14:paraId="2FB3D610" w14:textId="77777777" w:rsidTr="00F6584E">
        <w:trPr>
          <w:trHeight w:val="315"/>
        </w:trPr>
        <w:tc>
          <w:tcPr>
            <w:tcW w:w="3261" w:type="dxa"/>
            <w:tcBorders>
              <w:top w:val="nil"/>
              <w:left w:val="nil"/>
              <w:bottom w:val="single" w:sz="8" w:space="0" w:color="auto"/>
              <w:right w:val="nil"/>
            </w:tcBorders>
            <w:shd w:val="clear" w:color="auto" w:fill="auto"/>
            <w:noWrap/>
            <w:vAlign w:val="center"/>
            <w:hideMark/>
          </w:tcPr>
          <w:p w14:paraId="60EBF67C" w14:textId="77777777" w:rsidR="0013173C" w:rsidRPr="00252D7B" w:rsidRDefault="0013173C" w:rsidP="00F6584E">
            <w:pPr>
              <w:spacing w:after="120"/>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(Redução ao Valor Recuperável - FIOL I) (4)</w:t>
            </w:r>
          </w:p>
        </w:tc>
        <w:tc>
          <w:tcPr>
            <w:tcW w:w="1418" w:type="dxa"/>
            <w:tcBorders>
              <w:top w:val="nil"/>
              <w:left w:val="nil"/>
              <w:bottom w:val="single" w:sz="8" w:space="0" w:color="auto"/>
              <w:right w:val="nil"/>
            </w:tcBorders>
            <w:shd w:val="clear" w:color="auto" w:fill="auto"/>
            <w:noWrap/>
            <w:vAlign w:val="center"/>
            <w:hideMark/>
          </w:tcPr>
          <w:p w14:paraId="575BDA4C"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    (3.245.937.256)</w:t>
            </w:r>
          </w:p>
        </w:tc>
        <w:tc>
          <w:tcPr>
            <w:tcW w:w="1237" w:type="dxa"/>
            <w:tcBorders>
              <w:top w:val="nil"/>
              <w:left w:val="nil"/>
              <w:bottom w:val="single" w:sz="8" w:space="0" w:color="auto"/>
              <w:right w:val="nil"/>
            </w:tcBorders>
            <w:shd w:val="clear" w:color="auto" w:fill="auto"/>
            <w:noWrap/>
            <w:vAlign w:val="center"/>
            <w:hideMark/>
          </w:tcPr>
          <w:p w14:paraId="79D27AFC"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                            0   </w:t>
            </w:r>
          </w:p>
        </w:tc>
        <w:tc>
          <w:tcPr>
            <w:tcW w:w="1167" w:type="dxa"/>
            <w:tcBorders>
              <w:top w:val="nil"/>
              <w:left w:val="nil"/>
              <w:bottom w:val="single" w:sz="8" w:space="0" w:color="auto"/>
              <w:right w:val="nil"/>
            </w:tcBorders>
            <w:shd w:val="clear" w:color="auto" w:fill="auto"/>
            <w:noWrap/>
            <w:vAlign w:val="center"/>
            <w:hideMark/>
          </w:tcPr>
          <w:p w14:paraId="1AC50C89"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      28.415.977 </w:t>
            </w:r>
          </w:p>
        </w:tc>
        <w:tc>
          <w:tcPr>
            <w:tcW w:w="1441" w:type="dxa"/>
            <w:tcBorders>
              <w:top w:val="nil"/>
              <w:left w:val="nil"/>
              <w:bottom w:val="single" w:sz="8" w:space="0" w:color="auto"/>
              <w:right w:val="nil"/>
            </w:tcBorders>
            <w:shd w:val="clear" w:color="auto" w:fill="auto"/>
            <w:noWrap/>
            <w:vAlign w:val="center"/>
            <w:hideMark/>
          </w:tcPr>
          <w:p w14:paraId="147EA855"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                                0   </w:t>
            </w:r>
          </w:p>
        </w:tc>
        <w:tc>
          <w:tcPr>
            <w:tcW w:w="1522" w:type="dxa"/>
            <w:tcBorders>
              <w:top w:val="nil"/>
              <w:left w:val="nil"/>
              <w:bottom w:val="single" w:sz="8" w:space="0" w:color="auto"/>
              <w:right w:val="nil"/>
            </w:tcBorders>
            <w:shd w:val="clear" w:color="auto" w:fill="auto"/>
            <w:noWrap/>
            <w:vAlign w:val="center"/>
            <w:hideMark/>
          </w:tcPr>
          <w:p w14:paraId="5A0C8012"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      (3.217.521.279)</w:t>
            </w:r>
          </w:p>
        </w:tc>
        <w:tc>
          <w:tcPr>
            <w:tcW w:w="700" w:type="dxa"/>
            <w:tcBorders>
              <w:top w:val="nil"/>
              <w:left w:val="nil"/>
              <w:bottom w:val="single" w:sz="8" w:space="0" w:color="auto"/>
              <w:right w:val="nil"/>
            </w:tcBorders>
            <w:shd w:val="clear" w:color="auto" w:fill="auto"/>
            <w:noWrap/>
            <w:vAlign w:val="bottom"/>
            <w:hideMark/>
          </w:tcPr>
          <w:p w14:paraId="2C9A1F69"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 </w:t>
            </w:r>
          </w:p>
        </w:tc>
      </w:tr>
      <w:tr w:rsidR="0013173C" w:rsidRPr="00252D7B" w14:paraId="6AAFD8CB" w14:textId="77777777" w:rsidTr="00F6584E">
        <w:trPr>
          <w:trHeight w:val="300"/>
        </w:trPr>
        <w:tc>
          <w:tcPr>
            <w:tcW w:w="3261" w:type="dxa"/>
            <w:tcBorders>
              <w:top w:val="nil"/>
              <w:left w:val="nil"/>
              <w:bottom w:val="nil"/>
              <w:right w:val="nil"/>
            </w:tcBorders>
            <w:shd w:val="clear" w:color="auto" w:fill="auto"/>
            <w:noWrap/>
            <w:vAlign w:val="center"/>
            <w:hideMark/>
          </w:tcPr>
          <w:p w14:paraId="2127F244"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Estudos e Projetos - FIOL I</w:t>
            </w:r>
          </w:p>
        </w:tc>
        <w:tc>
          <w:tcPr>
            <w:tcW w:w="1418" w:type="dxa"/>
            <w:tcBorders>
              <w:top w:val="nil"/>
              <w:left w:val="nil"/>
              <w:bottom w:val="nil"/>
              <w:right w:val="nil"/>
            </w:tcBorders>
            <w:shd w:val="clear" w:color="auto" w:fill="auto"/>
            <w:noWrap/>
            <w:vAlign w:val="center"/>
            <w:hideMark/>
          </w:tcPr>
          <w:p w14:paraId="1485D500"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(3.487.596)</w:t>
            </w:r>
          </w:p>
        </w:tc>
        <w:tc>
          <w:tcPr>
            <w:tcW w:w="1237" w:type="dxa"/>
            <w:tcBorders>
              <w:top w:val="nil"/>
              <w:left w:val="nil"/>
              <w:bottom w:val="nil"/>
              <w:right w:val="nil"/>
            </w:tcBorders>
            <w:shd w:val="clear" w:color="auto" w:fill="auto"/>
            <w:noWrap/>
            <w:vAlign w:val="center"/>
            <w:hideMark/>
          </w:tcPr>
          <w:p w14:paraId="6D49209D"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167" w:type="dxa"/>
            <w:tcBorders>
              <w:top w:val="nil"/>
              <w:left w:val="nil"/>
              <w:bottom w:val="nil"/>
              <w:right w:val="nil"/>
            </w:tcBorders>
            <w:shd w:val="clear" w:color="auto" w:fill="auto"/>
            <w:noWrap/>
            <w:vAlign w:val="center"/>
            <w:hideMark/>
          </w:tcPr>
          <w:p w14:paraId="2975090B"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441" w:type="dxa"/>
            <w:tcBorders>
              <w:top w:val="nil"/>
              <w:left w:val="nil"/>
              <w:bottom w:val="nil"/>
              <w:right w:val="nil"/>
            </w:tcBorders>
            <w:shd w:val="clear" w:color="auto" w:fill="auto"/>
            <w:noWrap/>
            <w:vAlign w:val="center"/>
            <w:hideMark/>
          </w:tcPr>
          <w:p w14:paraId="09E8B4F4"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3.487.596 </w:t>
            </w:r>
          </w:p>
        </w:tc>
        <w:tc>
          <w:tcPr>
            <w:tcW w:w="1522" w:type="dxa"/>
            <w:tcBorders>
              <w:top w:val="nil"/>
              <w:left w:val="nil"/>
              <w:bottom w:val="nil"/>
              <w:right w:val="nil"/>
            </w:tcBorders>
            <w:shd w:val="clear" w:color="auto" w:fill="auto"/>
            <w:noWrap/>
            <w:vAlign w:val="center"/>
            <w:hideMark/>
          </w:tcPr>
          <w:p w14:paraId="3F72B2D5"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                                   0   </w:t>
            </w:r>
          </w:p>
        </w:tc>
        <w:tc>
          <w:tcPr>
            <w:tcW w:w="700" w:type="dxa"/>
            <w:tcBorders>
              <w:top w:val="nil"/>
              <w:left w:val="nil"/>
              <w:bottom w:val="nil"/>
              <w:right w:val="nil"/>
            </w:tcBorders>
            <w:shd w:val="clear" w:color="auto" w:fill="auto"/>
            <w:noWrap/>
            <w:vAlign w:val="bottom"/>
            <w:hideMark/>
          </w:tcPr>
          <w:p w14:paraId="2E436614"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 </w:t>
            </w:r>
          </w:p>
        </w:tc>
      </w:tr>
      <w:tr w:rsidR="0013173C" w:rsidRPr="00252D7B" w14:paraId="7289F6D4" w14:textId="77777777" w:rsidTr="00F6584E">
        <w:trPr>
          <w:trHeight w:val="300"/>
        </w:trPr>
        <w:tc>
          <w:tcPr>
            <w:tcW w:w="3261" w:type="dxa"/>
            <w:tcBorders>
              <w:top w:val="nil"/>
              <w:left w:val="nil"/>
              <w:bottom w:val="nil"/>
              <w:right w:val="nil"/>
            </w:tcBorders>
            <w:shd w:val="clear" w:color="auto" w:fill="auto"/>
            <w:noWrap/>
            <w:vAlign w:val="center"/>
            <w:hideMark/>
          </w:tcPr>
          <w:p w14:paraId="771CC12E"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Implantação - Ferrovias - FIOL I</w:t>
            </w:r>
          </w:p>
        </w:tc>
        <w:tc>
          <w:tcPr>
            <w:tcW w:w="1418" w:type="dxa"/>
            <w:tcBorders>
              <w:top w:val="nil"/>
              <w:left w:val="nil"/>
              <w:bottom w:val="nil"/>
              <w:right w:val="nil"/>
            </w:tcBorders>
            <w:shd w:val="clear" w:color="auto" w:fill="auto"/>
            <w:noWrap/>
            <w:vAlign w:val="center"/>
            <w:hideMark/>
          </w:tcPr>
          <w:p w14:paraId="252BEEF5"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(3.242.449.660)</w:t>
            </w:r>
          </w:p>
        </w:tc>
        <w:tc>
          <w:tcPr>
            <w:tcW w:w="1237" w:type="dxa"/>
            <w:tcBorders>
              <w:top w:val="nil"/>
              <w:left w:val="nil"/>
              <w:bottom w:val="nil"/>
              <w:right w:val="nil"/>
            </w:tcBorders>
            <w:shd w:val="clear" w:color="auto" w:fill="auto"/>
            <w:noWrap/>
            <w:vAlign w:val="center"/>
            <w:hideMark/>
          </w:tcPr>
          <w:p w14:paraId="217B008D"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167" w:type="dxa"/>
            <w:tcBorders>
              <w:top w:val="nil"/>
              <w:left w:val="nil"/>
              <w:bottom w:val="nil"/>
              <w:right w:val="nil"/>
            </w:tcBorders>
            <w:shd w:val="clear" w:color="auto" w:fill="auto"/>
            <w:noWrap/>
            <w:vAlign w:val="center"/>
            <w:hideMark/>
          </w:tcPr>
          <w:p w14:paraId="06D0E902"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441" w:type="dxa"/>
            <w:tcBorders>
              <w:top w:val="nil"/>
              <w:left w:val="nil"/>
              <w:bottom w:val="nil"/>
              <w:right w:val="nil"/>
            </w:tcBorders>
            <w:shd w:val="clear" w:color="auto" w:fill="auto"/>
            <w:noWrap/>
            <w:vAlign w:val="center"/>
            <w:hideMark/>
          </w:tcPr>
          <w:p w14:paraId="1787A5A8"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3.242.449.660 </w:t>
            </w:r>
          </w:p>
        </w:tc>
        <w:tc>
          <w:tcPr>
            <w:tcW w:w="1522" w:type="dxa"/>
            <w:tcBorders>
              <w:top w:val="nil"/>
              <w:left w:val="nil"/>
              <w:bottom w:val="nil"/>
              <w:right w:val="nil"/>
            </w:tcBorders>
            <w:shd w:val="clear" w:color="auto" w:fill="auto"/>
            <w:noWrap/>
            <w:vAlign w:val="center"/>
            <w:hideMark/>
          </w:tcPr>
          <w:p w14:paraId="49EACCC9"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                                   0   </w:t>
            </w:r>
          </w:p>
        </w:tc>
        <w:tc>
          <w:tcPr>
            <w:tcW w:w="700" w:type="dxa"/>
            <w:tcBorders>
              <w:top w:val="nil"/>
              <w:left w:val="nil"/>
              <w:bottom w:val="nil"/>
              <w:right w:val="nil"/>
            </w:tcBorders>
            <w:shd w:val="clear" w:color="auto" w:fill="auto"/>
            <w:noWrap/>
            <w:vAlign w:val="bottom"/>
            <w:hideMark/>
          </w:tcPr>
          <w:p w14:paraId="4FBF220C" w14:textId="77777777" w:rsidR="0013173C" w:rsidRPr="00252D7B" w:rsidRDefault="0013173C" w:rsidP="00F6584E">
            <w:pPr>
              <w:spacing w:after="120"/>
              <w:jc w:val="right"/>
              <w:rPr>
                <w:rFonts w:asciiTheme="minorHAnsi" w:hAnsiTheme="minorHAnsi" w:cstheme="minorHAnsi"/>
                <w:b/>
                <w:bCs/>
                <w:color w:val="000000"/>
                <w:sz w:val="15"/>
                <w:szCs w:val="15"/>
              </w:rPr>
            </w:pPr>
          </w:p>
        </w:tc>
      </w:tr>
      <w:tr w:rsidR="0013173C" w:rsidRPr="00252D7B" w14:paraId="3B7657CC" w14:textId="77777777" w:rsidTr="00F6584E">
        <w:trPr>
          <w:trHeight w:val="315"/>
        </w:trPr>
        <w:tc>
          <w:tcPr>
            <w:tcW w:w="3261" w:type="dxa"/>
            <w:tcBorders>
              <w:top w:val="nil"/>
              <w:left w:val="nil"/>
              <w:bottom w:val="nil"/>
              <w:right w:val="nil"/>
            </w:tcBorders>
            <w:shd w:val="clear" w:color="auto" w:fill="auto"/>
            <w:noWrap/>
            <w:vAlign w:val="center"/>
            <w:hideMark/>
          </w:tcPr>
          <w:p w14:paraId="31CF265E"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Ativos de Concessão Imóveis - FIOL I</w:t>
            </w:r>
          </w:p>
        </w:tc>
        <w:tc>
          <w:tcPr>
            <w:tcW w:w="1418" w:type="dxa"/>
            <w:tcBorders>
              <w:top w:val="nil"/>
              <w:left w:val="nil"/>
              <w:bottom w:val="single" w:sz="8" w:space="0" w:color="auto"/>
              <w:right w:val="nil"/>
            </w:tcBorders>
            <w:shd w:val="clear" w:color="auto" w:fill="auto"/>
            <w:noWrap/>
            <w:vAlign w:val="center"/>
            <w:hideMark/>
          </w:tcPr>
          <w:p w14:paraId="72FFA7A8"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237" w:type="dxa"/>
            <w:tcBorders>
              <w:top w:val="nil"/>
              <w:left w:val="nil"/>
              <w:bottom w:val="single" w:sz="8" w:space="0" w:color="auto"/>
              <w:right w:val="nil"/>
            </w:tcBorders>
            <w:shd w:val="clear" w:color="auto" w:fill="auto"/>
            <w:noWrap/>
            <w:vAlign w:val="center"/>
            <w:hideMark/>
          </w:tcPr>
          <w:p w14:paraId="54CFCB1F"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167" w:type="dxa"/>
            <w:tcBorders>
              <w:top w:val="nil"/>
              <w:left w:val="nil"/>
              <w:bottom w:val="single" w:sz="8" w:space="0" w:color="auto"/>
              <w:right w:val="nil"/>
            </w:tcBorders>
            <w:shd w:val="clear" w:color="auto" w:fill="auto"/>
            <w:noWrap/>
            <w:vAlign w:val="center"/>
            <w:hideMark/>
          </w:tcPr>
          <w:p w14:paraId="42B03E1A"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28.415.977 </w:t>
            </w:r>
          </w:p>
        </w:tc>
        <w:tc>
          <w:tcPr>
            <w:tcW w:w="1441" w:type="dxa"/>
            <w:tcBorders>
              <w:top w:val="nil"/>
              <w:left w:val="nil"/>
              <w:bottom w:val="single" w:sz="8" w:space="0" w:color="auto"/>
              <w:right w:val="nil"/>
            </w:tcBorders>
            <w:shd w:val="clear" w:color="auto" w:fill="auto"/>
            <w:noWrap/>
            <w:vAlign w:val="center"/>
            <w:hideMark/>
          </w:tcPr>
          <w:p w14:paraId="7E4B3D1D"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(3.245.937.256)</w:t>
            </w:r>
          </w:p>
        </w:tc>
        <w:tc>
          <w:tcPr>
            <w:tcW w:w="1522" w:type="dxa"/>
            <w:tcBorders>
              <w:top w:val="nil"/>
              <w:left w:val="nil"/>
              <w:bottom w:val="single" w:sz="8" w:space="0" w:color="auto"/>
              <w:right w:val="nil"/>
            </w:tcBorders>
            <w:shd w:val="clear" w:color="auto" w:fill="auto"/>
            <w:noWrap/>
            <w:vAlign w:val="center"/>
            <w:hideMark/>
          </w:tcPr>
          <w:p w14:paraId="2774814A"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(3.217.521.279)</w:t>
            </w:r>
          </w:p>
        </w:tc>
        <w:tc>
          <w:tcPr>
            <w:tcW w:w="700" w:type="dxa"/>
            <w:tcBorders>
              <w:top w:val="nil"/>
              <w:left w:val="nil"/>
              <w:bottom w:val="single" w:sz="8" w:space="0" w:color="auto"/>
              <w:right w:val="nil"/>
            </w:tcBorders>
            <w:shd w:val="clear" w:color="auto" w:fill="auto"/>
            <w:noWrap/>
            <w:vAlign w:val="bottom"/>
            <w:hideMark/>
          </w:tcPr>
          <w:p w14:paraId="3B90C22F"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 </w:t>
            </w:r>
          </w:p>
        </w:tc>
      </w:tr>
      <w:tr w:rsidR="0013173C" w:rsidRPr="00252D7B" w14:paraId="7E729ECB" w14:textId="77777777" w:rsidTr="00F6584E">
        <w:trPr>
          <w:trHeight w:val="135"/>
        </w:trPr>
        <w:tc>
          <w:tcPr>
            <w:tcW w:w="3261" w:type="dxa"/>
            <w:tcBorders>
              <w:top w:val="single" w:sz="8" w:space="0" w:color="auto"/>
              <w:left w:val="nil"/>
              <w:bottom w:val="single" w:sz="8" w:space="0" w:color="auto"/>
              <w:right w:val="nil"/>
            </w:tcBorders>
            <w:shd w:val="clear" w:color="auto" w:fill="auto"/>
            <w:noWrap/>
            <w:vAlign w:val="bottom"/>
            <w:hideMark/>
          </w:tcPr>
          <w:p w14:paraId="4612F4F7"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 </w:t>
            </w:r>
          </w:p>
        </w:tc>
        <w:tc>
          <w:tcPr>
            <w:tcW w:w="1418" w:type="dxa"/>
            <w:tcBorders>
              <w:top w:val="nil"/>
              <w:left w:val="nil"/>
              <w:bottom w:val="single" w:sz="8" w:space="0" w:color="auto"/>
              <w:right w:val="nil"/>
            </w:tcBorders>
            <w:shd w:val="clear" w:color="auto" w:fill="auto"/>
            <w:noWrap/>
            <w:vAlign w:val="bottom"/>
            <w:hideMark/>
          </w:tcPr>
          <w:p w14:paraId="604C88FC"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 </w:t>
            </w:r>
          </w:p>
        </w:tc>
        <w:tc>
          <w:tcPr>
            <w:tcW w:w="1237" w:type="dxa"/>
            <w:tcBorders>
              <w:top w:val="nil"/>
              <w:left w:val="nil"/>
              <w:bottom w:val="single" w:sz="8" w:space="0" w:color="auto"/>
              <w:right w:val="nil"/>
            </w:tcBorders>
            <w:shd w:val="clear" w:color="auto" w:fill="auto"/>
            <w:noWrap/>
            <w:vAlign w:val="bottom"/>
            <w:hideMark/>
          </w:tcPr>
          <w:p w14:paraId="733022E8"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 </w:t>
            </w:r>
          </w:p>
        </w:tc>
        <w:tc>
          <w:tcPr>
            <w:tcW w:w="1167" w:type="dxa"/>
            <w:tcBorders>
              <w:top w:val="nil"/>
              <w:left w:val="nil"/>
              <w:bottom w:val="single" w:sz="8" w:space="0" w:color="auto"/>
              <w:right w:val="nil"/>
            </w:tcBorders>
            <w:shd w:val="clear" w:color="auto" w:fill="auto"/>
            <w:noWrap/>
            <w:vAlign w:val="bottom"/>
            <w:hideMark/>
          </w:tcPr>
          <w:p w14:paraId="18B805AF"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 </w:t>
            </w:r>
          </w:p>
        </w:tc>
        <w:tc>
          <w:tcPr>
            <w:tcW w:w="1441" w:type="dxa"/>
            <w:tcBorders>
              <w:top w:val="nil"/>
              <w:left w:val="nil"/>
              <w:bottom w:val="single" w:sz="8" w:space="0" w:color="auto"/>
              <w:right w:val="nil"/>
            </w:tcBorders>
            <w:shd w:val="clear" w:color="auto" w:fill="auto"/>
            <w:noWrap/>
            <w:vAlign w:val="bottom"/>
            <w:hideMark/>
          </w:tcPr>
          <w:p w14:paraId="66BED786"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 </w:t>
            </w:r>
          </w:p>
        </w:tc>
        <w:tc>
          <w:tcPr>
            <w:tcW w:w="1522" w:type="dxa"/>
            <w:tcBorders>
              <w:top w:val="nil"/>
              <w:left w:val="nil"/>
              <w:bottom w:val="single" w:sz="8" w:space="0" w:color="auto"/>
              <w:right w:val="nil"/>
            </w:tcBorders>
            <w:shd w:val="clear" w:color="auto" w:fill="auto"/>
            <w:noWrap/>
            <w:vAlign w:val="bottom"/>
            <w:hideMark/>
          </w:tcPr>
          <w:p w14:paraId="425F1E6D"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 </w:t>
            </w:r>
          </w:p>
        </w:tc>
        <w:tc>
          <w:tcPr>
            <w:tcW w:w="700" w:type="dxa"/>
            <w:tcBorders>
              <w:top w:val="nil"/>
              <w:left w:val="nil"/>
              <w:bottom w:val="single" w:sz="8" w:space="0" w:color="auto"/>
              <w:right w:val="nil"/>
            </w:tcBorders>
            <w:shd w:val="clear" w:color="auto" w:fill="auto"/>
            <w:noWrap/>
            <w:vAlign w:val="bottom"/>
            <w:hideMark/>
          </w:tcPr>
          <w:p w14:paraId="561F00E8"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 </w:t>
            </w:r>
          </w:p>
        </w:tc>
      </w:tr>
      <w:tr w:rsidR="0013173C" w:rsidRPr="00252D7B" w14:paraId="39AA3DB8" w14:textId="77777777" w:rsidTr="00F6584E">
        <w:trPr>
          <w:trHeight w:val="300"/>
        </w:trPr>
        <w:tc>
          <w:tcPr>
            <w:tcW w:w="3261" w:type="dxa"/>
            <w:tcBorders>
              <w:top w:val="nil"/>
              <w:left w:val="nil"/>
              <w:bottom w:val="single" w:sz="8" w:space="0" w:color="auto"/>
              <w:right w:val="nil"/>
            </w:tcBorders>
            <w:shd w:val="clear" w:color="auto" w:fill="auto"/>
            <w:noWrap/>
            <w:vAlign w:val="center"/>
            <w:hideMark/>
          </w:tcPr>
          <w:p w14:paraId="0E42BBC6" w14:textId="77777777" w:rsidR="0013173C" w:rsidRPr="00252D7B" w:rsidRDefault="0013173C" w:rsidP="00F6584E">
            <w:pPr>
              <w:spacing w:after="120"/>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Depreciação de Bens Móveis e Imóveis (5)</w:t>
            </w:r>
          </w:p>
        </w:tc>
        <w:tc>
          <w:tcPr>
            <w:tcW w:w="1418" w:type="dxa"/>
            <w:tcBorders>
              <w:top w:val="nil"/>
              <w:left w:val="nil"/>
              <w:bottom w:val="single" w:sz="8" w:space="0" w:color="auto"/>
              <w:right w:val="nil"/>
            </w:tcBorders>
            <w:shd w:val="clear" w:color="auto" w:fill="auto"/>
            <w:noWrap/>
            <w:vAlign w:val="center"/>
            <w:hideMark/>
          </w:tcPr>
          <w:p w14:paraId="312A4F4E"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         (949.433.535)</w:t>
            </w:r>
          </w:p>
        </w:tc>
        <w:tc>
          <w:tcPr>
            <w:tcW w:w="1237" w:type="dxa"/>
            <w:tcBorders>
              <w:top w:val="nil"/>
              <w:left w:val="nil"/>
              <w:bottom w:val="single" w:sz="8" w:space="0" w:color="auto"/>
              <w:right w:val="nil"/>
            </w:tcBorders>
            <w:shd w:val="clear" w:color="auto" w:fill="auto"/>
            <w:noWrap/>
            <w:vAlign w:val="center"/>
            <w:hideMark/>
          </w:tcPr>
          <w:p w14:paraId="3F313BE7"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         (4.165.844)</w:t>
            </w:r>
          </w:p>
        </w:tc>
        <w:tc>
          <w:tcPr>
            <w:tcW w:w="1167" w:type="dxa"/>
            <w:tcBorders>
              <w:top w:val="nil"/>
              <w:left w:val="nil"/>
              <w:bottom w:val="single" w:sz="8" w:space="0" w:color="auto"/>
              <w:right w:val="nil"/>
            </w:tcBorders>
            <w:shd w:val="clear" w:color="auto" w:fill="auto"/>
            <w:noWrap/>
            <w:vAlign w:val="center"/>
            <w:hideMark/>
          </w:tcPr>
          <w:p w14:paraId="5ED3DB37"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         4.158.710 </w:t>
            </w:r>
          </w:p>
        </w:tc>
        <w:tc>
          <w:tcPr>
            <w:tcW w:w="1441" w:type="dxa"/>
            <w:tcBorders>
              <w:top w:val="nil"/>
              <w:left w:val="nil"/>
              <w:bottom w:val="single" w:sz="8" w:space="0" w:color="auto"/>
              <w:right w:val="nil"/>
            </w:tcBorders>
            <w:shd w:val="clear" w:color="auto" w:fill="auto"/>
            <w:noWrap/>
            <w:vAlign w:val="center"/>
            <w:hideMark/>
          </w:tcPr>
          <w:p w14:paraId="008DC612"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                                 0   </w:t>
            </w:r>
          </w:p>
        </w:tc>
        <w:tc>
          <w:tcPr>
            <w:tcW w:w="1522" w:type="dxa"/>
            <w:tcBorders>
              <w:top w:val="nil"/>
              <w:left w:val="nil"/>
              <w:bottom w:val="single" w:sz="8" w:space="0" w:color="auto"/>
              <w:right w:val="nil"/>
            </w:tcBorders>
            <w:shd w:val="clear" w:color="auto" w:fill="auto"/>
            <w:noWrap/>
            <w:vAlign w:val="center"/>
            <w:hideMark/>
          </w:tcPr>
          <w:p w14:paraId="59F44208"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          (949.440.669)</w:t>
            </w:r>
          </w:p>
        </w:tc>
        <w:tc>
          <w:tcPr>
            <w:tcW w:w="700" w:type="dxa"/>
            <w:tcBorders>
              <w:top w:val="nil"/>
              <w:left w:val="nil"/>
              <w:bottom w:val="single" w:sz="8" w:space="0" w:color="auto"/>
              <w:right w:val="nil"/>
            </w:tcBorders>
            <w:shd w:val="clear" w:color="auto" w:fill="auto"/>
            <w:noWrap/>
            <w:vAlign w:val="center"/>
            <w:hideMark/>
          </w:tcPr>
          <w:p w14:paraId="0A960E2B"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 </w:t>
            </w:r>
          </w:p>
        </w:tc>
      </w:tr>
      <w:tr w:rsidR="0013173C" w:rsidRPr="00252D7B" w14:paraId="41FC4971" w14:textId="77777777" w:rsidTr="00F6584E">
        <w:trPr>
          <w:trHeight w:val="300"/>
        </w:trPr>
        <w:tc>
          <w:tcPr>
            <w:tcW w:w="3261" w:type="dxa"/>
            <w:tcBorders>
              <w:top w:val="nil"/>
              <w:left w:val="nil"/>
              <w:bottom w:val="nil"/>
              <w:right w:val="nil"/>
            </w:tcBorders>
            <w:shd w:val="clear" w:color="auto" w:fill="auto"/>
            <w:noWrap/>
            <w:vAlign w:val="center"/>
            <w:hideMark/>
          </w:tcPr>
          <w:p w14:paraId="530E9B3A" w14:textId="77777777" w:rsidR="0013173C" w:rsidRPr="00252D7B" w:rsidRDefault="0013173C" w:rsidP="00F6584E">
            <w:pPr>
              <w:spacing w:after="120"/>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Depreciação de Bens Móveis </w:t>
            </w:r>
          </w:p>
        </w:tc>
        <w:tc>
          <w:tcPr>
            <w:tcW w:w="1418" w:type="dxa"/>
            <w:tcBorders>
              <w:top w:val="nil"/>
              <w:left w:val="nil"/>
              <w:bottom w:val="nil"/>
              <w:right w:val="nil"/>
            </w:tcBorders>
            <w:shd w:val="clear" w:color="auto" w:fill="auto"/>
            <w:noWrap/>
            <w:vAlign w:val="center"/>
            <w:hideMark/>
          </w:tcPr>
          <w:p w14:paraId="7265E2AC"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            (26.263.300)</w:t>
            </w:r>
          </w:p>
        </w:tc>
        <w:tc>
          <w:tcPr>
            <w:tcW w:w="1237" w:type="dxa"/>
            <w:tcBorders>
              <w:top w:val="nil"/>
              <w:left w:val="nil"/>
              <w:bottom w:val="nil"/>
              <w:right w:val="nil"/>
            </w:tcBorders>
            <w:shd w:val="clear" w:color="auto" w:fill="auto"/>
            <w:noWrap/>
            <w:vAlign w:val="center"/>
            <w:hideMark/>
          </w:tcPr>
          <w:p w14:paraId="49B5E22F"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         (3.526.617)</w:t>
            </w:r>
          </w:p>
        </w:tc>
        <w:tc>
          <w:tcPr>
            <w:tcW w:w="1167" w:type="dxa"/>
            <w:tcBorders>
              <w:top w:val="nil"/>
              <w:left w:val="nil"/>
              <w:bottom w:val="nil"/>
              <w:right w:val="nil"/>
            </w:tcBorders>
            <w:shd w:val="clear" w:color="auto" w:fill="auto"/>
            <w:noWrap/>
            <w:vAlign w:val="center"/>
            <w:hideMark/>
          </w:tcPr>
          <w:p w14:paraId="61B30F19"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             360.752 </w:t>
            </w:r>
          </w:p>
        </w:tc>
        <w:tc>
          <w:tcPr>
            <w:tcW w:w="1441" w:type="dxa"/>
            <w:tcBorders>
              <w:top w:val="nil"/>
              <w:left w:val="nil"/>
              <w:bottom w:val="nil"/>
              <w:right w:val="nil"/>
            </w:tcBorders>
            <w:shd w:val="clear" w:color="auto" w:fill="auto"/>
            <w:noWrap/>
            <w:vAlign w:val="center"/>
            <w:hideMark/>
          </w:tcPr>
          <w:p w14:paraId="2D570CBF"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                                0   </w:t>
            </w:r>
          </w:p>
        </w:tc>
        <w:tc>
          <w:tcPr>
            <w:tcW w:w="1522" w:type="dxa"/>
            <w:tcBorders>
              <w:top w:val="nil"/>
              <w:left w:val="nil"/>
              <w:bottom w:val="nil"/>
              <w:right w:val="nil"/>
            </w:tcBorders>
            <w:shd w:val="clear" w:color="auto" w:fill="auto"/>
            <w:noWrap/>
            <w:vAlign w:val="center"/>
            <w:hideMark/>
          </w:tcPr>
          <w:p w14:paraId="7F90CCFB"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             (29.429.165)</w:t>
            </w:r>
          </w:p>
        </w:tc>
        <w:tc>
          <w:tcPr>
            <w:tcW w:w="700" w:type="dxa"/>
            <w:tcBorders>
              <w:top w:val="nil"/>
              <w:left w:val="nil"/>
              <w:bottom w:val="nil"/>
              <w:right w:val="nil"/>
            </w:tcBorders>
            <w:shd w:val="clear" w:color="auto" w:fill="auto"/>
            <w:noWrap/>
            <w:vAlign w:val="center"/>
            <w:hideMark/>
          </w:tcPr>
          <w:p w14:paraId="7114B1F7" w14:textId="77777777" w:rsidR="0013173C" w:rsidRPr="00252D7B" w:rsidRDefault="0013173C" w:rsidP="00F6584E">
            <w:pPr>
              <w:spacing w:after="120"/>
              <w:jc w:val="right"/>
              <w:rPr>
                <w:rFonts w:asciiTheme="minorHAnsi" w:hAnsiTheme="minorHAnsi" w:cstheme="minorHAnsi"/>
                <w:b/>
                <w:bCs/>
                <w:color w:val="000000"/>
                <w:sz w:val="15"/>
                <w:szCs w:val="15"/>
              </w:rPr>
            </w:pPr>
          </w:p>
        </w:tc>
      </w:tr>
      <w:tr w:rsidR="0013173C" w:rsidRPr="00252D7B" w14:paraId="1B26A5C4" w14:textId="77777777" w:rsidTr="00F6584E">
        <w:trPr>
          <w:trHeight w:val="300"/>
        </w:trPr>
        <w:tc>
          <w:tcPr>
            <w:tcW w:w="3261" w:type="dxa"/>
            <w:tcBorders>
              <w:top w:val="nil"/>
              <w:left w:val="nil"/>
              <w:bottom w:val="nil"/>
              <w:right w:val="nil"/>
            </w:tcBorders>
            <w:shd w:val="clear" w:color="auto" w:fill="auto"/>
            <w:noWrap/>
            <w:vAlign w:val="center"/>
            <w:hideMark/>
          </w:tcPr>
          <w:p w14:paraId="069A3F82" w14:textId="77777777" w:rsidR="0013173C" w:rsidRPr="00252D7B" w:rsidRDefault="0013173C" w:rsidP="00F6584E">
            <w:pPr>
              <w:spacing w:after="120"/>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Depreciação de Bens Imóveis </w:t>
            </w:r>
          </w:p>
        </w:tc>
        <w:tc>
          <w:tcPr>
            <w:tcW w:w="1418" w:type="dxa"/>
            <w:tcBorders>
              <w:top w:val="nil"/>
              <w:left w:val="nil"/>
              <w:bottom w:val="nil"/>
              <w:right w:val="nil"/>
            </w:tcBorders>
            <w:shd w:val="clear" w:color="auto" w:fill="auto"/>
            <w:noWrap/>
            <w:vAlign w:val="center"/>
            <w:hideMark/>
          </w:tcPr>
          <w:p w14:paraId="66830E54"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         (923.170.235)</w:t>
            </w:r>
          </w:p>
        </w:tc>
        <w:tc>
          <w:tcPr>
            <w:tcW w:w="1237" w:type="dxa"/>
            <w:tcBorders>
              <w:top w:val="nil"/>
              <w:left w:val="nil"/>
              <w:bottom w:val="nil"/>
              <w:right w:val="nil"/>
            </w:tcBorders>
            <w:shd w:val="clear" w:color="auto" w:fill="auto"/>
            <w:noWrap/>
            <w:vAlign w:val="center"/>
            <w:hideMark/>
          </w:tcPr>
          <w:p w14:paraId="4CC99DE2"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            (639.227)</w:t>
            </w:r>
          </w:p>
        </w:tc>
        <w:tc>
          <w:tcPr>
            <w:tcW w:w="1167" w:type="dxa"/>
            <w:tcBorders>
              <w:top w:val="nil"/>
              <w:left w:val="nil"/>
              <w:bottom w:val="nil"/>
              <w:right w:val="nil"/>
            </w:tcBorders>
            <w:shd w:val="clear" w:color="auto" w:fill="auto"/>
            <w:noWrap/>
            <w:vAlign w:val="center"/>
            <w:hideMark/>
          </w:tcPr>
          <w:p w14:paraId="6DBABA1F"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         3.797.957 </w:t>
            </w:r>
          </w:p>
        </w:tc>
        <w:tc>
          <w:tcPr>
            <w:tcW w:w="1441" w:type="dxa"/>
            <w:tcBorders>
              <w:top w:val="nil"/>
              <w:left w:val="nil"/>
              <w:bottom w:val="nil"/>
              <w:right w:val="nil"/>
            </w:tcBorders>
            <w:shd w:val="clear" w:color="auto" w:fill="auto"/>
            <w:noWrap/>
            <w:vAlign w:val="center"/>
            <w:hideMark/>
          </w:tcPr>
          <w:p w14:paraId="2F831AFE"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                                0   </w:t>
            </w:r>
          </w:p>
        </w:tc>
        <w:tc>
          <w:tcPr>
            <w:tcW w:w="1522" w:type="dxa"/>
            <w:tcBorders>
              <w:top w:val="nil"/>
              <w:left w:val="nil"/>
              <w:bottom w:val="nil"/>
              <w:right w:val="nil"/>
            </w:tcBorders>
            <w:shd w:val="clear" w:color="auto" w:fill="auto"/>
            <w:noWrap/>
            <w:vAlign w:val="center"/>
            <w:hideMark/>
          </w:tcPr>
          <w:p w14:paraId="53AF531F"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          (920.011.505)</w:t>
            </w:r>
          </w:p>
        </w:tc>
        <w:tc>
          <w:tcPr>
            <w:tcW w:w="700" w:type="dxa"/>
            <w:tcBorders>
              <w:top w:val="nil"/>
              <w:left w:val="nil"/>
              <w:bottom w:val="nil"/>
              <w:right w:val="nil"/>
            </w:tcBorders>
            <w:shd w:val="clear" w:color="auto" w:fill="auto"/>
            <w:noWrap/>
            <w:vAlign w:val="center"/>
            <w:hideMark/>
          </w:tcPr>
          <w:p w14:paraId="0814A5BB" w14:textId="77777777" w:rsidR="0013173C" w:rsidRPr="00252D7B" w:rsidRDefault="0013173C" w:rsidP="00F6584E">
            <w:pPr>
              <w:spacing w:after="120"/>
              <w:jc w:val="right"/>
              <w:rPr>
                <w:rFonts w:asciiTheme="minorHAnsi" w:hAnsiTheme="minorHAnsi" w:cstheme="minorHAnsi"/>
                <w:b/>
                <w:bCs/>
                <w:color w:val="000000"/>
                <w:sz w:val="15"/>
                <w:szCs w:val="15"/>
              </w:rPr>
            </w:pPr>
          </w:p>
        </w:tc>
      </w:tr>
      <w:tr w:rsidR="0013173C" w:rsidRPr="00252D7B" w14:paraId="3025E0FF" w14:textId="77777777" w:rsidTr="00F6584E">
        <w:trPr>
          <w:trHeight w:val="300"/>
        </w:trPr>
        <w:tc>
          <w:tcPr>
            <w:tcW w:w="3261" w:type="dxa"/>
            <w:tcBorders>
              <w:top w:val="nil"/>
              <w:left w:val="nil"/>
              <w:bottom w:val="nil"/>
              <w:right w:val="nil"/>
            </w:tcBorders>
            <w:shd w:val="clear" w:color="auto" w:fill="auto"/>
            <w:noWrap/>
            <w:vAlign w:val="center"/>
            <w:hideMark/>
          </w:tcPr>
          <w:p w14:paraId="34B217D6"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Salas e Escritórios</w:t>
            </w:r>
          </w:p>
        </w:tc>
        <w:tc>
          <w:tcPr>
            <w:tcW w:w="1418" w:type="dxa"/>
            <w:tcBorders>
              <w:top w:val="nil"/>
              <w:left w:val="nil"/>
              <w:bottom w:val="nil"/>
              <w:right w:val="nil"/>
            </w:tcBorders>
            <w:shd w:val="clear" w:color="auto" w:fill="auto"/>
            <w:noWrap/>
            <w:vAlign w:val="center"/>
            <w:hideMark/>
          </w:tcPr>
          <w:p w14:paraId="2F493918"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(5.680.648)</w:t>
            </w:r>
          </w:p>
        </w:tc>
        <w:tc>
          <w:tcPr>
            <w:tcW w:w="1237" w:type="dxa"/>
            <w:tcBorders>
              <w:top w:val="nil"/>
              <w:left w:val="nil"/>
              <w:bottom w:val="nil"/>
              <w:right w:val="nil"/>
            </w:tcBorders>
            <w:shd w:val="clear" w:color="auto" w:fill="auto"/>
            <w:noWrap/>
            <w:vAlign w:val="center"/>
            <w:hideMark/>
          </w:tcPr>
          <w:p w14:paraId="27202B15"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(277.536)</w:t>
            </w:r>
          </w:p>
        </w:tc>
        <w:tc>
          <w:tcPr>
            <w:tcW w:w="1167" w:type="dxa"/>
            <w:tcBorders>
              <w:top w:val="nil"/>
              <w:left w:val="nil"/>
              <w:bottom w:val="nil"/>
              <w:right w:val="nil"/>
            </w:tcBorders>
            <w:shd w:val="clear" w:color="auto" w:fill="auto"/>
            <w:noWrap/>
            <w:vAlign w:val="center"/>
            <w:hideMark/>
          </w:tcPr>
          <w:p w14:paraId="1821848C"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3.797.957 </w:t>
            </w:r>
          </w:p>
        </w:tc>
        <w:tc>
          <w:tcPr>
            <w:tcW w:w="1441" w:type="dxa"/>
            <w:tcBorders>
              <w:top w:val="nil"/>
              <w:left w:val="nil"/>
              <w:bottom w:val="nil"/>
              <w:right w:val="nil"/>
            </w:tcBorders>
            <w:shd w:val="clear" w:color="auto" w:fill="auto"/>
            <w:noWrap/>
            <w:vAlign w:val="center"/>
            <w:hideMark/>
          </w:tcPr>
          <w:p w14:paraId="58E6A003"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522" w:type="dxa"/>
            <w:tcBorders>
              <w:top w:val="nil"/>
              <w:left w:val="nil"/>
              <w:bottom w:val="nil"/>
              <w:right w:val="nil"/>
            </w:tcBorders>
            <w:shd w:val="clear" w:color="auto" w:fill="auto"/>
            <w:noWrap/>
            <w:vAlign w:val="center"/>
            <w:hideMark/>
          </w:tcPr>
          <w:p w14:paraId="229572ED"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(2.160.227)</w:t>
            </w:r>
          </w:p>
        </w:tc>
        <w:tc>
          <w:tcPr>
            <w:tcW w:w="700" w:type="dxa"/>
            <w:tcBorders>
              <w:top w:val="nil"/>
              <w:left w:val="nil"/>
              <w:bottom w:val="nil"/>
              <w:right w:val="nil"/>
            </w:tcBorders>
            <w:shd w:val="clear" w:color="auto" w:fill="auto"/>
            <w:noWrap/>
            <w:vAlign w:val="center"/>
            <w:hideMark/>
          </w:tcPr>
          <w:p w14:paraId="5A66ADC9" w14:textId="77777777" w:rsidR="0013173C" w:rsidRPr="00252D7B" w:rsidRDefault="0013173C" w:rsidP="00F6584E">
            <w:pPr>
              <w:spacing w:after="120"/>
              <w:jc w:val="right"/>
              <w:rPr>
                <w:rFonts w:asciiTheme="minorHAnsi" w:hAnsiTheme="minorHAnsi" w:cstheme="minorHAnsi"/>
                <w:color w:val="000000"/>
                <w:sz w:val="15"/>
                <w:szCs w:val="15"/>
              </w:rPr>
            </w:pPr>
          </w:p>
        </w:tc>
      </w:tr>
      <w:tr w:rsidR="0013173C" w:rsidRPr="00252D7B" w14:paraId="7EF061AE" w14:textId="77777777" w:rsidTr="00F6584E">
        <w:trPr>
          <w:trHeight w:val="300"/>
        </w:trPr>
        <w:tc>
          <w:tcPr>
            <w:tcW w:w="3261" w:type="dxa"/>
            <w:tcBorders>
              <w:top w:val="nil"/>
              <w:left w:val="nil"/>
              <w:bottom w:val="nil"/>
              <w:right w:val="nil"/>
            </w:tcBorders>
            <w:shd w:val="clear" w:color="auto" w:fill="auto"/>
            <w:noWrap/>
            <w:vAlign w:val="center"/>
            <w:hideMark/>
          </w:tcPr>
          <w:p w14:paraId="38355C78"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FNS - Açailândia/MA - Palmas/TO</w:t>
            </w:r>
          </w:p>
        </w:tc>
        <w:tc>
          <w:tcPr>
            <w:tcW w:w="1418" w:type="dxa"/>
            <w:tcBorders>
              <w:top w:val="nil"/>
              <w:left w:val="nil"/>
              <w:bottom w:val="nil"/>
              <w:right w:val="nil"/>
            </w:tcBorders>
            <w:shd w:val="clear" w:color="auto" w:fill="auto"/>
            <w:noWrap/>
            <w:vAlign w:val="center"/>
            <w:hideMark/>
          </w:tcPr>
          <w:p w14:paraId="72294C85"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(293.414.823)</w:t>
            </w:r>
          </w:p>
        </w:tc>
        <w:tc>
          <w:tcPr>
            <w:tcW w:w="1237" w:type="dxa"/>
            <w:tcBorders>
              <w:top w:val="nil"/>
              <w:left w:val="nil"/>
              <w:bottom w:val="nil"/>
              <w:right w:val="nil"/>
            </w:tcBorders>
            <w:shd w:val="clear" w:color="auto" w:fill="auto"/>
            <w:noWrap/>
            <w:vAlign w:val="center"/>
            <w:hideMark/>
          </w:tcPr>
          <w:p w14:paraId="35697DDB"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167" w:type="dxa"/>
            <w:tcBorders>
              <w:top w:val="nil"/>
              <w:left w:val="nil"/>
              <w:bottom w:val="nil"/>
              <w:right w:val="nil"/>
            </w:tcBorders>
            <w:shd w:val="clear" w:color="auto" w:fill="auto"/>
            <w:noWrap/>
            <w:vAlign w:val="center"/>
            <w:hideMark/>
          </w:tcPr>
          <w:p w14:paraId="2B0E17FF"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441" w:type="dxa"/>
            <w:tcBorders>
              <w:top w:val="nil"/>
              <w:left w:val="nil"/>
              <w:bottom w:val="nil"/>
              <w:right w:val="nil"/>
            </w:tcBorders>
            <w:shd w:val="clear" w:color="auto" w:fill="auto"/>
            <w:noWrap/>
            <w:vAlign w:val="center"/>
            <w:hideMark/>
          </w:tcPr>
          <w:p w14:paraId="56BB5885"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522" w:type="dxa"/>
            <w:tcBorders>
              <w:top w:val="nil"/>
              <w:left w:val="nil"/>
              <w:bottom w:val="nil"/>
              <w:right w:val="nil"/>
            </w:tcBorders>
            <w:shd w:val="clear" w:color="auto" w:fill="auto"/>
            <w:noWrap/>
            <w:vAlign w:val="center"/>
            <w:hideMark/>
          </w:tcPr>
          <w:p w14:paraId="6C3FB9B6"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(293.414.823)</w:t>
            </w:r>
          </w:p>
        </w:tc>
        <w:tc>
          <w:tcPr>
            <w:tcW w:w="700" w:type="dxa"/>
            <w:tcBorders>
              <w:top w:val="nil"/>
              <w:left w:val="nil"/>
              <w:bottom w:val="nil"/>
              <w:right w:val="nil"/>
            </w:tcBorders>
            <w:shd w:val="clear" w:color="auto" w:fill="auto"/>
            <w:noWrap/>
            <w:vAlign w:val="center"/>
            <w:hideMark/>
          </w:tcPr>
          <w:p w14:paraId="63C45B53" w14:textId="77777777" w:rsidR="0013173C" w:rsidRPr="00252D7B" w:rsidRDefault="0013173C" w:rsidP="00F6584E">
            <w:pPr>
              <w:spacing w:after="120"/>
              <w:jc w:val="right"/>
              <w:rPr>
                <w:rFonts w:asciiTheme="minorHAnsi" w:hAnsiTheme="minorHAnsi" w:cstheme="minorHAnsi"/>
                <w:color w:val="000000"/>
                <w:sz w:val="15"/>
                <w:szCs w:val="15"/>
              </w:rPr>
            </w:pPr>
          </w:p>
        </w:tc>
      </w:tr>
      <w:tr w:rsidR="0013173C" w:rsidRPr="00252D7B" w14:paraId="40D8AD06" w14:textId="77777777" w:rsidTr="00F6584E">
        <w:trPr>
          <w:trHeight w:val="300"/>
        </w:trPr>
        <w:tc>
          <w:tcPr>
            <w:tcW w:w="3261" w:type="dxa"/>
            <w:tcBorders>
              <w:top w:val="nil"/>
              <w:left w:val="nil"/>
              <w:bottom w:val="nil"/>
              <w:right w:val="nil"/>
            </w:tcBorders>
            <w:shd w:val="clear" w:color="auto" w:fill="auto"/>
            <w:noWrap/>
            <w:vAlign w:val="center"/>
            <w:hideMark/>
          </w:tcPr>
          <w:p w14:paraId="66E04AF1"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FNS - Porto Nacional/TO - Anápolis/GO</w:t>
            </w:r>
          </w:p>
        </w:tc>
        <w:tc>
          <w:tcPr>
            <w:tcW w:w="1418" w:type="dxa"/>
            <w:tcBorders>
              <w:top w:val="nil"/>
              <w:left w:val="nil"/>
              <w:bottom w:val="nil"/>
              <w:right w:val="nil"/>
            </w:tcBorders>
            <w:shd w:val="clear" w:color="auto" w:fill="auto"/>
            <w:noWrap/>
            <w:vAlign w:val="center"/>
            <w:hideMark/>
          </w:tcPr>
          <w:p w14:paraId="45A7EDC5"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(623.260.959)</w:t>
            </w:r>
          </w:p>
        </w:tc>
        <w:tc>
          <w:tcPr>
            <w:tcW w:w="1237" w:type="dxa"/>
            <w:tcBorders>
              <w:top w:val="nil"/>
              <w:left w:val="nil"/>
              <w:bottom w:val="nil"/>
              <w:right w:val="nil"/>
            </w:tcBorders>
            <w:shd w:val="clear" w:color="auto" w:fill="auto"/>
            <w:noWrap/>
            <w:vAlign w:val="center"/>
            <w:hideMark/>
          </w:tcPr>
          <w:p w14:paraId="56597FD3"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167" w:type="dxa"/>
            <w:tcBorders>
              <w:top w:val="nil"/>
              <w:left w:val="nil"/>
              <w:bottom w:val="nil"/>
              <w:right w:val="nil"/>
            </w:tcBorders>
            <w:shd w:val="clear" w:color="auto" w:fill="auto"/>
            <w:noWrap/>
            <w:vAlign w:val="center"/>
            <w:hideMark/>
          </w:tcPr>
          <w:p w14:paraId="428992A6"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441" w:type="dxa"/>
            <w:tcBorders>
              <w:top w:val="nil"/>
              <w:left w:val="nil"/>
              <w:bottom w:val="nil"/>
              <w:right w:val="nil"/>
            </w:tcBorders>
            <w:shd w:val="clear" w:color="auto" w:fill="auto"/>
            <w:noWrap/>
            <w:vAlign w:val="center"/>
            <w:hideMark/>
          </w:tcPr>
          <w:p w14:paraId="32CBD1B5"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522" w:type="dxa"/>
            <w:tcBorders>
              <w:top w:val="nil"/>
              <w:left w:val="nil"/>
              <w:bottom w:val="nil"/>
              <w:right w:val="nil"/>
            </w:tcBorders>
            <w:shd w:val="clear" w:color="auto" w:fill="auto"/>
            <w:noWrap/>
            <w:vAlign w:val="center"/>
            <w:hideMark/>
          </w:tcPr>
          <w:p w14:paraId="5038D9B4"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(623.260.959)</w:t>
            </w:r>
          </w:p>
        </w:tc>
        <w:tc>
          <w:tcPr>
            <w:tcW w:w="700" w:type="dxa"/>
            <w:tcBorders>
              <w:top w:val="nil"/>
              <w:left w:val="nil"/>
              <w:bottom w:val="nil"/>
              <w:right w:val="nil"/>
            </w:tcBorders>
            <w:shd w:val="clear" w:color="auto" w:fill="auto"/>
            <w:noWrap/>
            <w:vAlign w:val="center"/>
            <w:hideMark/>
          </w:tcPr>
          <w:p w14:paraId="3004BD23" w14:textId="77777777" w:rsidR="0013173C" w:rsidRPr="00252D7B" w:rsidRDefault="0013173C" w:rsidP="00F6584E">
            <w:pPr>
              <w:spacing w:after="120"/>
              <w:jc w:val="right"/>
              <w:rPr>
                <w:rFonts w:asciiTheme="minorHAnsi" w:hAnsiTheme="minorHAnsi" w:cstheme="minorHAnsi"/>
                <w:color w:val="000000"/>
                <w:sz w:val="15"/>
                <w:szCs w:val="15"/>
              </w:rPr>
            </w:pPr>
          </w:p>
        </w:tc>
      </w:tr>
      <w:tr w:rsidR="0013173C" w:rsidRPr="00252D7B" w14:paraId="6C6ADCCA" w14:textId="77777777" w:rsidTr="00F6584E">
        <w:trPr>
          <w:trHeight w:val="300"/>
        </w:trPr>
        <w:tc>
          <w:tcPr>
            <w:tcW w:w="3261" w:type="dxa"/>
            <w:tcBorders>
              <w:top w:val="nil"/>
              <w:left w:val="nil"/>
              <w:bottom w:val="single" w:sz="8" w:space="0" w:color="000000"/>
              <w:right w:val="nil"/>
            </w:tcBorders>
            <w:shd w:val="clear" w:color="auto" w:fill="auto"/>
            <w:vAlign w:val="center"/>
            <w:hideMark/>
          </w:tcPr>
          <w:p w14:paraId="537299B1"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Pátio Porto Franco</w:t>
            </w:r>
          </w:p>
        </w:tc>
        <w:tc>
          <w:tcPr>
            <w:tcW w:w="1418" w:type="dxa"/>
            <w:tcBorders>
              <w:top w:val="nil"/>
              <w:left w:val="nil"/>
              <w:bottom w:val="single" w:sz="8" w:space="0" w:color="000000"/>
              <w:right w:val="nil"/>
            </w:tcBorders>
            <w:shd w:val="clear" w:color="auto" w:fill="auto"/>
            <w:noWrap/>
            <w:vAlign w:val="center"/>
            <w:hideMark/>
          </w:tcPr>
          <w:p w14:paraId="6E7F0552"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(813.805)</w:t>
            </w:r>
          </w:p>
        </w:tc>
        <w:tc>
          <w:tcPr>
            <w:tcW w:w="1237" w:type="dxa"/>
            <w:tcBorders>
              <w:top w:val="nil"/>
              <w:left w:val="nil"/>
              <w:bottom w:val="single" w:sz="8" w:space="0" w:color="000000"/>
              <w:right w:val="nil"/>
            </w:tcBorders>
            <w:shd w:val="clear" w:color="auto" w:fill="auto"/>
            <w:noWrap/>
            <w:vAlign w:val="center"/>
            <w:hideMark/>
          </w:tcPr>
          <w:p w14:paraId="19FC1BD1"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(361.691)</w:t>
            </w:r>
          </w:p>
        </w:tc>
        <w:tc>
          <w:tcPr>
            <w:tcW w:w="1167" w:type="dxa"/>
            <w:tcBorders>
              <w:top w:val="nil"/>
              <w:left w:val="nil"/>
              <w:bottom w:val="single" w:sz="8" w:space="0" w:color="000000"/>
              <w:right w:val="nil"/>
            </w:tcBorders>
            <w:shd w:val="clear" w:color="auto" w:fill="auto"/>
            <w:noWrap/>
            <w:vAlign w:val="center"/>
            <w:hideMark/>
          </w:tcPr>
          <w:p w14:paraId="77C3F2AB"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441" w:type="dxa"/>
            <w:tcBorders>
              <w:top w:val="nil"/>
              <w:left w:val="nil"/>
              <w:bottom w:val="single" w:sz="8" w:space="0" w:color="000000"/>
              <w:right w:val="nil"/>
            </w:tcBorders>
            <w:shd w:val="clear" w:color="auto" w:fill="auto"/>
            <w:noWrap/>
            <w:vAlign w:val="center"/>
            <w:hideMark/>
          </w:tcPr>
          <w:p w14:paraId="334190D8"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522" w:type="dxa"/>
            <w:tcBorders>
              <w:top w:val="nil"/>
              <w:left w:val="nil"/>
              <w:bottom w:val="single" w:sz="8" w:space="0" w:color="auto"/>
              <w:right w:val="nil"/>
            </w:tcBorders>
            <w:shd w:val="clear" w:color="auto" w:fill="auto"/>
            <w:noWrap/>
            <w:vAlign w:val="center"/>
            <w:hideMark/>
          </w:tcPr>
          <w:p w14:paraId="755E78B8"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(1.175.496)</w:t>
            </w:r>
          </w:p>
        </w:tc>
        <w:tc>
          <w:tcPr>
            <w:tcW w:w="700" w:type="dxa"/>
            <w:tcBorders>
              <w:top w:val="nil"/>
              <w:left w:val="nil"/>
              <w:bottom w:val="single" w:sz="8" w:space="0" w:color="000000"/>
              <w:right w:val="nil"/>
            </w:tcBorders>
            <w:shd w:val="clear" w:color="auto" w:fill="auto"/>
            <w:noWrap/>
            <w:vAlign w:val="center"/>
            <w:hideMark/>
          </w:tcPr>
          <w:p w14:paraId="444A2B45"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 </w:t>
            </w:r>
          </w:p>
        </w:tc>
      </w:tr>
      <w:tr w:rsidR="0013173C" w:rsidRPr="00252D7B" w14:paraId="70DF2ADD" w14:textId="77777777" w:rsidTr="00F6584E">
        <w:trPr>
          <w:trHeight w:val="150"/>
        </w:trPr>
        <w:tc>
          <w:tcPr>
            <w:tcW w:w="3261" w:type="dxa"/>
            <w:tcBorders>
              <w:top w:val="nil"/>
              <w:left w:val="nil"/>
              <w:bottom w:val="nil"/>
              <w:right w:val="nil"/>
            </w:tcBorders>
            <w:shd w:val="clear" w:color="auto" w:fill="auto"/>
            <w:vAlign w:val="center"/>
            <w:hideMark/>
          </w:tcPr>
          <w:p w14:paraId="5AA532B5" w14:textId="77777777" w:rsidR="0013173C" w:rsidRPr="00252D7B" w:rsidRDefault="0013173C" w:rsidP="00F6584E">
            <w:pPr>
              <w:spacing w:after="120"/>
              <w:rPr>
                <w:rFonts w:asciiTheme="minorHAnsi" w:hAnsiTheme="minorHAnsi" w:cstheme="minorHAnsi"/>
                <w:color w:val="000000"/>
                <w:sz w:val="15"/>
                <w:szCs w:val="15"/>
              </w:rPr>
            </w:pPr>
          </w:p>
        </w:tc>
        <w:tc>
          <w:tcPr>
            <w:tcW w:w="1418" w:type="dxa"/>
            <w:tcBorders>
              <w:top w:val="nil"/>
              <w:left w:val="nil"/>
              <w:bottom w:val="nil"/>
              <w:right w:val="nil"/>
            </w:tcBorders>
            <w:shd w:val="clear" w:color="auto" w:fill="auto"/>
            <w:noWrap/>
            <w:vAlign w:val="center"/>
            <w:hideMark/>
          </w:tcPr>
          <w:p w14:paraId="0E973761" w14:textId="77777777" w:rsidR="0013173C" w:rsidRPr="00252D7B" w:rsidRDefault="0013173C" w:rsidP="00F6584E">
            <w:pPr>
              <w:spacing w:after="120"/>
              <w:rPr>
                <w:rFonts w:asciiTheme="minorHAnsi" w:hAnsiTheme="minorHAnsi" w:cstheme="minorHAnsi"/>
                <w:sz w:val="15"/>
                <w:szCs w:val="15"/>
              </w:rPr>
            </w:pPr>
          </w:p>
        </w:tc>
        <w:tc>
          <w:tcPr>
            <w:tcW w:w="1237" w:type="dxa"/>
            <w:tcBorders>
              <w:top w:val="nil"/>
              <w:left w:val="nil"/>
              <w:bottom w:val="nil"/>
              <w:right w:val="nil"/>
            </w:tcBorders>
            <w:shd w:val="clear" w:color="auto" w:fill="auto"/>
            <w:noWrap/>
            <w:vAlign w:val="center"/>
            <w:hideMark/>
          </w:tcPr>
          <w:p w14:paraId="5A342DBF" w14:textId="77777777" w:rsidR="0013173C" w:rsidRPr="00252D7B" w:rsidRDefault="0013173C" w:rsidP="00F6584E">
            <w:pPr>
              <w:spacing w:after="120"/>
              <w:jc w:val="right"/>
              <w:rPr>
                <w:rFonts w:asciiTheme="minorHAnsi" w:hAnsiTheme="minorHAnsi" w:cstheme="minorHAnsi"/>
                <w:sz w:val="15"/>
                <w:szCs w:val="15"/>
              </w:rPr>
            </w:pPr>
          </w:p>
        </w:tc>
        <w:tc>
          <w:tcPr>
            <w:tcW w:w="1167" w:type="dxa"/>
            <w:tcBorders>
              <w:top w:val="nil"/>
              <w:left w:val="nil"/>
              <w:bottom w:val="nil"/>
              <w:right w:val="nil"/>
            </w:tcBorders>
            <w:shd w:val="clear" w:color="auto" w:fill="auto"/>
            <w:noWrap/>
            <w:vAlign w:val="center"/>
            <w:hideMark/>
          </w:tcPr>
          <w:p w14:paraId="1ECBEA5B" w14:textId="77777777" w:rsidR="0013173C" w:rsidRPr="00252D7B" w:rsidRDefault="0013173C" w:rsidP="00F6584E">
            <w:pPr>
              <w:spacing w:after="120"/>
              <w:jc w:val="right"/>
              <w:rPr>
                <w:rFonts w:asciiTheme="minorHAnsi" w:hAnsiTheme="minorHAnsi" w:cstheme="minorHAnsi"/>
                <w:sz w:val="15"/>
                <w:szCs w:val="15"/>
              </w:rPr>
            </w:pPr>
          </w:p>
        </w:tc>
        <w:tc>
          <w:tcPr>
            <w:tcW w:w="1441" w:type="dxa"/>
            <w:tcBorders>
              <w:top w:val="nil"/>
              <w:left w:val="nil"/>
              <w:bottom w:val="nil"/>
              <w:right w:val="nil"/>
            </w:tcBorders>
            <w:shd w:val="clear" w:color="auto" w:fill="auto"/>
            <w:noWrap/>
            <w:vAlign w:val="center"/>
            <w:hideMark/>
          </w:tcPr>
          <w:p w14:paraId="0FEA631A" w14:textId="77777777" w:rsidR="0013173C" w:rsidRPr="00252D7B" w:rsidRDefault="0013173C" w:rsidP="00F6584E">
            <w:pPr>
              <w:spacing w:after="120"/>
              <w:jc w:val="right"/>
              <w:rPr>
                <w:rFonts w:asciiTheme="minorHAnsi" w:hAnsiTheme="minorHAnsi" w:cstheme="minorHAnsi"/>
                <w:sz w:val="15"/>
                <w:szCs w:val="15"/>
              </w:rPr>
            </w:pPr>
          </w:p>
        </w:tc>
        <w:tc>
          <w:tcPr>
            <w:tcW w:w="1522" w:type="dxa"/>
            <w:tcBorders>
              <w:top w:val="nil"/>
              <w:left w:val="nil"/>
              <w:bottom w:val="nil"/>
              <w:right w:val="nil"/>
            </w:tcBorders>
            <w:shd w:val="clear" w:color="auto" w:fill="auto"/>
            <w:noWrap/>
            <w:vAlign w:val="center"/>
            <w:hideMark/>
          </w:tcPr>
          <w:p w14:paraId="2DE89F35" w14:textId="77777777" w:rsidR="0013173C" w:rsidRPr="00252D7B" w:rsidRDefault="0013173C" w:rsidP="00F6584E">
            <w:pPr>
              <w:spacing w:after="120"/>
              <w:jc w:val="right"/>
              <w:rPr>
                <w:rFonts w:asciiTheme="minorHAnsi" w:hAnsiTheme="minorHAnsi" w:cstheme="minorHAnsi"/>
                <w:sz w:val="15"/>
                <w:szCs w:val="15"/>
              </w:rPr>
            </w:pPr>
          </w:p>
        </w:tc>
        <w:tc>
          <w:tcPr>
            <w:tcW w:w="700" w:type="dxa"/>
            <w:tcBorders>
              <w:top w:val="nil"/>
              <w:left w:val="nil"/>
              <w:bottom w:val="nil"/>
              <w:right w:val="nil"/>
            </w:tcBorders>
            <w:shd w:val="clear" w:color="auto" w:fill="auto"/>
            <w:noWrap/>
            <w:vAlign w:val="center"/>
            <w:hideMark/>
          </w:tcPr>
          <w:p w14:paraId="50308806" w14:textId="77777777" w:rsidR="0013173C" w:rsidRPr="00252D7B" w:rsidRDefault="0013173C" w:rsidP="00F6584E">
            <w:pPr>
              <w:spacing w:after="120"/>
              <w:jc w:val="right"/>
              <w:rPr>
                <w:rFonts w:asciiTheme="minorHAnsi" w:hAnsiTheme="minorHAnsi" w:cstheme="minorHAnsi"/>
                <w:sz w:val="15"/>
                <w:szCs w:val="15"/>
              </w:rPr>
            </w:pPr>
          </w:p>
        </w:tc>
      </w:tr>
      <w:tr w:rsidR="0013173C" w:rsidRPr="00252D7B" w14:paraId="56B123C2" w14:textId="77777777" w:rsidTr="00F6584E">
        <w:trPr>
          <w:trHeight w:val="315"/>
        </w:trPr>
        <w:tc>
          <w:tcPr>
            <w:tcW w:w="3261" w:type="dxa"/>
            <w:tcBorders>
              <w:top w:val="single" w:sz="8" w:space="0" w:color="auto"/>
              <w:left w:val="nil"/>
              <w:bottom w:val="single" w:sz="8" w:space="0" w:color="auto"/>
              <w:right w:val="nil"/>
            </w:tcBorders>
            <w:shd w:val="clear" w:color="auto" w:fill="auto"/>
            <w:noWrap/>
            <w:vAlign w:val="center"/>
            <w:hideMark/>
          </w:tcPr>
          <w:p w14:paraId="3C7C5493" w14:textId="77777777" w:rsidR="0013173C" w:rsidRPr="00252D7B" w:rsidRDefault="0013173C" w:rsidP="00F6584E">
            <w:pPr>
              <w:spacing w:after="120"/>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Total Líquido (5) =1+ 2+3+4+5</w:t>
            </w:r>
          </w:p>
        </w:tc>
        <w:tc>
          <w:tcPr>
            <w:tcW w:w="1418" w:type="dxa"/>
            <w:tcBorders>
              <w:top w:val="single" w:sz="8" w:space="0" w:color="auto"/>
              <w:left w:val="nil"/>
              <w:bottom w:val="single" w:sz="8" w:space="0" w:color="auto"/>
              <w:right w:val="nil"/>
            </w:tcBorders>
            <w:shd w:val="clear" w:color="auto" w:fill="auto"/>
            <w:noWrap/>
            <w:vAlign w:val="center"/>
            <w:hideMark/>
          </w:tcPr>
          <w:p w14:paraId="08C561A6"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      2.615.171.593 </w:t>
            </w:r>
          </w:p>
        </w:tc>
        <w:tc>
          <w:tcPr>
            <w:tcW w:w="1237" w:type="dxa"/>
            <w:tcBorders>
              <w:top w:val="single" w:sz="8" w:space="0" w:color="auto"/>
              <w:left w:val="nil"/>
              <w:bottom w:val="single" w:sz="8" w:space="0" w:color="auto"/>
              <w:right w:val="nil"/>
            </w:tcBorders>
            <w:shd w:val="clear" w:color="auto" w:fill="auto"/>
            <w:noWrap/>
            <w:vAlign w:val="center"/>
            <w:hideMark/>
          </w:tcPr>
          <w:p w14:paraId="173FD368"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     627.673.140 </w:t>
            </w:r>
          </w:p>
        </w:tc>
        <w:tc>
          <w:tcPr>
            <w:tcW w:w="1167" w:type="dxa"/>
            <w:tcBorders>
              <w:top w:val="single" w:sz="8" w:space="0" w:color="auto"/>
              <w:left w:val="nil"/>
              <w:bottom w:val="single" w:sz="8" w:space="0" w:color="auto"/>
              <w:right w:val="nil"/>
            </w:tcBorders>
            <w:shd w:val="clear" w:color="auto" w:fill="auto"/>
            <w:noWrap/>
            <w:vAlign w:val="center"/>
            <w:hideMark/>
          </w:tcPr>
          <w:p w14:paraId="069DF5CE"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      20.410.831 </w:t>
            </w:r>
          </w:p>
        </w:tc>
        <w:tc>
          <w:tcPr>
            <w:tcW w:w="1441" w:type="dxa"/>
            <w:tcBorders>
              <w:top w:val="single" w:sz="8" w:space="0" w:color="auto"/>
              <w:left w:val="nil"/>
              <w:bottom w:val="single" w:sz="8" w:space="0" w:color="auto"/>
              <w:right w:val="nil"/>
            </w:tcBorders>
            <w:shd w:val="clear" w:color="auto" w:fill="auto"/>
            <w:noWrap/>
            <w:vAlign w:val="center"/>
            <w:hideMark/>
          </w:tcPr>
          <w:p w14:paraId="74EB9C13"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                             (0)</w:t>
            </w:r>
          </w:p>
        </w:tc>
        <w:tc>
          <w:tcPr>
            <w:tcW w:w="1522" w:type="dxa"/>
            <w:tcBorders>
              <w:top w:val="single" w:sz="8" w:space="0" w:color="auto"/>
              <w:left w:val="nil"/>
              <w:bottom w:val="single" w:sz="8" w:space="0" w:color="auto"/>
              <w:right w:val="nil"/>
            </w:tcBorders>
            <w:shd w:val="clear" w:color="auto" w:fill="auto"/>
            <w:noWrap/>
            <w:vAlign w:val="center"/>
            <w:hideMark/>
          </w:tcPr>
          <w:p w14:paraId="0DCF869B"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        3.263.255.564 </w:t>
            </w:r>
          </w:p>
        </w:tc>
        <w:tc>
          <w:tcPr>
            <w:tcW w:w="700" w:type="dxa"/>
            <w:tcBorders>
              <w:top w:val="single" w:sz="8" w:space="0" w:color="auto"/>
              <w:left w:val="nil"/>
              <w:bottom w:val="single" w:sz="8" w:space="0" w:color="auto"/>
              <w:right w:val="nil"/>
            </w:tcBorders>
            <w:shd w:val="clear" w:color="auto" w:fill="auto"/>
            <w:noWrap/>
            <w:vAlign w:val="center"/>
            <w:hideMark/>
          </w:tcPr>
          <w:p w14:paraId="6D6BABF7" w14:textId="77777777" w:rsidR="0013173C" w:rsidRPr="00252D7B" w:rsidRDefault="0013173C" w:rsidP="00F6584E">
            <w:pPr>
              <w:spacing w:after="120"/>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 </w:t>
            </w:r>
          </w:p>
        </w:tc>
      </w:tr>
      <w:tr w:rsidR="0013173C" w:rsidRPr="00252D7B" w14:paraId="211F9E5B" w14:textId="77777777" w:rsidTr="00F6584E">
        <w:trPr>
          <w:trHeight w:val="105"/>
        </w:trPr>
        <w:tc>
          <w:tcPr>
            <w:tcW w:w="3261" w:type="dxa"/>
            <w:tcBorders>
              <w:top w:val="nil"/>
              <w:left w:val="nil"/>
              <w:bottom w:val="nil"/>
              <w:right w:val="nil"/>
            </w:tcBorders>
            <w:shd w:val="clear" w:color="auto" w:fill="auto"/>
            <w:noWrap/>
            <w:vAlign w:val="bottom"/>
            <w:hideMark/>
          </w:tcPr>
          <w:p w14:paraId="64B59B39" w14:textId="77777777" w:rsidR="0013173C" w:rsidRPr="00252D7B" w:rsidRDefault="0013173C" w:rsidP="00F6584E">
            <w:pPr>
              <w:spacing w:after="120"/>
              <w:rPr>
                <w:rFonts w:asciiTheme="minorHAnsi" w:hAnsiTheme="minorHAnsi" w:cstheme="minorHAnsi"/>
                <w:b/>
                <w:bCs/>
                <w:color w:val="000000"/>
                <w:sz w:val="15"/>
                <w:szCs w:val="15"/>
              </w:rPr>
            </w:pPr>
          </w:p>
        </w:tc>
        <w:tc>
          <w:tcPr>
            <w:tcW w:w="1418" w:type="dxa"/>
            <w:tcBorders>
              <w:top w:val="nil"/>
              <w:left w:val="nil"/>
              <w:bottom w:val="nil"/>
              <w:right w:val="nil"/>
            </w:tcBorders>
            <w:shd w:val="clear" w:color="auto" w:fill="auto"/>
            <w:noWrap/>
            <w:vAlign w:val="bottom"/>
            <w:hideMark/>
          </w:tcPr>
          <w:p w14:paraId="2610BA11" w14:textId="77777777" w:rsidR="0013173C" w:rsidRPr="00252D7B" w:rsidRDefault="0013173C" w:rsidP="00F6584E">
            <w:pPr>
              <w:spacing w:after="120"/>
              <w:rPr>
                <w:rFonts w:asciiTheme="minorHAnsi" w:hAnsiTheme="minorHAnsi" w:cstheme="minorHAnsi"/>
                <w:sz w:val="15"/>
                <w:szCs w:val="15"/>
              </w:rPr>
            </w:pPr>
          </w:p>
        </w:tc>
        <w:tc>
          <w:tcPr>
            <w:tcW w:w="1237" w:type="dxa"/>
            <w:tcBorders>
              <w:top w:val="nil"/>
              <w:left w:val="nil"/>
              <w:bottom w:val="nil"/>
              <w:right w:val="nil"/>
            </w:tcBorders>
            <w:shd w:val="clear" w:color="auto" w:fill="auto"/>
            <w:noWrap/>
            <w:vAlign w:val="bottom"/>
            <w:hideMark/>
          </w:tcPr>
          <w:p w14:paraId="6ABEE847" w14:textId="77777777" w:rsidR="0013173C" w:rsidRPr="00252D7B" w:rsidRDefault="0013173C" w:rsidP="00F6584E">
            <w:pPr>
              <w:spacing w:after="120"/>
              <w:rPr>
                <w:rFonts w:asciiTheme="minorHAnsi" w:hAnsiTheme="minorHAnsi" w:cstheme="minorHAnsi"/>
                <w:sz w:val="15"/>
                <w:szCs w:val="15"/>
              </w:rPr>
            </w:pPr>
          </w:p>
        </w:tc>
        <w:tc>
          <w:tcPr>
            <w:tcW w:w="1167" w:type="dxa"/>
            <w:tcBorders>
              <w:top w:val="nil"/>
              <w:left w:val="nil"/>
              <w:bottom w:val="nil"/>
              <w:right w:val="nil"/>
            </w:tcBorders>
            <w:shd w:val="clear" w:color="auto" w:fill="auto"/>
            <w:noWrap/>
            <w:vAlign w:val="bottom"/>
            <w:hideMark/>
          </w:tcPr>
          <w:p w14:paraId="38E1DE49" w14:textId="77777777" w:rsidR="0013173C" w:rsidRPr="00252D7B" w:rsidRDefault="0013173C" w:rsidP="00F6584E">
            <w:pPr>
              <w:spacing w:after="120"/>
              <w:rPr>
                <w:rFonts w:asciiTheme="minorHAnsi" w:hAnsiTheme="minorHAnsi" w:cstheme="minorHAnsi"/>
                <w:sz w:val="15"/>
                <w:szCs w:val="15"/>
              </w:rPr>
            </w:pPr>
          </w:p>
        </w:tc>
        <w:tc>
          <w:tcPr>
            <w:tcW w:w="1441" w:type="dxa"/>
            <w:tcBorders>
              <w:top w:val="nil"/>
              <w:left w:val="nil"/>
              <w:bottom w:val="nil"/>
              <w:right w:val="nil"/>
            </w:tcBorders>
            <w:shd w:val="clear" w:color="auto" w:fill="auto"/>
            <w:noWrap/>
            <w:vAlign w:val="bottom"/>
            <w:hideMark/>
          </w:tcPr>
          <w:p w14:paraId="4C195EFA" w14:textId="77777777" w:rsidR="0013173C" w:rsidRPr="00252D7B" w:rsidRDefault="0013173C" w:rsidP="00F6584E">
            <w:pPr>
              <w:spacing w:after="120"/>
              <w:rPr>
                <w:rFonts w:asciiTheme="minorHAnsi" w:hAnsiTheme="minorHAnsi" w:cstheme="minorHAnsi"/>
                <w:sz w:val="15"/>
                <w:szCs w:val="15"/>
              </w:rPr>
            </w:pPr>
          </w:p>
        </w:tc>
        <w:tc>
          <w:tcPr>
            <w:tcW w:w="1522" w:type="dxa"/>
            <w:tcBorders>
              <w:top w:val="nil"/>
              <w:left w:val="nil"/>
              <w:bottom w:val="nil"/>
              <w:right w:val="nil"/>
            </w:tcBorders>
            <w:shd w:val="clear" w:color="auto" w:fill="auto"/>
            <w:noWrap/>
            <w:vAlign w:val="bottom"/>
            <w:hideMark/>
          </w:tcPr>
          <w:p w14:paraId="045D691A" w14:textId="77777777" w:rsidR="0013173C" w:rsidRPr="00252D7B" w:rsidRDefault="0013173C" w:rsidP="00F6584E">
            <w:pPr>
              <w:spacing w:after="120"/>
              <w:rPr>
                <w:rFonts w:asciiTheme="minorHAnsi" w:hAnsiTheme="minorHAnsi" w:cstheme="minorHAnsi"/>
                <w:sz w:val="15"/>
                <w:szCs w:val="15"/>
              </w:rPr>
            </w:pPr>
          </w:p>
        </w:tc>
        <w:tc>
          <w:tcPr>
            <w:tcW w:w="700" w:type="dxa"/>
            <w:tcBorders>
              <w:top w:val="nil"/>
              <w:left w:val="nil"/>
              <w:bottom w:val="nil"/>
              <w:right w:val="nil"/>
            </w:tcBorders>
            <w:shd w:val="clear" w:color="auto" w:fill="auto"/>
            <w:noWrap/>
            <w:vAlign w:val="bottom"/>
            <w:hideMark/>
          </w:tcPr>
          <w:p w14:paraId="0E95BA7A" w14:textId="77777777" w:rsidR="0013173C" w:rsidRPr="00252D7B" w:rsidRDefault="0013173C" w:rsidP="00F6584E">
            <w:pPr>
              <w:spacing w:after="120"/>
              <w:rPr>
                <w:rFonts w:asciiTheme="minorHAnsi" w:hAnsiTheme="minorHAnsi" w:cstheme="minorHAnsi"/>
                <w:sz w:val="15"/>
                <w:szCs w:val="15"/>
              </w:rPr>
            </w:pPr>
          </w:p>
        </w:tc>
      </w:tr>
      <w:tr w:rsidR="0013173C" w:rsidRPr="00252D7B" w14:paraId="6AA5730A" w14:textId="77777777" w:rsidTr="00F6584E">
        <w:trPr>
          <w:trHeight w:val="465"/>
        </w:trPr>
        <w:tc>
          <w:tcPr>
            <w:tcW w:w="3261" w:type="dxa"/>
            <w:tcBorders>
              <w:top w:val="nil"/>
              <w:left w:val="nil"/>
              <w:bottom w:val="single" w:sz="8" w:space="0" w:color="auto"/>
              <w:right w:val="nil"/>
            </w:tcBorders>
            <w:shd w:val="clear" w:color="auto" w:fill="auto"/>
            <w:vAlign w:val="center"/>
            <w:hideMark/>
          </w:tcPr>
          <w:p w14:paraId="550AE033" w14:textId="77777777" w:rsidR="0013173C" w:rsidRPr="00252D7B" w:rsidRDefault="0013173C" w:rsidP="00F6584E">
            <w:pPr>
              <w:spacing w:after="120"/>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IMOBILIZADO CONSOLIDADO</w:t>
            </w:r>
          </w:p>
        </w:tc>
        <w:tc>
          <w:tcPr>
            <w:tcW w:w="1418" w:type="dxa"/>
            <w:tcBorders>
              <w:top w:val="nil"/>
              <w:left w:val="nil"/>
              <w:bottom w:val="single" w:sz="8" w:space="0" w:color="auto"/>
              <w:right w:val="nil"/>
            </w:tcBorders>
            <w:shd w:val="clear" w:color="auto" w:fill="auto"/>
            <w:vAlign w:val="center"/>
            <w:hideMark/>
          </w:tcPr>
          <w:p w14:paraId="1D47E7E2"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SALDO EM 31/12/2020</w:t>
            </w:r>
          </w:p>
        </w:tc>
        <w:tc>
          <w:tcPr>
            <w:tcW w:w="1237" w:type="dxa"/>
            <w:tcBorders>
              <w:top w:val="nil"/>
              <w:left w:val="nil"/>
              <w:bottom w:val="single" w:sz="8" w:space="0" w:color="auto"/>
              <w:right w:val="nil"/>
            </w:tcBorders>
            <w:shd w:val="clear" w:color="auto" w:fill="auto"/>
            <w:vAlign w:val="center"/>
            <w:hideMark/>
          </w:tcPr>
          <w:p w14:paraId="6A979D65"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ENTRADAS</w:t>
            </w:r>
          </w:p>
        </w:tc>
        <w:tc>
          <w:tcPr>
            <w:tcW w:w="1167" w:type="dxa"/>
            <w:tcBorders>
              <w:top w:val="nil"/>
              <w:left w:val="nil"/>
              <w:bottom w:val="single" w:sz="8" w:space="0" w:color="auto"/>
              <w:right w:val="nil"/>
            </w:tcBorders>
            <w:shd w:val="clear" w:color="auto" w:fill="auto"/>
            <w:vAlign w:val="center"/>
            <w:hideMark/>
          </w:tcPr>
          <w:p w14:paraId="557E12CB"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BAIXAS</w:t>
            </w:r>
          </w:p>
        </w:tc>
        <w:tc>
          <w:tcPr>
            <w:tcW w:w="1441" w:type="dxa"/>
            <w:tcBorders>
              <w:top w:val="nil"/>
              <w:left w:val="nil"/>
              <w:bottom w:val="single" w:sz="8" w:space="0" w:color="auto"/>
              <w:right w:val="nil"/>
            </w:tcBorders>
            <w:shd w:val="clear" w:color="auto" w:fill="auto"/>
            <w:vAlign w:val="center"/>
            <w:hideMark/>
          </w:tcPr>
          <w:p w14:paraId="60A3CD30"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TRANSF.</w:t>
            </w:r>
          </w:p>
        </w:tc>
        <w:tc>
          <w:tcPr>
            <w:tcW w:w="1522" w:type="dxa"/>
            <w:tcBorders>
              <w:top w:val="nil"/>
              <w:left w:val="nil"/>
              <w:bottom w:val="single" w:sz="8" w:space="0" w:color="auto"/>
              <w:right w:val="nil"/>
            </w:tcBorders>
            <w:shd w:val="clear" w:color="auto" w:fill="auto"/>
            <w:vAlign w:val="center"/>
            <w:hideMark/>
          </w:tcPr>
          <w:p w14:paraId="0703834E"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SALDO EM 31/12/2021</w:t>
            </w:r>
          </w:p>
        </w:tc>
        <w:tc>
          <w:tcPr>
            <w:tcW w:w="700" w:type="dxa"/>
            <w:tcBorders>
              <w:top w:val="nil"/>
              <w:left w:val="nil"/>
              <w:bottom w:val="single" w:sz="8" w:space="0" w:color="auto"/>
              <w:right w:val="nil"/>
            </w:tcBorders>
            <w:shd w:val="clear" w:color="auto" w:fill="auto"/>
            <w:vAlign w:val="center"/>
            <w:hideMark/>
          </w:tcPr>
          <w:p w14:paraId="2CD10B26"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w:t>
            </w:r>
          </w:p>
        </w:tc>
      </w:tr>
      <w:tr w:rsidR="0013173C" w:rsidRPr="00252D7B" w14:paraId="61306BE0" w14:textId="77777777" w:rsidTr="00F6584E">
        <w:trPr>
          <w:trHeight w:val="300"/>
        </w:trPr>
        <w:tc>
          <w:tcPr>
            <w:tcW w:w="3261" w:type="dxa"/>
            <w:tcBorders>
              <w:top w:val="nil"/>
              <w:left w:val="nil"/>
              <w:bottom w:val="nil"/>
              <w:right w:val="nil"/>
            </w:tcBorders>
            <w:shd w:val="clear" w:color="auto" w:fill="auto"/>
            <w:noWrap/>
            <w:vAlign w:val="center"/>
            <w:hideMark/>
          </w:tcPr>
          <w:p w14:paraId="683B3659"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Total Bens Móveis (1)</w:t>
            </w:r>
          </w:p>
        </w:tc>
        <w:tc>
          <w:tcPr>
            <w:tcW w:w="1418" w:type="dxa"/>
            <w:tcBorders>
              <w:top w:val="nil"/>
              <w:left w:val="nil"/>
              <w:bottom w:val="nil"/>
              <w:right w:val="nil"/>
            </w:tcBorders>
            <w:shd w:val="clear" w:color="auto" w:fill="auto"/>
            <w:noWrap/>
            <w:vAlign w:val="center"/>
            <w:hideMark/>
          </w:tcPr>
          <w:p w14:paraId="42A0EDDE"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36.933.334 </w:t>
            </w:r>
          </w:p>
        </w:tc>
        <w:tc>
          <w:tcPr>
            <w:tcW w:w="1237" w:type="dxa"/>
            <w:tcBorders>
              <w:top w:val="nil"/>
              <w:left w:val="nil"/>
              <w:bottom w:val="nil"/>
              <w:right w:val="nil"/>
            </w:tcBorders>
            <w:shd w:val="clear" w:color="auto" w:fill="auto"/>
            <w:noWrap/>
            <w:vAlign w:val="center"/>
            <w:hideMark/>
          </w:tcPr>
          <w:p w14:paraId="32D228F4"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1.644.900 </w:t>
            </w:r>
          </w:p>
        </w:tc>
        <w:tc>
          <w:tcPr>
            <w:tcW w:w="1167" w:type="dxa"/>
            <w:tcBorders>
              <w:top w:val="nil"/>
              <w:left w:val="nil"/>
              <w:bottom w:val="nil"/>
              <w:right w:val="nil"/>
            </w:tcBorders>
            <w:shd w:val="clear" w:color="auto" w:fill="auto"/>
            <w:noWrap/>
            <w:vAlign w:val="center"/>
            <w:hideMark/>
          </w:tcPr>
          <w:p w14:paraId="4379E12C"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(412.177)</w:t>
            </w:r>
          </w:p>
        </w:tc>
        <w:tc>
          <w:tcPr>
            <w:tcW w:w="1441" w:type="dxa"/>
            <w:tcBorders>
              <w:top w:val="nil"/>
              <w:left w:val="nil"/>
              <w:bottom w:val="nil"/>
              <w:right w:val="nil"/>
            </w:tcBorders>
            <w:shd w:val="clear" w:color="auto" w:fill="auto"/>
            <w:noWrap/>
            <w:vAlign w:val="center"/>
            <w:hideMark/>
          </w:tcPr>
          <w:p w14:paraId="35C0283B"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560.169 </w:t>
            </w:r>
          </w:p>
        </w:tc>
        <w:tc>
          <w:tcPr>
            <w:tcW w:w="1522" w:type="dxa"/>
            <w:tcBorders>
              <w:top w:val="nil"/>
              <w:left w:val="nil"/>
              <w:bottom w:val="nil"/>
              <w:right w:val="nil"/>
            </w:tcBorders>
            <w:shd w:val="clear" w:color="auto" w:fill="auto"/>
            <w:noWrap/>
            <w:vAlign w:val="center"/>
            <w:hideMark/>
          </w:tcPr>
          <w:p w14:paraId="27D431B5"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38.726.226 </w:t>
            </w:r>
          </w:p>
        </w:tc>
        <w:tc>
          <w:tcPr>
            <w:tcW w:w="700" w:type="dxa"/>
            <w:tcBorders>
              <w:top w:val="nil"/>
              <w:left w:val="nil"/>
              <w:bottom w:val="nil"/>
              <w:right w:val="nil"/>
            </w:tcBorders>
            <w:shd w:val="clear" w:color="auto" w:fill="auto"/>
            <w:noWrap/>
            <w:vAlign w:val="bottom"/>
            <w:hideMark/>
          </w:tcPr>
          <w:p w14:paraId="1283B12B" w14:textId="77777777" w:rsidR="0013173C" w:rsidRPr="00252D7B" w:rsidRDefault="0013173C" w:rsidP="00F6584E">
            <w:pPr>
              <w:spacing w:after="120"/>
              <w:jc w:val="right"/>
              <w:rPr>
                <w:rFonts w:asciiTheme="minorHAnsi" w:hAnsiTheme="minorHAnsi" w:cstheme="minorHAnsi"/>
                <w:color w:val="000000"/>
                <w:sz w:val="15"/>
                <w:szCs w:val="15"/>
              </w:rPr>
            </w:pPr>
          </w:p>
        </w:tc>
      </w:tr>
      <w:tr w:rsidR="0013173C" w:rsidRPr="00252D7B" w14:paraId="27A086D2" w14:textId="77777777" w:rsidTr="00F6584E">
        <w:trPr>
          <w:trHeight w:val="300"/>
        </w:trPr>
        <w:tc>
          <w:tcPr>
            <w:tcW w:w="3261" w:type="dxa"/>
            <w:tcBorders>
              <w:top w:val="nil"/>
              <w:left w:val="nil"/>
              <w:bottom w:val="nil"/>
              <w:right w:val="nil"/>
            </w:tcBorders>
            <w:shd w:val="clear" w:color="auto" w:fill="auto"/>
            <w:noWrap/>
            <w:vAlign w:val="center"/>
            <w:hideMark/>
          </w:tcPr>
          <w:p w14:paraId="19A7657E"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Total Bens Imóveis (2)</w:t>
            </w:r>
          </w:p>
        </w:tc>
        <w:tc>
          <w:tcPr>
            <w:tcW w:w="1418" w:type="dxa"/>
            <w:tcBorders>
              <w:top w:val="nil"/>
              <w:left w:val="nil"/>
              <w:bottom w:val="nil"/>
              <w:right w:val="nil"/>
            </w:tcBorders>
            <w:shd w:val="clear" w:color="auto" w:fill="auto"/>
            <w:noWrap/>
            <w:vAlign w:val="center"/>
            <w:hideMark/>
          </w:tcPr>
          <w:p w14:paraId="45ED4294"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18.128.025.423 </w:t>
            </w:r>
          </w:p>
        </w:tc>
        <w:tc>
          <w:tcPr>
            <w:tcW w:w="1237" w:type="dxa"/>
            <w:tcBorders>
              <w:top w:val="nil"/>
              <w:left w:val="nil"/>
              <w:bottom w:val="nil"/>
              <w:right w:val="nil"/>
            </w:tcBorders>
            <w:shd w:val="clear" w:color="auto" w:fill="auto"/>
            <w:noWrap/>
            <w:vAlign w:val="center"/>
            <w:hideMark/>
          </w:tcPr>
          <w:p w14:paraId="3A1FFD42"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645.228.711 </w:t>
            </w:r>
          </w:p>
        </w:tc>
        <w:tc>
          <w:tcPr>
            <w:tcW w:w="1167" w:type="dxa"/>
            <w:tcBorders>
              <w:top w:val="nil"/>
              <w:left w:val="nil"/>
              <w:bottom w:val="nil"/>
              <w:right w:val="nil"/>
            </w:tcBorders>
            <w:shd w:val="clear" w:color="auto" w:fill="auto"/>
            <w:noWrap/>
            <w:vAlign w:val="center"/>
            <w:hideMark/>
          </w:tcPr>
          <w:p w14:paraId="7843B07A"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(16.561.273)</w:t>
            </w:r>
          </w:p>
        </w:tc>
        <w:tc>
          <w:tcPr>
            <w:tcW w:w="1441" w:type="dxa"/>
            <w:tcBorders>
              <w:top w:val="nil"/>
              <w:left w:val="nil"/>
              <w:bottom w:val="nil"/>
              <w:right w:val="nil"/>
            </w:tcBorders>
            <w:shd w:val="clear" w:color="auto" w:fill="auto"/>
            <w:noWrap/>
            <w:vAlign w:val="center"/>
            <w:hideMark/>
          </w:tcPr>
          <w:p w14:paraId="57D640EA"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(560.169)</w:t>
            </w:r>
          </w:p>
        </w:tc>
        <w:tc>
          <w:tcPr>
            <w:tcW w:w="1522" w:type="dxa"/>
            <w:tcBorders>
              <w:top w:val="nil"/>
              <w:left w:val="nil"/>
              <w:bottom w:val="nil"/>
              <w:right w:val="nil"/>
            </w:tcBorders>
            <w:shd w:val="clear" w:color="auto" w:fill="auto"/>
            <w:noWrap/>
            <w:vAlign w:val="center"/>
            <w:hideMark/>
          </w:tcPr>
          <w:p w14:paraId="51852FF1"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18.756.132.692 </w:t>
            </w:r>
          </w:p>
        </w:tc>
        <w:tc>
          <w:tcPr>
            <w:tcW w:w="700" w:type="dxa"/>
            <w:tcBorders>
              <w:top w:val="nil"/>
              <w:left w:val="nil"/>
              <w:bottom w:val="nil"/>
              <w:right w:val="nil"/>
            </w:tcBorders>
            <w:shd w:val="clear" w:color="auto" w:fill="auto"/>
            <w:noWrap/>
            <w:vAlign w:val="bottom"/>
            <w:hideMark/>
          </w:tcPr>
          <w:p w14:paraId="7D8D0FB5" w14:textId="77777777" w:rsidR="0013173C" w:rsidRPr="00252D7B" w:rsidRDefault="0013173C" w:rsidP="00F6584E">
            <w:pPr>
              <w:spacing w:after="120"/>
              <w:jc w:val="right"/>
              <w:rPr>
                <w:rFonts w:asciiTheme="minorHAnsi" w:hAnsiTheme="minorHAnsi" w:cstheme="minorHAnsi"/>
                <w:color w:val="000000"/>
                <w:sz w:val="15"/>
                <w:szCs w:val="15"/>
              </w:rPr>
            </w:pPr>
          </w:p>
        </w:tc>
      </w:tr>
      <w:tr w:rsidR="0013173C" w:rsidRPr="00252D7B" w14:paraId="36EA26C4" w14:textId="77777777" w:rsidTr="00F6584E">
        <w:trPr>
          <w:trHeight w:val="300"/>
        </w:trPr>
        <w:tc>
          <w:tcPr>
            <w:tcW w:w="3261" w:type="dxa"/>
            <w:tcBorders>
              <w:top w:val="nil"/>
              <w:left w:val="nil"/>
              <w:bottom w:val="nil"/>
              <w:right w:val="nil"/>
            </w:tcBorders>
            <w:shd w:val="clear" w:color="auto" w:fill="auto"/>
            <w:noWrap/>
            <w:vAlign w:val="center"/>
            <w:hideMark/>
          </w:tcPr>
          <w:p w14:paraId="5460E7B3"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(Redução ao Valor Recuperável - FNS) (3)</w:t>
            </w:r>
          </w:p>
        </w:tc>
        <w:tc>
          <w:tcPr>
            <w:tcW w:w="1418" w:type="dxa"/>
            <w:tcBorders>
              <w:top w:val="nil"/>
              <w:left w:val="nil"/>
              <w:bottom w:val="nil"/>
              <w:right w:val="nil"/>
            </w:tcBorders>
            <w:shd w:val="clear" w:color="auto" w:fill="auto"/>
            <w:noWrap/>
            <w:vAlign w:val="center"/>
            <w:hideMark/>
          </w:tcPr>
          <w:p w14:paraId="24A5ADD3"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(11.354.416.372)</w:t>
            </w:r>
          </w:p>
        </w:tc>
        <w:tc>
          <w:tcPr>
            <w:tcW w:w="1237" w:type="dxa"/>
            <w:tcBorders>
              <w:top w:val="nil"/>
              <w:left w:val="nil"/>
              <w:bottom w:val="nil"/>
              <w:right w:val="nil"/>
            </w:tcBorders>
            <w:shd w:val="clear" w:color="auto" w:fill="auto"/>
            <w:noWrap/>
            <w:vAlign w:val="center"/>
            <w:hideMark/>
          </w:tcPr>
          <w:p w14:paraId="030A2B6F"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(15.034.627)</w:t>
            </w:r>
          </w:p>
        </w:tc>
        <w:tc>
          <w:tcPr>
            <w:tcW w:w="1167" w:type="dxa"/>
            <w:tcBorders>
              <w:top w:val="nil"/>
              <w:left w:val="nil"/>
              <w:bottom w:val="nil"/>
              <w:right w:val="nil"/>
            </w:tcBorders>
            <w:shd w:val="clear" w:color="auto" w:fill="auto"/>
            <w:noWrap/>
            <w:vAlign w:val="center"/>
            <w:hideMark/>
          </w:tcPr>
          <w:p w14:paraId="3830E225"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4.809.595 </w:t>
            </w:r>
          </w:p>
        </w:tc>
        <w:tc>
          <w:tcPr>
            <w:tcW w:w="1441" w:type="dxa"/>
            <w:tcBorders>
              <w:top w:val="nil"/>
              <w:left w:val="nil"/>
              <w:bottom w:val="nil"/>
              <w:right w:val="nil"/>
            </w:tcBorders>
            <w:shd w:val="clear" w:color="auto" w:fill="auto"/>
            <w:noWrap/>
            <w:vAlign w:val="center"/>
            <w:hideMark/>
          </w:tcPr>
          <w:p w14:paraId="46606E59"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522" w:type="dxa"/>
            <w:tcBorders>
              <w:top w:val="nil"/>
              <w:left w:val="nil"/>
              <w:bottom w:val="nil"/>
              <w:right w:val="nil"/>
            </w:tcBorders>
            <w:shd w:val="clear" w:color="auto" w:fill="auto"/>
            <w:noWrap/>
            <w:vAlign w:val="center"/>
            <w:hideMark/>
          </w:tcPr>
          <w:p w14:paraId="7C76330E"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(11.364.641.404)</w:t>
            </w:r>
          </w:p>
        </w:tc>
        <w:tc>
          <w:tcPr>
            <w:tcW w:w="700" w:type="dxa"/>
            <w:tcBorders>
              <w:top w:val="nil"/>
              <w:left w:val="nil"/>
              <w:bottom w:val="nil"/>
              <w:right w:val="nil"/>
            </w:tcBorders>
            <w:shd w:val="clear" w:color="auto" w:fill="auto"/>
            <w:noWrap/>
            <w:vAlign w:val="bottom"/>
            <w:hideMark/>
          </w:tcPr>
          <w:p w14:paraId="5D91A169" w14:textId="77777777" w:rsidR="0013173C" w:rsidRPr="00252D7B" w:rsidRDefault="0013173C" w:rsidP="00F6584E">
            <w:pPr>
              <w:spacing w:after="120"/>
              <w:jc w:val="right"/>
              <w:rPr>
                <w:rFonts w:asciiTheme="minorHAnsi" w:hAnsiTheme="minorHAnsi" w:cstheme="minorHAnsi"/>
                <w:color w:val="000000"/>
                <w:sz w:val="15"/>
                <w:szCs w:val="15"/>
              </w:rPr>
            </w:pPr>
          </w:p>
        </w:tc>
      </w:tr>
      <w:tr w:rsidR="0013173C" w:rsidRPr="00252D7B" w14:paraId="113B2352" w14:textId="77777777" w:rsidTr="00F6584E">
        <w:trPr>
          <w:trHeight w:val="300"/>
        </w:trPr>
        <w:tc>
          <w:tcPr>
            <w:tcW w:w="3261" w:type="dxa"/>
            <w:tcBorders>
              <w:top w:val="nil"/>
              <w:left w:val="nil"/>
              <w:bottom w:val="nil"/>
              <w:right w:val="nil"/>
            </w:tcBorders>
            <w:shd w:val="clear" w:color="auto" w:fill="auto"/>
            <w:noWrap/>
            <w:vAlign w:val="center"/>
            <w:hideMark/>
          </w:tcPr>
          <w:p w14:paraId="4FDDFD13"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(Redução ao Valor Recuperável - FIOL I) (4)</w:t>
            </w:r>
          </w:p>
        </w:tc>
        <w:tc>
          <w:tcPr>
            <w:tcW w:w="1418" w:type="dxa"/>
            <w:tcBorders>
              <w:top w:val="nil"/>
              <w:left w:val="nil"/>
              <w:bottom w:val="nil"/>
              <w:right w:val="nil"/>
            </w:tcBorders>
            <w:shd w:val="clear" w:color="auto" w:fill="auto"/>
            <w:noWrap/>
            <w:vAlign w:val="center"/>
            <w:hideMark/>
          </w:tcPr>
          <w:p w14:paraId="1242B3DF"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(3.245.937.256)</w:t>
            </w:r>
          </w:p>
        </w:tc>
        <w:tc>
          <w:tcPr>
            <w:tcW w:w="1237" w:type="dxa"/>
            <w:tcBorders>
              <w:top w:val="nil"/>
              <w:left w:val="nil"/>
              <w:bottom w:val="nil"/>
              <w:right w:val="nil"/>
            </w:tcBorders>
            <w:shd w:val="clear" w:color="auto" w:fill="auto"/>
            <w:noWrap/>
            <w:vAlign w:val="center"/>
            <w:hideMark/>
          </w:tcPr>
          <w:p w14:paraId="23FB300E"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167" w:type="dxa"/>
            <w:tcBorders>
              <w:top w:val="nil"/>
              <w:left w:val="nil"/>
              <w:bottom w:val="nil"/>
              <w:right w:val="nil"/>
            </w:tcBorders>
            <w:shd w:val="clear" w:color="auto" w:fill="auto"/>
            <w:noWrap/>
            <w:vAlign w:val="center"/>
            <w:hideMark/>
          </w:tcPr>
          <w:p w14:paraId="766F4BD8"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28.415.977 </w:t>
            </w:r>
          </w:p>
        </w:tc>
        <w:tc>
          <w:tcPr>
            <w:tcW w:w="1441" w:type="dxa"/>
            <w:tcBorders>
              <w:top w:val="nil"/>
              <w:left w:val="nil"/>
              <w:bottom w:val="nil"/>
              <w:right w:val="nil"/>
            </w:tcBorders>
            <w:shd w:val="clear" w:color="auto" w:fill="auto"/>
            <w:noWrap/>
            <w:vAlign w:val="center"/>
            <w:hideMark/>
          </w:tcPr>
          <w:p w14:paraId="26BD979B"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522" w:type="dxa"/>
            <w:tcBorders>
              <w:top w:val="nil"/>
              <w:left w:val="nil"/>
              <w:bottom w:val="nil"/>
              <w:right w:val="nil"/>
            </w:tcBorders>
            <w:shd w:val="clear" w:color="auto" w:fill="auto"/>
            <w:noWrap/>
            <w:vAlign w:val="center"/>
            <w:hideMark/>
          </w:tcPr>
          <w:p w14:paraId="526DCBC8"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(3.217.521.279)</w:t>
            </w:r>
          </w:p>
        </w:tc>
        <w:tc>
          <w:tcPr>
            <w:tcW w:w="700" w:type="dxa"/>
            <w:tcBorders>
              <w:top w:val="nil"/>
              <w:left w:val="nil"/>
              <w:bottom w:val="nil"/>
              <w:right w:val="nil"/>
            </w:tcBorders>
            <w:shd w:val="clear" w:color="auto" w:fill="auto"/>
            <w:noWrap/>
            <w:vAlign w:val="bottom"/>
            <w:hideMark/>
          </w:tcPr>
          <w:p w14:paraId="592F9384" w14:textId="77777777" w:rsidR="0013173C" w:rsidRPr="00252D7B" w:rsidRDefault="0013173C" w:rsidP="00F6584E">
            <w:pPr>
              <w:spacing w:after="120"/>
              <w:jc w:val="right"/>
              <w:rPr>
                <w:rFonts w:asciiTheme="minorHAnsi" w:hAnsiTheme="minorHAnsi" w:cstheme="minorHAnsi"/>
                <w:color w:val="000000"/>
                <w:sz w:val="15"/>
                <w:szCs w:val="15"/>
              </w:rPr>
            </w:pPr>
          </w:p>
        </w:tc>
      </w:tr>
      <w:tr w:rsidR="0013173C" w:rsidRPr="00252D7B" w14:paraId="74E10742" w14:textId="77777777" w:rsidTr="00F6584E">
        <w:trPr>
          <w:trHeight w:val="315"/>
        </w:trPr>
        <w:tc>
          <w:tcPr>
            <w:tcW w:w="3261" w:type="dxa"/>
            <w:tcBorders>
              <w:top w:val="nil"/>
              <w:left w:val="nil"/>
              <w:bottom w:val="nil"/>
              <w:right w:val="nil"/>
            </w:tcBorders>
            <w:shd w:val="clear" w:color="auto" w:fill="auto"/>
            <w:noWrap/>
            <w:vAlign w:val="center"/>
            <w:hideMark/>
          </w:tcPr>
          <w:p w14:paraId="24C6B7A3"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Depreciação Acumulada (5) </w:t>
            </w:r>
          </w:p>
        </w:tc>
        <w:tc>
          <w:tcPr>
            <w:tcW w:w="1418" w:type="dxa"/>
            <w:tcBorders>
              <w:top w:val="nil"/>
              <w:left w:val="nil"/>
              <w:bottom w:val="nil"/>
              <w:right w:val="nil"/>
            </w:tcBorders>
            <w:shd w:val="clear" w:color="auto" w:fill="auto"/>
            <w:noWrap/>
            <w:vAlign w:val="center"/>
            <w:hideMark/>
          </w:tcPr>
          <w:p w14:paraId="767FC08D"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(949.433.535)</w:t>
            </w:r>
          </w:p>
        </w:tc>
        <w:tc>
          <w:tcPr>
            <w:tcW w:w="1237" w:type="dxa"/>
            <w:tcBorders>
              <w:top w:val="nil"/>
              <w:left w:val="nil"/>
              <w:bottom w:val="nil"/>
              <w:right w:val="nil"/>
            </w:tcBorders>
            <w:shd w:val="clear" w:color="auto" w:fill="auto"/>
            <w:noWrap/>
            <w:vAlign w:val="center"/>
            <w:hideMark/>
          </w:tcPr>
          <w:p w14:paraId="1E0AE759"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(4.165.844)</w:t>
            </w:r>
          </w:p>
        </w:tc>
        <w:tc>
          <w:tcPr>
            <w:tcW w:w="1167" w:type="dxa"/>
            <w:tcBorders>
              <w:top w:val="nil"/>
              <w:left w:val="nil"/>
              <w:bottom w:val="nil"/>
              <w:right w:val="nil"/>
            </w:tcBorders>
            <w:shd w:val="clear" w:color="auto" w:fill="auto"/>
            <w:noWrap/>
            <w:vAlign w:val="center"/>
            <w:hideMark/>
          </w:tcPr>
          <w:p w14:paraId="2359FA34"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4.158.710 </w:t>
            </w:r>
          </w:p>
        </w:tc>
        <w:tc>
          <w:tcPr>
            <w:tcW w:w="1441" w:type="dxa"/>
            <w:tcBorders>
              <w:top w:val="nil"/>
              <w:left w:val="nil"/>
              <w:bottom w:val="nil"/>
              <w:right w:val="nil"/>
            </w:tcBorders>
            <w:shd w:val="clear" w:color="auto" w:fill="auto"/>
            <w:noWrap/>
            <w:vAlign w:val="center"/>
            <w:hideMark/>
          </w:tcPr>
          <w:p w14:paraId="4DE0718F"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0   </w:t>
            </w:r>
          </w:p>
        </w:tc>
        <w:tc>
          <w:tcPr>
            <w:tcW w:w="1522" w:type="dxa"/>
            <w:tcBorders>
              <w:top w:val="nil"/>
              <w:left w:val="nil"/>
              <w:bottom w:val="nil"/>
              <w:right w:val="nil"/>
            </w:tcBorders>
            <w:shd w:val="clear" w:color="auto" w:fill="auto"/>
            <w:noWrap/>
            <w:vAlign w:val="center"/>
            <w:hideMark/>
          </w:tcPr>
          <w:p w14:paraId="36715E88" w14:textId="77777777" w:rsidR="0013173C" w:rsidRPr="00252D7B" w:rsidRDefault="0013173C" w:rsidP="00F6584E">
            <w:pPr>
              <w:spacing w:after="120"/>
              <w:jc w:val="right"/>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(949.440.669)</w:t>
            </w:r>
          </w:p>
        </w:tc>
        <w:tc>
          <w:tcPr>
            <w:tcW w:w="700" w:type="dxa"/>
            <w:tcBorders>
              <w:top w:val="nil"/>
              <w:left w:val="nil"/>
              <w:bottom w:val="nil"/>
              <w:right w:val="nil"/>
            </w:tcBorders>
            <w:shd w:val="clear" w:color="auto" w:fill="auto"/>
            <w:noWrap/>
            <w:vAlign w:val="center"/>
            <w:hideMark/>
          </w:tcPr>
          <w:p w14:paraId="36444A3E" w14:textId="77777777" w:rsidR="0013173C" w:rsidRPr="00252D7B" w:rsidRDefault="0013173C" w:rsidP="00F6584E">
            <w:pPr>
              <w:spacing w:after="120"/>
              <w:rPr>
                <w:rFonts w:asciiTheme="minorHAnsi" w:hAnsiTheme="minorHAnsi" w:cstheme="minorHAnsi"/>
                <w:color w:val="000000"/>
                <w:sz w:val="15"/>
                <w:szCs w:val="15"/>
              </w:rPr>
            </w:pPr>
            <w:r w:rsidRPr="00252D7B">
              <w:rPr>
                <w:rFonts w:asciiTheme="minorHAnsi" w:hAnsiTheme="minorHAnsi" w:cstheme="minorHAnsi"/>
                <w:color w:val="000000"/>
                <w:sz w:val="15"/>
                <w:szCs w:val="15"/>
              </w:rPr>
              <w:t xml:space="preserve"> </w:t>
            </w:r>
          </w:p>
        </w:tc>
      </w:tr>
      <w:tr w:rsidR="0013173C" w:rsidRPr="00252D7B" w14:paraId="0C5B70DB" w14:textId="77777777" w:rsidTr="00F6584E">
        <w:trPr>
          <w:trHeight w:val="315"/>
        </w:trPr>
        <w:tc>
          <w:tcPr>
            <w:tcW w:w="3261" w:type="dxa"/>
            <w:tcBorders>
              <w:top w:val="single" w:sz="8" w:space="0" w:color="auto"/>
              <w:left w:val="nil"/>
              <w:bottom w:val="single" w:sz="8" w:space="0" w:color="auto"/>
              <w:right w:val="nil"/>
            </w:tcBorders>
            <w:shd w:val="clear" w:color="auto" w:fill="auto"/>
            <w:noWrap/>
            <w:vAlign w:val="center"/>
            <w:hideMark/>
          </w:tcPr>
          <w:p w14:paraId="77E06DE7" w14:textId="77777777" w:rsidR="0013173C" w:rsidRPr="00252D7B" w:rsidRDefault="0013173C" w:rsidP="00F6584E">
            <w:pPr>
              <w:spacing w:after="120"/>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TOTAL DO IMOBILIZADO </w:t>
            </w:r>
          </w:p>
        </w:tc>
        <w:tc>
          <w:tcPr>
            <w:tcW w:w="1418" w:type="dxa"/>
            <w:tcBorders>
              <w:top w:val="single" w:sz="8" w:space="0" w:color="auto"/>
              <w:left w:val="nil"/>
              <w:bottom w:val="single" w:sz="8" w:space="0" w:color="auto"/>
              <w:right w:val="nil"/>
            </w:tcBorders>
            <w:shd w:val="clear" w:color="auto" w:fill="auto"/>
            <w:noWrap/>
            <w:vAlign w:val="center"/>
            <w:hideMark/>
          </w:tcPr>
          <w:p w14:paraId="77E52BBA"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      2.615.171.593 </w:t>
            </w:r>
          </w:p>
        </w:tc>
        <w:tc>
          <w:tcPr>
            <w:tcW w:w="1237" w:type="dxa"/>
            <w:tcBorders>
              <w:top w:val="single" w:sz="8" w:space="0" w:color="auto"/>
              <w:left w:val="nil"/>
              <w:bottom w:val="single" w:sz="8" w:space="0" w:color="auto"/>
              <w:right w:val="nil"/>
            </w:tcBorders>
            <w:shd w:val="clear" w:color="auto" w:fill="auto"/>
            <w:noWrap/>
            <w:vAlign w:val="center"/>
            <w:hideMark/>
          </w:tcPr>
          <w:p w14:paraId="2DCB85AB"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     627.673.140 </w:t>
            </w:r>
          </w:p>
        </w:tc>
        <w:tc>
          <w:tcPr>
            <w:tcW w:w="1167" w:type="dxa"/>
            <w:tcBorders>
              <w:top w:val="single" w:sz="8" w:space="0" w:color="auto"/>
              <w:left w:val="nil"/>
              <w:bottom w:val="single" w:sz="8" w:space="0" w:color="auto"/>
              <w:right w:val="nil"/>
            </w:tcBorders>
            <w:shd w:val="clear" w:color="auto" w:fill="auto"/>
            <w:noWrap/>
            <w:vAlign w:val="center"/>
            <w:hideMark/>
          </w:tcPr>
          <w:p w14:paraId="73D3B7C7"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      20.410.831 </w:t>
            </w:r>
          </w:p>
        </w:tc>
        <w:tc>
          <w:tcPr>
            <w:tcW w:w="1441" w:type="dxa"/>
            <w:tcBorders>
              <w:top w:val="single" w:sz="8" w:space="0" w:color="auto"/>
              <w:left w:val="nil"/>
              <w:bottom w:val="single" w:sz="8" w:space="0" w:color="auto"/>
              <w:right w:val="nil"/>
            </w:tcBorders>
            <w:shd w:val="clear" w:color="auto" w:fill="auto"/>
            <w:noWrap/>
            <w:vAlign w:val="center"/>
            <w:hideMark/>
          </w:tcPr>
          <w:p w14:paraId="1C3E3226" w14:textId="77777777" w:rsidR="0013173C" w:rsidRPr="00252D7B" w:rsidRDefault="0013173C" w:rsidP="00F6584E">
            <w:pPr>
              <w:spacing w:after="120"/>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                              (0)</w:t>
            </w:r>
          </w:p>
        </w:tc>
        <w:tc>
          <w:tcPr>
            <w:tcW w:w="1522" w:type="dxa"/>
            <w:tcBorders>
              <w:top w:val="single" w:sz="8" w:space="0" w:color="auto"/>
              <w:left w:val="nil"/>
              <w:bottom w:val="single" w:sz="8" w:space="0" w:color="auto"/>
              <w:right w:val="nil"/>
            </w:tcBorders>
            <w:shd w:val="clear" w:color="auto" w:fill="auto"/>
            <w:noWrap/>
            <w:vAlign w:val="center"/>
            <w:hideMark/>
          </w:tcPr>
          <w:p w14:paraId="1916A22A"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xml:space="preserve">        3.263.255.564 </w:t>
            </w:r>
          </w:p>
        </w:tc>
        <w:tc>
          <w:tcPr>
            <w:tcW w:w="700" w:type="dxa"/>
            <w:tcBorders>
              <w:top w:val="single" w:sz="8" w:space="0" w:color="auto"/>
              <w:left w:val="nil"/>
              <w:bottom w:val="single" w:sz="8" w:space="0" w:color="auto"/>
              <w:right w:val="nil"/>
            </w:tcBorders>
            <w:shd w:val="clear" w:color="auto" w:fill="auto"/>
            <w:noWrap/>
            <w:vAlign w:val="center"/>
            <w:hideMark/>
          </w:tcPr>
          <w:p w14:paraId="1457EE3E" w14:textId="77777777" w:rsidR="0013173C" w:rsidRPr="00252D7B" w:rsidRDefault="0013173C" w:rsidP="00F6584E">
            <w:pPr>
              <w:spacing w:after="120"/>
              <w:jc w:val="right"/>
              <w:rPr>
                <w:rFonts w:asciiTheme="minorHAnsi" w:hAnsiTheme="minorHAnsi" w:cstheme="minorHAnsi"/>
                <w:b/>
                <w:bCs/>
                <w:color w:val="000000"/>
                <w:sz w:val="15"/>
                <w:szCs w:val="15"/>
              </w:rPr>
            </w:pPr>
            <w:r w:rsidRPr="00252D7B">
              <w:rPr>
                <w:rFonts w:asciiTheme="minorHAnsi" w:hAnsiTheme="minorHAnsi" w:cstheme="minorHAnsi"/>
                <w:b/>
                <w:bCs/>
                <w:color w:val="000000"/>
                <w:sz w:val="15"/>
                <w:szCs w:val="15"/>
              </w:rPr>
              <w:t> </w:t>
            </w:r>
          </w:p>
        </w:tc>
      </w:tr>
    </w:tbl>
    <w:p w14:paraId="2B053B1B" w14:textId="77777777" w:rsidR="0013173C" w:rsidRPr="00252D7B" w:rsidRDefault="0013173C" w:rsidP="0013173C">
      <w:pPr>
        <w:widowControl/>
        <w:autoSpaceDE/>
        <w:autoSpaceDN/>
        <w:spacing w:before="120" w:after="120"/>
        <w:ind w:right="57"/>
        <w:jc w:val="both"/>
        <w:rPr>
          <w:rFonts w:asciiTheme="minorHAnsi" w:hAnsiTheme="minorHAnsi" w:cstheme="minorHAnsi"/>
          <w:sz w:val="24"/>
          <w:szCs w:val="24"/>
        </w:rPr>
      </w:pPr>
    </w:p>
    <w:p w14:paraId="02B94178" w14:textId="77777777" w:rsidR="0013173C" w:rsidRPr="00252D7B" w:rsidRDefault="0013173C" w:rsidP="007A141F">
      <w:pPr>
        <w:widowControl/>
        <w:numPr>
          <w:ilvl w:val="0"/>
          <w:numId w:val="7"/>
        </w:numPr>
        <w:autoSpaceDE/>
        <w:autoSpaceDN/>
        <w:spacing w:before="120" w:after="120"/>
        <w:ind w:left="714" w:right="57" w:hanging="357"/>
        <w:jc w:val="both"/>
        <w:rPr>
          <w:rFonts w:asciiTheme="minorHAnsi" w:hAnsiTheme="minorHAnsi" w:cstheme="minorHAnsi"/>
          <w:sz w:val="24"/>
          <w:szCs w:val="24"/>
        </w:rPr>
      </w:pPr>
      <w:r w:rsidRPr="00252D7B">
        <w:rPr>
          <w:rFonts w:asciiTheme="minorHAnsi" w:hAnsiTheme="minorHAnsi" w:cstheme="minorHAnsi"/>
          <w:sz w:val="24"/>
          <w:szCs w:val="24"/>
        </w:rPr>
        <w:t>Os bens corpóreos são reconhecidos pelo registro original do bem. Devido ao desgaste e a obsolescência desses bens ao longo do tempo, exigem-se o reconhecimento da despesa em virtude da depreciação calculada por meio do método linear, em função de taxas estabelecidas e do tempo de vida útil, fixadas por espécies de bens;</w:t>
      </w:r>
    </w:p>
    <w:p w14:paraId="18115716" w14:textId="77777777" w:rsidR="0013173C" w:rsidRPr="00252D7B" w:rsidRDefault="0013173C" w:rsidP="007A141F">
      <w:pPr>
        <w:pStyle w:val="NormalWeb"/>
        <w:numPr>
          <w:ilvl w:val="0"/>
          <w:numId w:val="7"/>
        </w:numPr>
        <w:spacing w:before="120" w:beforeAutospacing="0" w:after="120" w:afterAutospacing="0"/>
        <w:jc w:val="both"/>
        <w:rPr>
          <w:rFonts w:asciiTheme="minorHAnsi" w:hAnsiTheme="minorHAnsi" w:cstheme="minorHAnsi"/>
        </w:rPr>
      </w:pPr>
      <w:r w:rsidRPr="00252D7B">
        <w:rPr>
          <w:rFonts w:asciiTheme="minorHAnsi" w:hAnsiTheme="minorHAnsi" w:cstheme="minorHAnsi"/>
        </w:rPr>
        <w:t>As ferrovias construídas foram depreciadas retroativamente pela tabela fisco até 31 de dezembro de 2016, a partir dessa data foi utilizada a tabela da ANTT, conforme Resolução ANTT N° 4540, de 19 de dezembro de 2014;</w:t>
      </w:r>
    </w:p>
    <w:p w14:paraId="6C46AD33" w14:textId="77777777" w:rsidR="0013173C" w:rsidRPr="00252D7B" w:rsidRDefault="0013173C" w:rsidP="007A141F">
      <w:pPr>
        <w:pStyle w:val="NormalWeb"/>
        <w:numPr>
          <w:ilvl w:val="0"/>
          <w:numId w:val="7"/>
        </w:numPr>
        <w:spacing w:before="120" w:beforeAutospacing="0" w:after="120" w:afterAutospacing="0"/>
        <w:jc w:val="both"/>
        <w:rPr>
          <w:rFonts w:asciiTheme="minorHAnsi" w:hAnsiTheme="minorHAnsi" w:cstheme="minorHAnsi"/>
        </w:rPr>
      </w:pPr>
      <w:r w:rsidRPr="00252D7B">
        <w:rPr>
          <w:rFonts w:asciiTheme="minorHAnsi" w:hAnsiTheme="minorHAnsi" w:cstheme="minorHAnsi"/>
        </w:rPr>
        <w:t>Anualmente, é realizado o inventário dos bens móveis da Valec e verificado in loco as condições de uso dos bens. Os bens que se apresentam como inservíveis são reparados, doados ou baixados do sistema patrimonial bem como da contabilidade;</w:t>
      </w:r>
    </w:p>
    <w:p w14:paraId="6E6F75EF" w14:textId="77777777" w:rsidR="0013173C" w:rsidRPr="00252D7B" w:rsidRDefault="0013173C" w:rsidP="007A141F">
      <w:pPr>
        <w:pStyle w:val="NormalWeb"/>
        <w:numPr>
          <w:ilvl w:val="0"/>
          <w:numId w:val="7"/>
        </w:numPr>
        <w:spacing w:before="120" w:beforeAutospacing="0" w:after="120" w:afterAutospacing="0"/>
        <w:jc w:val="both"/>
        <w:rPr>
          <w:rFonts w:asciiTheme="minorHAnsi" w:hAnsiTheme="minorHAnsi" w:cstheme="minorHAnsi"/>
        </w:rPr>
      </w:pPr>
      <w:r w:rsidRPr="00252D7B">
        <w:rPr>
          <w:rFonts w:asciiTheme="minorHAnsi" w:hAnsiTheme="minorHAnsi" w:cstheme="minorHAnsi"/>
        </w:rPr>
        <w:t>Os Ativos Imobilizados da Valec são registrados em um sistema informatizado que permite controlar sequencialmente os bens móveis, gerando relatórios por localidade ou descrição do bem e são depreciados periodicamente;</w:t>
      </w:r>
    </w:p>
    <w:p w14:paraId="450C4E21" w14:textId="77777777" w:rsidR="0013173C" w:rsidRPr="00252D7B" w:rsidRDefault="0013173C" w:rsidP="007A141F">
      <w:pPr>
        <w:pStyle w:val="NormalWeb"/>
        <w:numPr>
          <w:ilvl w:val="0"/>
          <w:numId w:val="7"/>
        </w:numPr>
        <w:spacing w:before="120" w:beforeAutospacing="0" w:after="120" w:afterAutospacing="0"/>
        <w:jc w:val="both"/>
        <w:rPr>
          <w:rFonts w:asciiTheme="minorHAnsi" w:hAnsiTheme="minorHAnsi" w:cstheme="minorHAnsi"/>
        </w:rPr>
      </w:pPr>
      <w:r w:rsidRPr="00252D7B">
        <w:rPr>
          <w:rFonts w:asciiTheme="minorHAnsi" w:hAnsiTheme="minorHAnsi" w:cstheme="minorHAnsi"/>
        </w:rPr>
        <w:t>No exercício de 2021, foram adquiridos Aparelhos e Equipamentos de Comunicação no valor de R$ 46 mil e R$ 1,61 milhão em Equipamentos de TI e Comunicação;</w:t>
      </w:r>
    </w:p>
    <w:p w14:paraId="041E2F05" w14:textId="77777777" w:rsidR="0013173C" w:rsidRPr="00252D7B" w:rsidRDefault="0013173C" w:rsidP="007A141F">
      <w:pPr>
        <w:pStyle w:val="NormalWeb"/>
        <w:numPr>
          <w:ilvl w:val="0"/>
          <w:numId w:val="7"/>
        </w:numPr>
        <w:spacing w:before="120" w:beforeAutospacing="0" w:after="120" w:afterAutospacing="0"/>
        <w:jc w:val="both"/>
        <w:rPr>
          <w:rFonts w:asciiTheme="minorHAnsi" w:hAnsiTheme="minorHAnsi" w:cstheme="minorHAnsi"/>
        </w:rPr>
      </w:pPr>
      <w:r w:rsidRPr="00252D7B">
        <w:rPr>
          <w:rFonts w:asciiTheme="minorHAnsi" w:hAnsiTheme="minorHAnsi" w:cstheme="minorHAnsi"/>
        </w:rPr>
        <w:t>A provisão para “Redução ao valor Recuperável – Móveis” no valor de R$ 34.974 se refere:</w:t>
      </w:r>
    </w:p>
    <w:p w14:paraId="14FE7CEE" w14:textId="77777777" w:rsidR="0013173C" w:rsidRPr="00252D7B" w:rsidRDefault="0013173C" w:rsidP="007A141F">
      <w:pPr>
        <w:pStyle w:val="NormalWeb"/>
        <w:numPr>
          <w:ilvl w:val="1"/>
          <w:numId w:val="7"/>
        </w:numPr>
        <w:spacing w:before="120" w:beforeAutospacing="0" w:after="120" w:afterAutospacing="0"/>
        <w:jc w:val="both"/>
        <w:rPr>
          <w:rFonts w:asciiTheme="minorHAnsi" w:hAnsiTheme="minorHAnsi" w:cstheme="minorHAnsi"/>
        </w:rPr>
      </w:pPr>
      <w:r w:rsidRPr="00252D7B">
        <w:rPr>
          <w:rFonts w:asciiTheme="minorHAnsi" w:hAnsiTheme="minorHAnsi" w:cstheme="minorHAnsi"/>
        </w:rPr>
        <w:t>Ao valor contábil de 292 bens patrimoniais furtados ou extraviados, mas que se encontram com o processo administrativo de sindicância em andamento, conforme Laudo expedido pela Gerência de Patrimônio em 04 de março de 2021 (Laudo de Avaliação nº 1/2021/GEPAT/SUADM/Valec - referente aos bens móveis em 31 de dezembro de 2019), totalizando R$ 17,09 mil. Ao final da instrução processual, com a devida autorização da Diretoria Executiva, esses bens serão efetivamente baixados do patrimônio da Valec; e</w:t>
      </w:r>
    </w:p>
    <w:p w14:paraId="020B6D16" w14:textId="77777777" w:rsidR="0013173C" w:rsidRPr="00252D7B" w:rsidRDefault="0013173C" w:rsidP="007A141F">
      <w:pPr>
        <w:pStyle w:val="NormalWeb"/>
        <w:numPr>
          <w:ilvl w:val="1"/>
          <w:numId w:val="7"/>
        </w:numPr>
        <w:spacing w:before="120" w:beforeAutospacing="0" w:after="120" w:afterAutospacing="0"/>
        <w:jc w:val="both"/>
        <w:rPr>
          <w:rFonts w:asciiTheme="minorHAnsi" w:hAnsiTheme="minorHAnsi" w:cstheme="minorHAnsi"/>
        </w:rPr>
      </w:pPr>
      <w:r w:rsidRPr="00252D7B">
        <w:rPr>
          <w:rFonts w:asciiTheme="minorHAnsi" w:hAnsiTheme="minorHAnsi" w:cstheme="minorHAnsi"/>
        </w:rPr>
        <w:t>Ao valor contábil de bens móveis que foram doados no exercício de 2021, totalizando R$ 17,88 mil, mas que, por questões de regularização de documentos do recebedor, encontram-se pendentes de assinatura do termo de doação, conforme Processo SEI nº 51402.106738/2021-21.</w:t>
      </w:r>
    </w:p>
    <w:p w14:paraId="0B64A86E" w14:textId="77777777" w:rsidR="0013173C" w:rsidRPr="00252D7B" w:rsidRDefault="0013173C" w:rsidP="007A141F">
      <w:pPr>
        <w:pStyle w:val="NormalWeb"/>
        <w:numPr>
          <w:ilvl w:val="0"/>
          <w:numId w:val="7"/>
        </w:numPr>
        <w:spacing w:before="120" w:beforeAutospacing="0" w:after="120" w:afterAutospacing="0"/>
        <w:jc w:val="both"/>
        <w:rPr>
          <w:rFonts w:asciiTheme="minorHAnsi" w:hAnsiTheme="minorHAnsi" w:cstheme="minorHAnsi"/>
        </w:rPr>
      </w:pPr>
      <w:r w:rsidRPr="00252D7B">
        <w:rPr>
          <w:rFonts w:asciiTheme="minorHAnsi" w:hAnsiTheme="minorHAnsi" w:cstheme="minorHAnsi"/>
        </w:rPr>
        <w:t>A rubrica contábil “Terrenos” é composta pelos custos relacionados aos processos de desapropriação dos respectivos Terrenos. Além do pagamento ao expropriado, mensalmente são realizados pagamentos de custas do processo, taxas cartoriais, entre outros que compõem o Custo do Terreno;</w:t>
      </w:r>
    </w:p>
    <w:p w14:paraId="2F9E49B9" w14:textId="77777777" w:rsidR="0013173C" w:rsidRPr="00252D7B" w:rsidRDefault="0013173C" w:rsidP="007A141F">
      <w:pPr>
        <w:pStyle w:val="NormalWeb"/>
        <w:numPr>
          <w:ilvl w:val="0"/>
          <w:numId w:val="7"/>
        </w:numPr>
        <w:spacing w:before="120" w:beforeAutospacing="0" w:after="120" w:afterAutospacing="0"/>
        <w:jc w:val="both"/>
        <w:rPr>
          <w:rFonts w:asciiTheme="minorHAnsi" w:hAnsiTheme="minorHAnsi" w:cstheme="minorHAnsi"/>
        </w:rPr>
      </w:pPr>
      <w:r w:rsidRPr="00252D7B">
        <w:rPr>
          <w:rFonts w:asciiTheme="minorHAnsi" w:hAnsiTheme="minorHAnsi" w:cstheme="minorHAnsi"/>
        </w:rPr>
        <w:lastRenderedPageBreak/>
        <w:t xml:space="preserve">A rubrica contábil “Estudos e Projetos” é composta pelos custos relacionados ao desenvolvimento </w:t>
      </w:r>
      <w:r w:rsidRPr="00252D7B">
        <w:rPr>
          <w:rFonts w:asciiTheme="minorHAnsi" w:hAnsiTheme="minorHAnsi" w:cstheme="minorHAnsi"/>
          <w:shd w:val="clear" w:color="auto" w:fill="FFFFFF"/>
        </w:rPr>
        <w:t>de estudos e projetos de obras de infraestrutura ferroviária. Os Estudos e Projetos compreendem os Estudos de Viabilidade Técnica, Econômica e Ambiental – EVTEA, o Projeto Básico – PB e o Projeto Executivo – PE;</w:t>
      </w:r>
    </w:p>
    <w:p w14:paraId="667F0CCC" w14:textId="77777777" w:rsidR="0013173C" w:rsidRPr="00252D7B" w:rsidRDefault="0013173C" w:rsidP="007A141F">
      <w:pPr>
        <w:pStyle w:val="NormalWeb"/>
        <w:numPr>
          <w:ilvl w:val="0"/>
          <w:numId w:val="7"/>
        </w:numPr>
        <w:spacing w:before="120" w:beforeAutospacing="0" w:after="120" w:afterAutospacing="0"/>
        <w:jc w:val="both"/>
        <w:rPr>
          <w:rFonts w:asciiTheme="minorHAnsi" w:hAnsiTheme="minorHAnsi" w:cstheme="minorHAnsi"/>
        </w:rPr>
      </w:pPr>
      <w:r w:rsidRPr="00252D7B">
        <w:rPr>
          <w:rFonts w:asciiTheme="minorHAnsi" w:hAnsiTheme="minorHAnsi" w:cstheme="minorHAnsi"/>
        </w:rPr>
        <w:t>A rubrica contábil “Implantação – Ferrovias” é formada pelos custos das obras de construção das ferrovias que ainda se encontram em andamento, após o término das obras e a autorização para tráfego emitida pela ANTT, esses custos são transferidos para a rubrica “Ferrovias Construídas” e a partir de então, a ferrovia passa a sofrer depreciação. Após as subconcessões dos trechos, os ativos subconcedidos são transferidos para a rubrica “Ativos de Concessão”;</w:t>
      </w:r>
    </w:p>
    <w:p w14:paraId="331ACD75" w14:textId="77777777" w:rsidR="0013173C" w:rsidRPr="00252D7B" w:rsidRDefault="0013173C" w:rsidP="007A141F">
      <w:pPr>
        <w:pStyle w:val="NormalWeb"/>
        <w:numPr>
          <w:ilvl w:val="0"/>
          <w:numId w:val="7"/>
        </w:numPr>
        <w:spacing w:before="120" w:beforeAutospacing="0" w:after="120" w:afterAutospacing="0"/>
        <w:jc w:val="both"/>
        <w:rPr>
          <w:rFonts w:asciiTheme="minorHAnsi" w:hAnsiTheme="minorHAnsi" w:cstheme="minorHAnsi"/>
        </w:rPr>
      </w:pPr>
      <w:r w:rsidRPr="00252D7B">
        <w:rPr>
          <w:rFonts w:asciiTheme="minorHAnsi" w:hAnsiTheme="minorHAnsi" w:cstheme="minorHAnsi"/>
        </w:rPr>
        <w:t xml:space="preserve">Um item do ativo imobilizado é baixado quando doado ou quando nenhum benefício econômico futuro for esperado pelo seu uso. Eventual perda resultante da baixa do ativo (representada pelo valor residual do ativo) é incluída no resultado do exercício em que o ativo for baixado. Em 2021 ocorreram as seguintes baixas: </w:t>
      </w:r>
    </w:p>
    <w:p w14:paraId="2648CD7C" w14:textId="77777777" w:rsidR="0013173C" w:rsidRPr="00252D7B" w:rsidRDefault="0013173C" w:rsidP="007A141F">
      <w:pPr>
        <w:pStyle w:val="Corpodetexto"/>
        <w:widowControl/>
        <w:numPr>
          <w:ilvl w:val="1"/>
          <w:numId w:val="7"/>
        </w:numPr>
        <w:autoSpaceDE/>
        <w:autoSpaceDN/>
        <w:spacing w:before="120" w:after="120"/>
        <w:ind w:left="1434" w:right="57" w:hanging="357"/>
        <w:jc w:val="both"/>
        <w:rPr>
          <w:rFonts w:asciiTheme="minorHAnsi" w:hAnsiTheme="minorHAnsi" w:cstheme="minorHAnsi"/>
          <w:sz w:val="24"/>
          <w:szCs w:val="24"/>
        </w:rPr>
      </w:pPr>
      <w:r w:rsidRPr="00252D7B">
        <w:rPr>
          <w:rFonts w:asciiTheme="minorHAnsi" w:hAnsiTheme="minorHAnsi" w:cstheme="minorHAnsi"/>
          <w:sz w:val="24"/>
          <w:szCs w:val="24"/>
        </w:rPr>
        <w:t xml:space="preserve">Baixa de R$ 225 mil na conta Mobiliário em Geral, decorrente da doação dos bens às prefeituras de Brumado/BA, Barra do Rocha/BA e Tanhaçu/BA, conforme Processos nº 51402.106349/2021-03, 51402.106344/2021-72 e 51402.106378/2021-67, respectivamente. Do valor total baixado, R$ 190 mil correspondem à depreciação acumulada dos referidos bens. </w:t>
      </w:r>
    </w:p>
    <w:p w14:paraId="51FFC891" w14:textId="77777777" w:rsidR="0013173C" w:rsidRPr="00252D7B" w:rsidRDefault="0013173C" w:rsidP="007A141F">
      <w:pPr>
        <w:pStyle w:val="Corpodetexto"/>
        <w:widowControl/>
        <w:numPr>
          <w:ilvl w:val="1"/>
          <w:numId w:val="7"/>
        </w:numPr>
        <w:autoSpaceDE/>
        <w:autoSpaceDN/>
        <w:spacing w:before="120" w:after="120"/>
        <w:ind w:left="1434" w:right="57" w:hanging="357"/>
        <w:jc w:val="both"/>
        <w:rPr>
          <w:rFonts w:asciiTheme="minorHAnsi" w:hAnsiTheme="minorHAnsi" w:cstheme="minorHAnsi"/>
          <w:sz w:val="24"/>
          <w:szCs w:val="24"/>
        </w:rPr>
      </w:pPr>
      <w:r w:rsidRPr="00252D7B">
        <w:rPr>
          <w:rFonts w:asciiTheme="minorHAnsi" w:hAnsiTheme="minorHAnsi" w:cstheme="minorHAnsi"/>
          <w:sz w:val="24"/>
          <w:szCs w:val="24"/>
        </w:rPr>
        <w:t>Baixa de R$ 9 mil na conta Equipamentos de TI e Comunicação, devido ao furto de 06 bens patrimoniais conforme Processo 51402.012330/2012-10. Os bens baixados já se encontravam totalmente depreciados.</w:t>
      </w:r>
    </w:p>
    <w:p w14:paraId="5CBE3732" w14:textId="77777777" w:rsidR="0013173C" w:rsidRPr="00252D7B" w:rsidRDefault="0013173C" w:rsidP="007A141F">
      <w:pPr>
        <w:pStyle w:val="Corpodetexto"/>
        <w:widowControl/>
        <w:numPr>
          <w:ilvl w:val="1"/>
          <w:numId w:val="7"/>
        </w:numPr>
        <w:autoSpaceDE/>
        <w:autoSpaceDN/>
        <w:spacing w:before="120" w:after="120"/>
        <w:ind w:right="57"/>
        <w:jc w:val="both"/>
        <w:rPr>
          <w:rFonts w:asciiTheme="minorHAnsi" w:hAnsiTheme="minorHAnsi" w:cstheme="minorHAnsi"/>
          <w:sz w:val="24"/>
          <w:szCs w:val="24"/>
        </w:rPr>
      </w:pPr>
      <w:r w:rsidRPr="00252D7B">
        <w:rPr>
          <w:rFonts w:asciiTheme="minorHAnsi" w:hAnsiTheme="minorHAnsi" w:cstheme="minorHAnsi"/>
          <w:sz w:val="24"/>
          <w:szCs w:val="24"/>
        </w:rPr>
        <w:t>Baixa de R$ 41 mil na conta Equipamentos de TI e Comunicação, decorrente da doação dos bens à prefeitura de Tanhaçu/BA conforme Processo 51402.106378/2021-67. Do valor total baixado, R$ 35 mil correspondem à depreciação acumulada dos referidos bens.</w:t>
      </w:r>
    </w:p>
    <w:p w14:paraId="08584ED0" w14:textId="77777777" w:rsidR="0013173C" w:rsidRPr="00252D7B" w:rsidRDefault="0013173C" w:rsidP="007A141F">
      <w:pPr>
        <w:pStyle w:val="Corpodetexto"/>
        <w:widowControl/>
        <w:numPr>
          <w:ilvl w:val="1"/>
          <w:numId w:val="7"/>
        </w:numPr>
        <w:autoSpaceDE/>
        <w:autoSpaceDN/>
        <w:spacing w:before="120" w:after="120"/>
        <w:ind w:right="57"/>
        <w:jc w:val="both"/>
        <w:rPr>
          <w:rFonts w:asciiTheme="minorHAnsi" w:hAnsiTheme="minorHAnsi" w:cstheme="minorHAnsi"/>
          <w:sz w:val="24"/>
          <w:szCs w:val="24"/>
        </w:rPr>
      </w:pPr>
      <w:r w:rsidRPr="00252D7B">
        <w:rPr>
          <w:rFonts w:asciiTheme="minorHAnsi" w:hAnsiTheme="minorHAnsi" w:cstheme="minorHAnsi"/>
          <w:sz w:val="24"/>
          <w:szCs w:val="24"/>
        </w:rPr>
        <w:t>Baixa de R$ 135 mil na conta Máquinas e Utensílios de Escritório, decorrente da doação dos bens às prefeituras de Brumado/BA, Barra do Rocha/BA e Tanhaçu/BA, conforme Processos nº 51402.106349/2021-03, 51402.106344/2021-72 e 51402.106378/2021-67, respectivamente. Do valor total baixado, R$ 125 mil correspondem à depreciação acumulada dos referidos bens.</w:t>
      </w:r>
    </w:p>
    <w:p w14:paraId="3ED42647" w14:textId="77777777" w:rsidR="0013173C" w:rsidRPr="00252D7B" w:rsidRDefault="0013173C" w:rsidP="007A141F">
      <w:pPr>
        <w:pStyle w:val="Corpodetexto"/>
        <w:widowControl/>
        <w:numPr>
          <w:ilvl w:val="1"/>
          <w:numId w:val="7"/>
        </w:numPr>
        <w:autoSpaceDE/>
        <w:autoSpaceDN/>
        <w:spacing w:before="120" w:after="120"/>
        <w:ind w:right="57"/>
        <w:jc w:val="both"/>
        <w:rPr>
          <w:rFonts w:asciiTheme="minorHAnsi" w:hAnsiTheme="minorHAnsi" w:cstheme="minorHAnsi"/>
          <w:sz w:val="24"/>
          <w:szCs w:val="24"/>
        </w:rPr>
      </w:pPr>
      <w:r w:rsidRPr="00252D7B">
        <w:rPr>
          <w:rFonts w:asciiTheme="minorHAnsi" w:hAnsiTheme="minorHAnsi" w:cstheme="minorHAnsi"/>
          <w:sz w:val="24"/>
          <w:szCs w:val="24"/>
        </w:rPr>
        <w:t>Baixa de 6 bens patrimoniais, localizados no canteiro de obras de Indiara/GO, totalizando o valor de R$ 871 mil na conta de Salas e Escritórios, devido à irrecuperabilidade dos bens conforme Processo 51402.200788/2018-10; do valor total baixado, R$ 828 mil correspondem à depreciação acumulada dos referidos bens;</w:t>
      </w:r>
    </w:p>
    <w:p w14:paraId="6BCD4BC8" w14:textId="77777777" w:rsidR="0013173C" w:rsidRPr="00252D7B" w:rsidRDefault="0013173C" w:rsidP="007A141F">
      <w:pPr>
        <w:pStyle w:val="Corpodetexto"/>
        <w:widowControl/>
        <w:numPr>
          <w:ilvl w:val="1"/>
          <w:numId w:val="7"/>
        </w:numPr>
        <w:autoSpaceDE/>
        <w:autoSpaceDN/>
        <w:spacing w:before="120" w:after="120"/>
        <w:ind w:right="57"/>
        <w:jc w:val="both"/>
        <w:rPr>
          <w:rFonts w:asciiTheme="minorHAnsi" w:hAnsiTheme="minorHAnsi" w:cstheme="minorHAnsi"/>
          <w:sz w:val="24"/>
          <w:szCs w:val="24"/>
        </w:rPr>
      </w:pPr>
      <w:r w:rsidRPr="00252D7B">
        <w:rPr>
          <w:rFonts w:asciiTheme="minorHAnsi" w:hAnsiTheme="minorHAnsi" w:cstheme="minorHAnsi"/>
          <w:sz w:val="24"/>
          <w:szCs w:val="24"/>
        </w:rPr>
        <w:t>Baixa de R$ 3,09 milhões na conta de Salas e Escritórios, devido a irrecuperabilidade dos bens conforme Processo 51402.100475/2021-46. Do valor total baixado, R$ 2,96 milhões correspondem à depreciação acumulada dos referidos bens;</w:t>
      </w:r>
    </w:p>
    <w:p w14:paraId="3DE11744" w14:textId="77777777" w:rsidR="0013173C" w:rsidRPr="00252D7B" w:rsidRDefault="0013173C" w:rsidP="007A141F">
      <w:pPr>
        <w:pStyle w:val="Corpodetexto"/>
        <w:widowControl/>
        <w:numPr>
          <w:ilvl w:val="1"/>
          <w:numId w:val="7"/>
        </w:numPr>
        <w:autoSpaceDE/>
        <w:autoSpaceDN/>
        <w:spacing w:before="120" w:after="120"/>
        <w:ind w:right="57"/>
        <w:jc w:val="both"/>
        <w:rPr>
          <w:rFonts w:asciiTheme="minorHAnsi" w:hAnsiTheme="minorHAnsi" w:cstheme="minorHAnsi"/>
          <w:sz w:val="24"/>
          <w:szCs w:val="24"/>
        </w:rPr>
      </w:pPr>
      <w:r w:rsidRPr="00252D7B">
        <w:rPr>
          <w:rFonts w:asciiTheme="minorHAnsi" w:hAnsiTheme="minorHAnsi" w:cstheme="minorHAnsi"/>
          <w:sz w:val="24"/>
          <w:szCs w:val="24"/>
        </w:rPr>
        <w:t>Baixa de R$ 414 mil na conta Estudos e Projetos devido à baixa de saldo correspondente na Conta de Depósitos Retidos de Fornecedores, tendo em vista os contratos encerrados e não reclamados administrativamente pelos fornecedores.</w:t>
      </w:r>
    </w:p>
    <w:p w14:paraId="7F465CD9" w14:textId="77777777" w:rsidR="0013173C" w:rsidRPr="00252D7B" w:rsidRDefault="0013173C" w:rsidP="007A141F">
      <w:pPr>
        <w:pStyle w:val="Corpodetexto"/>
        <w:widowControl/>
        <w:numPr>
          <w:ilvl w:val="1"/>
          <w:numId w:val="7"/>
        </w:numPr>
        <w:autoSpaceDE/>
        <w:autoSpaceDN/>
        <w:spacing w:before="120" w:after="120"/>
        <w:ind w:left="1434" w:right="57" w:hanging="357"/>
        <w:jc w:val="both"/>
        <w:rPr>
          <w:rFonts w:asciiTheme="minorHAnsi" w:hAnsiTheme="minorHAnsi" w:cstheme="minorHAnsi"/>
          <w:sz w:val="24"/>
          <w:szCs w:val="24"/>
        </w:rPr>
      </w:pPr>
      <w:r w:rsidRPr="00252D7B">
        <w:rPr>
          <w:rFonts w:asciiTheme="minorHAnsi" w:hAnsiTheme="minorHAnsi" w:cstheme="minorHAnsi"/>
          <w:sz w:val="24"/>
          <w:szCs w:val="24"/>
        </w:rPr>
        <w:lastRenderedPageBreak/>
        <w:t xml:space="preserve">Baixa de R$ 163 na conta de Implantação – Ferrovias devido à baixa de saldo correspondente na Conta de Depósitos Retidos de Fornecedores, tendo em vista os contratos encerrados e não reclamados administrativamente pelos fornecedores; </w:t>
      </w:r>
    </w:p>
    <w:p w14:paraId="4964E62B" w14:textId="77777777" w:rsidR="0013173C" w:rsidRPr="00252D7B" w:rsidRDefault="0013173C" w:rsidP="007A141F">
      <w:pPr>
        <w:pStyle w:val="Corpodetexto"/>
        <w:widowControl/>
        <w:numPr>
          <w:ilvl w:val="1"/>
          <w:numId w:val="7"/>
        </w:numPr>
        <w:autoSpaceDE/>
        <w:autoSpaceDN/>
        <w:spacing w:before="120" w:after="120"/>
        <w:ind w:left="1434" w:right="57" w:hanging="357"/>
        <w:jc w:val="both"/>
        <w:rPr>
          <w:rFonts w:asciiTheme="minorHAnsi" w:hAnsiTheme="minorHAnsi" w:cstheme="minorHAnsi"/>
          <w:sz w:val="24"/>
          <w:szCs w:val="24"/>
        </w:rPr>
      </w:pPr>
      <w:r w:rsidRPr="00252D7B">
        <w:rPr>
          <w:rFonts w:asciiTheme="minorHAnsi" w:hAnsiTheme="minorHAnsi" w:cstheme="minorHAnsi"/>
          <w:sz w:val="24"/>
          <w:szCs w:val="24"/>
        </w:rPr>
        <w:t xml:space="preserve">Baixa de R$ 12,18 milhões na conta Ativos de Concessão devido à baixa de saldo correspondente na Conta de Depósitos Retidos de Fornecedores, tendo em vista os contratos encerrados e não reclamados administrativamente pelos fornecedores. O valor citado foi revertido da conta de Redução a Valor Recuperável, considerando que os respectivos saldos estavam provisionados na mencionada conta, sendo R$ 4,8 milhões relativos à FNS e R$ 7,3 milhões relativos à FIOL I.     </w:t>
      </w:r>
    </w:p>
    <w:p w14:paraId="3EDEEAD8" w14:textId="77777777" w:rsidR="0013173C" w:rsidRPr="00252D7B" w:rsidRDefault="0013173C" w:rsidP="007A141F">
      <w:pPr>
        <w:pStyle w:val="Corpodetexto"/>
        <w:widowControl/>
        <w:numPr>
          <w:ilvl w:val="0"/>
          <w:numId w:val="7"/>
        </w:numPr>
        <w:autoSpaceDE/>
        <w:autoSpaceDN/>
        <w:spacing w:before="120" w:after="120"/>
        <w:ind w:right="-142"/>
        <w:jc w:val="both"/>
        <w:rPr>
          <w:rFonts w:asciiTheme="minorHAnsi" w:hAnsiTheme="minorHAnsi" w:cstheme="minorHAnsi"/>
          <w:sz w:val="24"/>
          <w:szCs w:val="24"/>
        </w:rPr>
      </w:pPr>
      <w:r w:rsidRPr="00252D7B">
        <w:rPr>
          <w:rFonts w:asciiTheme="minorHAnsi" w:hAnsiTheme="minorHAnsi" w:cstheme="minorHAnsi"/>
          <w:sz w:val="24"/>
          <w:szCs w:val="24"/>
        </w:rPr>
        <w:t>A coluna “transferências” da Tabela que apresenta o fluxo de movimentação do Imobilizado representa os saldos que são transferidos a outras rubricas do Imobilizado, em geral por motivo de subconcessão de trechos da Ferrovia ou por encerramento dos respectivos contratos. No exercício de 2021 foram realizadas as seguintes transferências entre contas do ativo imobilizado:</w:t>
      </w:r>
    </w:p>
    <w:p w14:paraId="08E4378A" w14:textId="77777777" w:rsidR="0013173C" w:rsidRPr="00252D7B" w:rsidRDefault="0013173C" w:rsidP="007A141F">
      <w:pPr>
        <w:pStyle w:val="Corpodetexto"/>
        <w:widowControl/>
        <w:numPr>
          <w:ilvl w:val="1"/>
          <w:numId w:val="7"/>
        </w:numPr>
        <w:autoSpaceDE/>
        <w:autoSpaceDN/>
        <w:spacing w:before="120" w:after="120"/>
        <w:ind w:right="57"/>
        <w:jc w:val="both"/>
        <w:rPr>
          <w:rFonts w:asciiTheme="minorHAnsi" w:hAnsiTheme="minorHAnsi" w:cstheme="minorHAnsi"/>
          <w:sz w:val="24"/>
          <w:szCs w:val="24"/>
        </w:rPr>
      </w:pPr>
      <w:r w:rsidRPr="00252D7B">
        <w:rPr>
          <w:rFonts w:asciiTheme="minorHAnsi" w:hAnsiTheme="minorHAnsi" w:cstheme="minorHAnsi"/>
          <w:sz w:val="24"/>
          <w:szCs w:val="24"/>
        </w:rPr>
        <w:t>Foi transferido da conta Implantação – Ferrovias o valor de R$ 186,4 mil, sendo R$ 1 mil para a conta Equipamentos de TI e Comunicação, R$ 103,5 mil para a conta Mobiliário em Geral e R$ 81,6 mil para a conta Utensílios de Escritório, devido ao recebimento e tombamento dos referidos bens localizados no canteiro de obras de Jequié/BA. O valor total transferido foi revertido da conta de Redução a Valor Recuperável, considerando que os respectivos saldos estavam provisionados na mencionada conta.</w:t>
      </w:r>
    </w:p>
    <w:p w14:paraId="36335F28" w14:textId="77777777" w:rsidR="0013173C" w:rsidRPr="00252D7B" w:rsidRDefault="0013173C" w:rsidP="007A141F">
      <w:pPr>
        <w:pStyle w:val="Corpodetexto"/>
        <w:widowControl/>
        <w:numPr>
          <w:ilvl w:val="1"/>
          <w:numId w:val="7"/>
        </w:numPr>
        <w:autoSpaceDE/>
        <w:autoSpaceDN/>
        <w:spacing w:before="120" w:after="120"/>
        <w:ind w:right="57"/>
        <w:jc w:val="both"/>
        <w:rPr>
          <w:rFonts w:asciiTheme="minorHAnsi" w:hAnsiTheme="minorHAnsi" w:cstheme="minorHAnsi"/>
          <w:sz w:val="24"/>
          <w:szCs w:val="24"/>
        </w:rPr>
      </w:pPr>
      <w:r w:rsidRPr="00252D7B">
        <w:rPr>
          <w:rFonts w:asciiTheme="minorHAnsi" w:hAnsiTheme="minorHAnsi" w:cstheme="minorHAnsi"/>
          <w:sz w:val="24"/>
          <w:szCs w:val="24"/>
        </w:rPr>
        <w:t>Foi transferido da conta Implantação - Ferrovias o valor de R$ 87,5 mil, sendo R$ 45,8 mil para a conta Utensílios de Escritório e R$ 41,6 para a conta - Mobiliário em Geral, devido ao recebimento e tombamento dos referidos bens localizados no canteiro de obras de Tanhaçu/BA. O valor total transferido foi revertido da conta de Redução a Valor Recuperável, considerando que os respectivos saldos estavam provisionados na mencionada conta.</w:t>
      </w:r>
    </w:p>
    <w:p w14:paraId="6BD659F2" w14:textId="77777777" w:rsidR="0013173C" w:rsidRPr="00252D7B" w:rsidRDefault="0013173C" w:rsidP="007A141F">
      <w:pPr>
        <w:pStyle w:val="Corpodetexto"/>
        <w:widowControl/>
        <w:numPr>
          <w:ilvl w:val="1"/>
          <w:numId w:val="7"/>
        </w:numPr>
        <w:autoSpaceDE/>
        <w:autoSpaceDN/>
        <w:spacing w:before="120" w:after="120"/>
        <w:ind w:right="57"/>
        <w:jc w:val="both"/>
        <w:rPr>
          <w:rFonts w:asciiTheme="minorHAnsi" w:hAnsiTheme="minorHAnsi" w:cstheme="minorHAnsi"/>
          <w:sz w:val="24"/>
          <w:szCs w:val="24"/>
        </w:rPr>
      </w:pPr>
      <w:r w:rsidRPr="00252D7B">
        <w:rPr>
          <w:rFonts w:asciiTheme="minorHAnsi" w:hAnsiTheme="minorHAnsi" w:cstheme="minorHAnsi"/>
          <w:sz w:val="24"/>
          <w:szCs w:val="24"/>
        </w:rPr>
        <w:t>Foi transferido da conta Obras em Andamento o valor de R$ 206 mil, sendo R$ 1,6 mil para a conta Equipamentos de TI e Comunicação, R$ 63 mil para a conta Máquinas e Utensílios de Escritório e R$ 142 mil para a conta - Mobiliário em Geral, devido ao recebimento e tombamento dos referidos bens localizados no canteiro de obras de Guanambi/BA, conforme Processo SEI 101994.</w:t>
      </w:r>
    </w:p>
    <w:p w14:paraId="19457FA5" w14:textId="77777777" w:rsidR="0013173C" w:rsidRPr="00252D7B" w:rsidRDefault="0013173C" w:rsidP="007A141F">
      <w:pPr>
        <w:pStyle w:val="Corpodetexto"/>
        <w:widowControl/>
        <w:numPr>
          <w:ilvl w:val="1"/>
          <w:numId w:val="7"/>
        </w:numPr>
        <w:autoSpaceDE/>
        <w:autoSpaceDN/>
        <w:spacing w:before="120" w:after="120"/>
        <w:ind w:right="57"/>
        <w:jc w:val="both"/>
        <w:rPr>
          <w:rFonts w:asciiTheme="minorHAnsi" w:hAnsiTheme="minorHAnsi" w:cstheme="minorHAnsi"/>
          <w:sz w:val="24"/>
          <w:szCs w:val="24"/>
        </w:rPr>
      </w:pPr>
      <w:r w:rsidRPr="00252D7B">
        <w:rPr>
          <w:rFonts w:asciiTheme="minorHAnsi" w:hAnsiTheme="minorHAnsi" w:cstheme="minorHAnsi"/>
          <w:sz w:val="24"/>
          <w:szCs w:val="24"/>
        </w:rPr>
        <w:t>Foi transferido da conta Obras em Andamento o valor de R$ 79 mil, sendo R$ 64 mil para a conta Máquinas e Utensílios de Escritório e R$ 15 mil para a conta - Mobiliário em Geral, devido ao recebimento e tombamento dos referidos bens localizados no canteiro de obras de São Felix do Coribe/BA, conforme Processo SEI 104650.</w:t>
      </w:r>
    </w:p>
    <w:p w14:paraId="1A3E919E" w14:textId="77777777" w:rsidR="0013173C" w:rsidRPr="00252D7B" w:rsidRDefault="0013173C" w:rsidP="007A141F">
      <w:pPr>
        <w:pStyle w:val="Corpodetexto"/>
        <w:widowControl/>
        <w:numPr>
          <w:ilvl w:val="1"/>
          <w:numId w:val="7"/>
        </w:numPr>
        <w:autoSpaceDE/>
        <w:autoSpaceDN/>
        <w:spacing w:before="120" w:after="120"/>
        <w:ind w:right="57"/>
        <w:jc w:val="both"/>
        <w:rPr>
          <w:rFonts w:asciiTheme="minorHAnsi" w:hAnsiTheme="minorHAnsi" w:cstheme="minorHAnsi"/>
          <w:sz w:val="24"/>
          <w:szCs w:val="24"/>
        </w:rPr>
      </w:pPr>
      <w:r w:rsidRPr="00252D7B">
        <w:rPr>
          <w:rFonts w:asciiTheme="minorHAnsi" w:hAnsiTheme="minorHAnsi" w:cstheme="minorHAnsi"/>
          <w:sz w:val="24"/>
          <w:szCs w:val="24"/>
        </w:rPr>
        <w:t xml:space="preserve">Foi transferido para a conta de Ativos de Concessão FIOL – Trecho I o valor de 3,5 bilhões, sendo 3,4 milhões provenientes da conta Estudos e Projetos e 3,502 bilhões da conta Implantação – Ferrovias. A referida transferência foi efetuada em razão da Subconcessão da Ferrovia FIOL - Trecho I ocorrida em agosto de 2021. </w:t>
      </w:r>
    </w:p>
    <w:p w14:paraId="6D652879" w14:textId="77777777" w:rsidR="0013173C" w:rsidRPr="00252D7B" w:rsidRDefault="0013173C" w:rsidP="007A141F">
      <w:pPr>
        <w:pStyle w:val="Corpodetexto"/>
        <w:widowControl/>
        <w:numPr>
          <w:ilvl w:val="1"/>
          <w:numId w:val="7"/>
        </w:numPr>
        <w:autoSpaceDE/>
        <w:autoSpaceDN/>
        <w:spacing w:before="120" w:after="120"/>
        <w:ind w:right="57"/>
        <w:jc w:val="both"/>
        <w:rPr>
          <w:rFonts w:asciiTheme="minorHAnsi" w:hAnsiTheme="minorHAnsi" w:cstheme="minorHAnsi"/>
          <w:sz w:val="24"/>
          <w:szCs w:val="24"/>
        </w:rPr>
      </w:pPr>
      <w:r w:rsidRPr="00252D7B">
        <w:rPr>
          <w:rFonts w:asciiTheme="minorHAnsi" w:hAnsiTheme="minorHAnsi" w:cstheme="minorHAnsi"/>
          <w:sz w:val="24"/>
          <w:szCs w:val="24"/>
        </w:rPr>
        <w:t>Foi reclassificado para a conta de Ativos de Concessão FNS - Açailândia/MA - Palmas/TO o valor de 283 mil proveniente da conta CMT Lei 8.200/91, considerando que o referido trecho já está subconcedido.</w:t>
      </w:r>
    </w:p>
    <w:p w14:paraId="5CCE8E22" w14:textId="77777777" w:rsidR="0013173C" w:rsidRPr="00252D7B" w:rsidRDefault="0013173C" w:rsidP="007A141F">
      <w:pPr>
        <w:pStyle w:val="Corpodetexto"/>
        <w:widowControl/>
        <w:numPr>
          <w:ilvl w:val="1"/>
          <w:numId w:val="7"/>
        </w:numPr>
        <w:autoSpaceDE/>
        <w:autoSpaceDN/>
        <w:spacing w:before="120" w:after="120"/>
        <w:ind w:right="57"/>
        <w:jc w:val="both"/>
        <w:rPr>
          <w:rFonts w:asciiTheme="minorHAnsi" w:hAnsiTheme="minorHAnsi" w:cstheme="minorHAnsi"/>
          <w:sz w:val="24"/>
          <w:szCs w:val="24"/>
        </w:rPr>
      </w:pPr>
      <w:r w:rsidRPr="00252D7B">
        <w:rPr>
          <w:rFonts w:asciiTheme="minorHAnsi" w:hAnsiTheme="minorHAnsi" w:cstheme="minorHAnsi"/>
          <w:sz w:val="24"/>
          <w:szCs w:val="24"/>
        </w:rPr>
        <w:lastRenderedPageBreak/>
        <w:t>Foi reclassificado para a conta de Ativos de Concessão FNS - Ouro Verde/GO - Estrela D'Oeste/SP o valor de 64,18 milhões proveniente da conta Implantação de Ferrovias, considerando que o referido trecho já está subconcedido.</w:t>
      </w:r>
    </w:p>
    <w:p w14:paraId="7B2FA902" w14:textId="77777777" w:rsidR="0013173C" w:rsidRPr="00252D7B" w:rsidRDefault="0013173C" w:rsidP="007A141F">
      <w:pPr>
        <w:pStyle w:val="Corpodetexto"/>
        <w:widowControl/>
        <w:numPr>
          <w:ilvl w:val="0"/>
          <w:numId w:val="7"/>
        </w:numPr>
        <w:autoSpaceDE/>
        <w:autoSpaceDN/>
        <w:spacing w:before="120" w:after="120"/>
        <w:ind w:left="714" w:right="57" w:hanging="357"/>
        <w:jc w:val="both"/>
        <w:rPr>
          <w:rFonts w:asciiTheme="minorHAnsi" w:hAnsiTheme="minorHAnsi" w:cstheme="minorHAnsi"/>
          <w:sz w:val="24"/>
          <w:szCs w:val="24"/>
        </w:rPr>
      </w:pPr>
      <w:r w:rsidRPr="00252D7B">
        <w:rPr>
          <w:rFonts w:asciiTheme="minorHAnsi" w:hAnsiTheme="minorHAnsi" w:cstheme="minorHAnsi"/>
          <w:sz w:val="24"/>
          <w:szCs w:val="24"/>
        </w:rPr>
        <w:t>Os Ativos de Concessão – Bens Móveis, no valor de R$ 5,5 milhões, e os  Ativos de Concessão – Bens Imóveis, no valor de R$ 9 milhões são provindos do tombamento dos bens do pátio de Transbordo de Porto Franco/MA referente ao Contrato nº 001/2002 celebrado entre a Valec e a Multigrain S/A, o qual foi rescindido pelo Termo de Rescisão Contratual amigável datado de 26 de fevereiro de 2019, conforme Processo Administrativo nº 51402.205501/2018-26, em que a Multigrain cede de forma não onerosa à Valec as benfeitorias que compõem o Pátio de Porto Franco; e</w:t>
      </w:r>
    </w:p>
    <w:p w14:paraId="6E7398D3" w14:textId="77777777" w:rsidR="0013173C" w:rsidRPr="00252D7B" w:rsidRDefault="0013173C" w:rsidP="007A141F">
      <w:pPr>
        <w:pStyle w:val="Corpodetexto"/>
        <w:widowControl/>
        <w:numPr>
          <w:ilvl w:val="0"/>
          <w:numId w:val="7"/>
        </w:numPr>
        <w:autoSpaceDE/>
        <w:autoSpaceDN/>
        <w:spacing w:before="120" w:after="120"/>
        <w:ind w:right="57"/>
        <w:jc w:val="both"/>
        <w:rPr>
          <w:rFonts w:asciiTheme="minorHAnsi" w:hAnsiTheme="minorHAnsi" w:cstheme="minorHAnsi"/>
          <w:sz w:val="24"/>
          <w:szCs w:val="24"/>
        </w:rPr>
      </w:pPr>
      <w:r w:rsidRPr="00252D7B">
        <w:rPr>
          <w:rFonts w:asciiTheme="minorHAnsi" w:hAnsiTheme="minorHAnsi" w:cstheme="minorHAnsi"/>
          <w:sz w:val="24"/>
          <w:szCs w:val="24"/>
        </w:rPr>
        <w:t xml:space="preserve"> Por meio do Laudo de Avaliação nº </w:t>
      </w:r>
      <w:r w:rsidRPr="00252D7B">
        <w:rPr>
          <w:rFonts w:asciiTheme="minorHAnsi" w:hAnsiTheme="minorHAnsi" w:cstheme="minorHAnsi"/>
          <w:color w:val="000000"/>
          <w:sz w:val="24"/>
          <w:szCs w:val="24"/>
        </w:rPr>
        <w:t>6/2021/GEPAT/SUADM/DIRAF-Valec</w:t>
      </w:r>
      <w:r w:rsidRPr="00252D7B">
        <w:rPr>
          <w:rFonts w:asciiTheme="minorHAnsi" w:hAnsiTheme="minorHAnsi" w:cstheme="minorHAnsi"/>
          <w:sz w:val="24"/>
          <w:szCs w:val="24"/>
        </w:rPr>
        <w:t>, emitido em 21 de dezembro de 2021, a Gerência de Patrimônio certifica que todos os bens patrimoniais contabilizados, com exceção dos provisionados por redução ao valor recuperável, estão em condições de funcionamento. Informa, ainda, que não há indicativo de perda sobre os bens patrimoniais, portanto, não se verificou a necessidade de teste de recuperabilidade dos bens móveis, bem como dos Ativos de Concessão relacionados ao Pátio de Porto Franco.</w:t>
      </w:r>
    </w:p>
    <w:p w14:paraId="63BAD475" w14:textId="77777777" w:rsidR="0013173C" w:rsidRPr="00252D7B" w:rsidRDefault="0013173C" w:rsidP="0013173C">
      <w:pPr>
        <w:pStyle w:val="NormalWeb"/>
        <w:spacing w:before="0" w:beforeAutospacing="0" w:after="120" w:afterAutospacing="0"/>
        <w:jc w:val="both"/>
        <w:rPr>
          <w:rFonts w:asciiTheme="minorHAnsi" w:hAnsiTheme="minorHAnsi" w:cstheme="minorHAnsi"/>
          <w:b/>
          <w:bCs/>
          <w:sz w:val="22"/>
          <w:szCs w:val="22"/>
        </w:rPr>
      </w:pPr>
    </w:p>
    <w:p w14:paraId="11756572" w14:textId="77777777" w:rsidR="0013173C" w:rsidRPr="00D544EC" w:rsidRDefault="0013173C" w:rsidP="00D544EC">
      <w:pPr>
        <w:pStyle w:val="Ttulo4"/>
        <w:rPr>
          <w:rFonts w:asciiTheme="minorHAnsi" w:hAnsiTheme="minorHAnsi" w:cstheme="minorHAnsi"/>
        </w:rPr>
      </w:pPr>
      <w:bookmarkStart w:id="652" w:name="_Toc97918834"/>
      <w:bookmarkStart w:id="653" w:name="_Toc103680636"/>
      <w:r w:rsidRPr="00D544EC">
        <w:rPr>
          <w:rFonts w:asciiTheme="minorHAnsi" w:hAnsiTheme="minorHAnsi" w:cstheme="minorHAnsi"/>
        </w:rPr>
        <w:t>Ferrovia Norte Sul (FNS)</w:t>
      </w:r>
      <w:bookmarkEnd w:id="652"/>
      <w:bookmarkEnd w:id="653"/>
    </w:p>
    <w:p w14:paraId="5FC19131" w14:textId="77777777" w:rsidR="0013173C" w:rsidRPr="00252D7B" w:rsidRDefault="0013173C" w:rsidP="0013173C">
      <w:pPr>
        <w:pStyle w:val="NormalWeb"/>
        <w:spacing w:before="120" w:beforeAutospacing="0" w:after="120" w:afterAutospacing="0"/>
        <w:jc w:val="both"/>
        <w:rPr>
          <w:rFonts w:asciiTheme="minorHAnsi" w:hAnsiTheme="minorHAnsi" w:cstheme="minorHAnsi"/>
        </w:rPr>
      </w:pPr>
      <w:r w:rsidRPr="00252D7B">
        <w:rPr>
          <w:rFonts w:asciiTheme="minorHAnsi" w:hAnsiTheme="minorHAnsi" w:cstheme="minorHAnsi"/>
        </w:rPr>
        <w:t>A Valec subconcedeu, em 2007, o trecho da Ferrovia Norte Sul que liga Açailândia/MA a Palmas/TO para a Ferrovia Norte Sul S/A. De acordo com o Contrato de Subconcessão n° 033/07, de 20 de dezembro de 2007, nos termos do Edital de Licitação n° 001/2006, a subconcessão foi assinada por um prazo de 30 anos, previa o pagamento a título de outorga de R$ 1,47 bilhão, dividido em três parcelas corrigidas pelo IGP-DI e juros de 1% ao mês (até maio de 2010), sendo 50% à vista, 25% na entrega do 1º trecho e 25% na entrega do 2º trecho. A primeira parcela foi recebida em dezembro de 2007 no valor de R$ 739 milhões, a segunda parcela no valor de R$ 461,8 milhões foi recebida em maio de 2009 e parte da terceira parcela, o valor de R$ 453,5 milhões, foi recebida em dezembro de 2010. Conforme 2º Termo Aditivo, assinado em 10 de dezembro de 2010, o pagamento do valor correspondente à 20% da terceira parcela foi condicionado à entrega pela Valec de obras remanescentes. Os recursos recebidos provenientes desta outorga foram repassados diretamente ao Tesouro Nacional.</w:t>
      </w:r>
    </w:p>
    <w:p w14:paraId="1FEBE948" w14:textId="77777777" w:rsidR="0013173C" w:rsidRPr="00252D7B" w:rsidRDefault="0013173C" w:rsidP="0013173C">
      <w:pPr>
        <w:pStyle w:val="NormalWeb"/>
        <w:spacing w:before="120" w:beforeAutospacing="0" w:after="120" w:afterAutospacing="0"/>
        <w:jc w:val="both"/>
        <w:rPr>
          <w:rFonts w:asciiTheme="minorHAnsi" w:hAnsiTheme="minorHAnsi" w:cstheme="minorHAnsi"/>
        </w:rPr>
      </w:pPr>
      <w:r w:rsidRPr="00252D7B">
        <w:rPr>
          <w:rFonts w:asciiTheme="minorHAnsi" w:hAnsiTheme="minorHAnsi" w:cstheme="minorHAnsi"/>
        </w:rPr>
        <w:t>O trecho da Ferrovia Norte Sul compreendido entre Porto Nacional, no Estado do Tocantins e Estrela D’Oeste, no Estado de São Paulo foi subconcedido à Rumo Malha Central S/A, conforme Contrato de Subconcessão do Edital de Concorrência Internacional nº 002/2018, assinado em 31 de julho de 2019. Esse contrato foi assinado entre a União, representada pela Agência Nacional de Transportes Terrestres - ANTT, a Valec – Engenharia, Construções e Ferrovias S/A, como interveniente subconcedente e a Rumo Malha Central S/A como subconcessionária. O valor do lance da outorga no leilão foi de R$ 2,7 bilhões. Os direitos creditórios e as receitas provenientes dessa subconcessão serão da Agência Nacional de Transportes Terrestres – ANTT, conforme o artigo 77 da Lei nº 10.233, de 05 de junho de 2001, que dispõe sobre a criação da Agência, e estabelece que é receita da ANTT os recursos provenientes dos instrumentos de outorga administrados pela agência.</w:t>
      </w:r>
    </w:p>
    <w:p w14:paraId="386138E3" w14:textId="77777777" w:rsidR="0013173C" w:rsidRPr="00252D7B" w:rsidRDefault="0013173C" w:rsidP="0013173C">
      <w:pPr>
        <w:pStyle w:val="NormalWeb"/>
        <w:spacing w:before="120" w:beforeAutospacing="0" w:after="120" w:afterAutospacing="0"/>
        <w:jc w:val="both"/>
        <w:rPr>
          <w:rFonts w:asciiTheme="minorHAnsi" w:hAnsiTheme="minorHAnsi" w:cstheme="minorHAnsi"/>
        </w:rPr>
      </w:pPr>
      <w:r w:rsidRPr="00252D7B">
        <w:rPr>
          <w:rFonts w:asciiTheme="minorHAnsi" w:hAnsiTheme="minorHAnsi" w:cstheme="minorHAnsi"/>
        </w:rPr>
        <w:t xml:space="preserve">A Valec realizou o teste de recuperabilidade dos ativos relacionados à Ferrovia Norte Sul e, devido à falta benefícios econômicos para a empresa durante os prazos contratuais das subconcessões, reconheceu a provisão para perda ao valor recuperável dos ativos. As provisões foram reconhecidas desde o ano 2007 - quando ocorreu a primeira subconcessão até a dezembro de 2020. </w:t>
      </w:r>
    </w:p>
    <w:p w14:paraId="04D02C1E" w14:textId="77777777" w:rsidR="0013173C" w:rsidRPr="00252D7B" w:rsidRDefault="0013173C" w:rsidP="0013173C">
      <w:pPr>
        <w:pStyle w:val="NormalWeb"/>
        <w:spacing w:before="120" w:beforeAutospacing="0" w:after="120" w:afterAutospacing="0"/>
        <w:jc w:val="both"/>
        <w:rPr>
          <w:rFonts w:asciiTheme="minorHAnsi" w:hAnsiTheme="minorHAnsi" w:cstheme="minorHAnsi"/>
        </w:rPr>
      </w:pPr>
      <w:r w:rsidRPr="00252D7B">
        <w:rPr>
          <w:rFonts w:asciiTheme="minorHAnsi" w:hAnsiTheme="minorHAnsi" w:cstheme="minorHAnsi"/>
        </w:rPr>
        <w:lastRenderedPageBreak/>
        <w:t xml:space="preserve">Por ocasião do encerramento do exercício de 2021, o valor da Redução a valor recuperável, referente aos ativos relacionados à Ferrovia Norte Sul, foi acrescido em R$ 10,2 milhões, considerando a movimentação referente ao Contrato 022/2018 no exercício de 2021 e a baixa dos contratos encerrados classificados como depósitos retidos de fornecedores.  </w:t>
      </w:r>
    </w:p>
    <w:p w14:paraId="41393199" w14:textId="77777777" w:rsidR="0013173C" w:rsidRPr="00252D7B" w:rsidRDefault="0013173C" w:rsidP="0013173C">
      <w:pPr>
        <w:pStyle w:val="NormalWeb"/>
        <w:spacing w:before="0" w:beforeAutospacing="0" w:after="120" w:afterAutospacing="0"/>
        <w:jc w:val="both"/>
        <w:rPr>
          <w:rFonts w:asciiTheme="minorHAnsi" w:hAnsiTheme="minorHAnsi" w:cstheme="minorHAnsi"/>
          <w:b/>
          <w:bCs/>
          <w:sz w:val="22"/>
          <w:szCs w:val="22"/>
        </w:rPr>
      </w:pPr>
    </w:p>
    <w:p w14:paraId="4A3084FC" w14:textId="77777777" w:rsidR="0013173C" w:rsidRPr="00D544EC" w:rsidRDefault="0013173C" w:rsidP="00D544EC">
      <w:pPr>
        <w:pStyle w:val="Ttulo4"/>
        <w:rPr>
          <w:rFonts w:asciiTheme="minorHAnsi" w:hAnsiTheme="minorHAnsi" w:cstheme="minorHAnsi"/>
        </w:rPr>
      </w:pPr>
      <w:bookmarkStart w:id="654" w:name="_Toc97918835"/>
      <w:bookmarkStart w:id="655" w:name="_Toc103680637"/>
      <w:r w:rsidRPr="00D544EC">
        <w:rPr>
          <w:rFonts w:asciiTheme="minorHAnsi" w:hAnsiTheme="minorHAnsi" w:cstheme="minorHAnsi"/>
        </w:rPr>
        <w:t>Ferrovia de Integração Oeste Leste (FIOL)</w:t>
      </w:r>
      <w:bookmarkEnd w:id="654"/>
      <w:bookmarkEnd w:id="655"/>
    </w:p>
    <w:p w14:paraId="426A9F8C" w14:textId="77777777" w:rsidR="0013173C" w:rsidRPr="00252D7B" w:rsidRDefault="0013173C" w:rsidP="0013173C">
      <w:pPr>
        <w:pStyle w:val="Textoembloco"/>
        <w:spacing w:before="120" w:after="120" w:line="240" w:lineRule="auto"/>
        <w:ind w:left="0" w:right="57"/>
        <w:rPr>
          <w:rFonts w:asciiTheme="minorHAnsi" w:hAnsiTheme="minorHAnsi" w:cstheme="minorHAnsi"/>
          <w:sz w:val="24"/>
          <w:szCs w:val="24"/>
        </w:rPr>
      </w:pPr>
      <w:r w:rsidRPr="00252D7B">
        <w:rPr>
          <w:rFonts w:asciiTheme="minorHAnsi" w:hAnsiTheme="minorHAnsi" w:cstheme="minorHAnsi"/>
          <w:sz w:val="24"/>
          <w:szCs w:val="24"/>
        </w:rPr>
        <w:t>A Valec subconcedeu, em agosto de 2021, o trecho ferroviário entre os municípios de Ilhéus/BA a Caetité/BA, com 537 km de extensão, denominado FIOL I, no qual a empresa Bahia Mineração S.A sagrou-se vencedora, com um lance de R$ 32,7 milhões, adicionado à receita variável, com base no estudo de viabilidade.</w:t>
      </w:r>
    </w:p>
    <w:p w14:paraId="0F779C33" w14:textId="77777777" w:rsidR="0013173C" w:rsidRPr="00252D7B" w:rsidRDefault="0013173C" w:rsidP="0013173C">
      <w:pPr>
        <w:pStyle w:val="Textoembloco"/>
        <w:spacing w:before="120" w:after="120" w:line="240" w:lineRule="auto"/>
        <w:ind w:left="0" w:right="57"/>
        <w:rPr>
          <w:rFonts w:asciiTheme="minorHAnsi" w:hAnsiTheme="minorHAnsi" w:cstheme="minorHAnsi"/>
          <w:sz w:val="24"/>
          <w:szCs w:val="24"/>
          <w:shd w:val="clear" w:color="auto" w:fill="FFFFFF"/>
        </w:rPr>
      </w:pPr>
      <w:r w:rsidRPr="00252D7B">
        <w:rPr>
          <w:rFonts w:asciiTheme="minorHAnsi" w:hAnsiTheme="minorHAnsi" w:cstheme="minorHAnsi"/>
          <w:sz w:val="24"/>
          <w:szCs w:val="24"/>
          <w:shd w:val="clear" w:color="auto" w:fill="FFFFFF"/>
        </w:rPr>
        <w:t>O Valor Presente de R$ 260 milhões, com data base maio de 2021, das receitas de outorga previstas na concessão da Ferrovia de Integração Oeste Leste (FIOL) – EF-334 - trecho denominado FIOL I, realizada por meio do Edital de Concorrência Internacional n°01/2020, foi calculado pela Superintendência de Negócios da Valec e evidenciado no Ofício nº 6/2021/SUNEG-Valec/DINEG-Valec, em 09 de junho de 2021.</w:t>
      </w:r>
    </w:p>
    <w:p w14:paraId="7AAFF7F0" w14:textId="77777777" w:rsidR="0013173C" w:rsidRPr="00252D7B" w:rsidRDefault="0013173C" w:rsidP="0013173C">
      <w:pPr>
        <w:pStyle w:val="Textoembloco"/>
        <w:spacing w:before="120" w:after="120" w:line="240" w:lineRule="auto"/>
        <w:ind w:left="0" w:right="57"/>
        <w:rPr>
          <w:rFonts w:asciiTheme="minorHAnsi" w:hAnsiTheme="minorHAnsi" w:cstheme="minorHAnsi"/>
          <w:sz w:val="24"/>
          <w:szCs w:val="24"/>
          <w:shd w:val="clear" w:color="auto" w:fill="FFFFFF"/>
        </w:rPr>
      </w:pPr>
      <w:r w:rsidRPr="00252D7B">
        <w:rPr>
          <w:rFonts w:asciiTheme="minorHAnsi" w:hAnsiTheme="minorHAnsi" w:cstheme="minorHAnsi"/>
          <w:sz w:val="24"/>
          <w:szCs w:val="24"/>
          <w:shd w:val="clear" w:color="auto" w:fill="FFFFFF"/>
        </w:rPr>
        <w:t>Para o encerramento do exercício de 2020, aprovado em agosto de 2021, foi realizado o teste de recuperabilidade dos ativos relativos ao trecho ferroviário denominado FIOL I, reconhecendo uma provisão para perda ao valor recuperável de R$ 3,5 bilhões de reais.</w:t>
      </w:r>
    </w:p>
    <w:p w14:paraId="4BC7A0DB" w14:textId="77777777" w:rsidR="0013173C" w:rsidRPr="00252D7B" w:rsidRDefault="0013173C" w:rsidP="0013173C">
      <w:pPr>
        <w:pStyle w:val="NormalWeb"/>
        <w:spacing w:before="120" w:beforeAutospacing="0" w:after="120" w:afterAutospacing="0"/>
        <w:jc w:val="both"/>
        <w:rPr>
          <w:rFonts w:asciiTheme="minorHAnsi" w:hAnsiTheme="minorHAnsi" w:cstheme="minorHAnsi"/>
        </w:rPr>
      </w:pPr>
      <w:r w:rsidRPr="00252D7B">
        <w:rPr>
          <w:rFonts w:asciiTheme="minorHAnsi" w:hAnsiTheme="minorHAnsi" w:cstheme="minorHAnsi"/>
        </w:rPr>
        <w:t>Por ocasião do encerramento do exercício de 2021, foi efetuado novo cálculo do valor presente, com data base de 30 de novembro de 2021, que resultou no valor de R$ 280 milhões, conforme Processo SEI nº 51402.106812/2021-17. Portanto, fez-se necessária a reversão de parte do valor anteriormente provisionado, totalizando R$ 20,77 milhões.</w:t>
      </w:r>
    </w:p>
    <w:p w14:paraId="4472D656" w14:textId="77777777" w:rsidR="0013173C" w:rsidRPr="00252D7B" w:rsidRDefault="0013173C" w:rsidP="0013173C">
      <w:pPr>
        <w:pStyle w:val="NormalWeb"/>
        <w:spacing w:before="120" w:beforeAutospacing="0" w:after="120" w:afterAutospacing="0"/>
        <w:jc w:val="both"/>
        <w:rPr>
          <w:rFonts w:asciiTheme="minorHAnsi" w:hAnsiTheme="minorHAnsi" w:cstheme="minorHAnsi"/>
          <w:shd w:val="clear" w:color="auto" w:fill="FFFFFF"/>
        </w:rPr>
      </w:pPr>
      <w:r w:rsidRPr="00252D7B">
        <w:rPr>
          <w:rFonts w:asciiTheme="minorHAnsi" w:hAnsiTheme="minorHAnsi" w:cstheme="minorHAnsi"/>
          <w:shd w:val="clear" w:color="auto" w:fill="FFFFFF"/>
        </w:rPr>
        <w:t>Essa redução patrimonial não altera à continuidade operacional da Valec, conforme Nota 1, visto ser uma empresa pública dependente da União (única acionista) e das políticas públicas traçadas pelo Ministério da Infraestrutura. Seu planejamento financeiro de longo prazo é vinculado ao planejamento orçamentário, por meio do Plano Plurianual de 2020 – 2023, aprovados nos termos da Lei nº 13.971, de 13 de dezembro de 2019, e das políticas governamentais.</w:t>
      </w:r>
    </w:p>
    <w:p w14:paraId="049586D9" w14:textId="77777777" w:rsidR="0013173C" w:rsidRPr="00252D7B" w:rsidRDefault="0013173C" w:rsidP="0013173C">
      <w:pPr>
        <w:pStyle w:val="PargrafodaLista"/>
        <w:spacing w:before="120" w:after="120"/>
        <w:ind w:left="0"/>
        <w:jc w:val="both"/>
        <w:rPr>
          <w:rFonts w:asciiTheme="minorHAnsi" w:hAnsiTheme="minorHAnsi" w:cstheme="minorHAnsi"/>
          <w:bCs/>
          <w:sz w:val="24"/>
          <w:szCs w:val="24"/>
        </w:rPr>
      </w:pPr>
      <w:r w:rsidRPr="00252D7B">
        <w:rPr>
          <w:rFonts w:asciiTheme="minorHAnsi" w:hAnsiTheme="minorHAnsi" w:cstheme="minorHAnsi"/>
          <w:bCs/>
          <w:sz w:val="24"/>
          <w:szCs w:val="24"/>
        </w:rPr>
        <w:t xml:space="preserve">Os ativos relacionados aos trechos da Ferrovia de Integração Oeste Leste, denominados de FIOL II não sofreram teste de recuperabilidade de ativos, por estarem em fase de obras em andamento, sem indícios de perdas. </w:t>
      </w:r>
    </w:p>
    <w:p w14:paraId="7762F1FE" w14:textId="77777777" w:rsidR="0013173C" w:rsidRPr="00252D7B" w:rsidRDefault="0013173C" w:rsidP="0013173C">
      <w:pPr>
        <w:pStyle w:val="PargrafodaLista"/>
        <w:spacing w:after="120"/>
        <w:ind w:left="0"/>
        <w:jc w:val="both"/>
        <w:rPr>
          <w:rFonts w:asciiTheme="minorHAnsi" w:hAnsiTheme="minorHAnsi" w:cstheme="minorHAnsi"/>
          <w:bCs/>
        </w:rPr>
      </w:pPr>
    </w:p>
    <w:p w14:paraId="29EAA233" w14:textId="77777777" w:rsidR="0013173C" w:rsidRPr="00D544EC" w:rsidRDefault="0013173C" w:rsidP="00D544EC">
      <w:pPr>
        <w:pStyle w:val="Ttulo4"/>
        <w:rPr>
          <w:rFonts w:asciiTheme="minorHAnsi" w:hAnsiTheme="minorHAnsi" w:cstheme="minorHAnsi"/>
        </w:rPr>
      </w:pPr>
      <w:bookmarkStart w:id="656" w:name="_Toc97918836"/>
      <w:bookmarkStart w:id="657" w:name="_Toc103680638"/>
      <w:r w:rsidRPr="00D544EC">
        <w:rPr>
          <w:rFonts w:asciiTheme="minorHAnsi" w:hAnsiTheme="minorHAnsi" w:cstheme="minorHAnsi"/>
        </w:rPr>
        <w:t>Investimento Cruzado</w:t>
      </w:r>
      <w:bookmarkEnd w:id="656"/>
      <w:bookmarkEnd w:id="657"/>
    </w:p>
    <w:p w14:paraId="295D3AFF" w14:textId="77777777" w:rsidR="0013173C" w:rsidRPr="00252D7B" w:rsidRDefault="0013173C" w:rsidP="0013173C">
      <w:pPr>
        <w:adjustRightInd w:val="0"/>
        <w:spacing w:before="120" w:after="120"/>
        <w:jc w:val="both"/>
        <w:rPr>
          <w:rFonts w:asciiTheme="minorHAnsi" w:hAnsiTheme="minorHAnsi" w:cstheme="minorHAnsi"/>
          <w:sz w:val="24"/>
          <w:szCs w:val="24"/>
          <w:shd w:val="clear" w:color="auto" w:fill="FFFFFF"/>
        </w:rPr>
      </w:pPr>
      <w:r w:rsidRPr="00252D7B">
        <w:rPr>
          <w:rFonts w:asciiTheme="minorHAnsi" w:hAnsiTheme="minorHAnsi" w:cstheme="minorHAnsi"/>
          <w:sz w:val="24"/>
          <w:szCs w:val="24"/>
          <w:shd w:val="clear" w:color="auto" w:fill="FFFFFF"/>
        </w:rPr>
        <w:t>A Lei nº 13.448, de 05 de junho de 2017 trouxe, como inovação no ordenamento jurídico, a possibilidade de realização de investimentos em malhas ferroviárias distintas como contrapartida às prorrogações de contratos de concessão. A lei estabelece que o órgão ou a entidade competente é autorizada a promover alterações nos contratos de parceria no setor ferroviário a fim de solucionar questões operacionais e logísticas, inclusive por meio de prorrogações ou relicitações da totalidade ou de parte dos empreendimentos contratados.</w:t>
      </w:r>
    </w:p>
    <w:p w14:paraId="78AD1283" w14:textId="77777777" w:rsidR="0013173C" w:rsidRPr="00252D7B" w:rsidRDefault="0013173C" w:rsidP="0013173C">
      <w:pPr>
        <w:adjustRightInd w:val="0"/>
        <w:spacing w:before="120" w:after="120"/>
        <w:jc w:val="both"/>
        <w:rPr>
          <w:rFonts w:asciiTheme="minorHAnsi" w:hAnsiTheme="minorHAnsi" w:cstheme="minorHAnsi"/>
          <w:sz w:val="24"/>
          <w:szCs w:val="24"/>
          <w:shd w:val="clear" w:color="auto" w:fill="FFFFFF"/>
        </w:rPr>
      </w:pPr>
      <w:r w:rsidRPr="00252D7B">
        <w:rPr>
          <w:rFonts w:asciiTheme="minorHAnsi" w:hAnsiTheme="minorHAnsi" w:cstheme="minorHAnsi"/>
          <w:sz w:val="24"/>
          <w:szCs w:val="24"/>
          <w:shd w:val="clear" w:color="auto" w:fill="FFFFFF"/>
        </w:rPr>
        <w:t>Permite, ainda, ao órgão ou a entidade competente, de comum acordo com os contratados, buscar soluções para todo o sistema e adotar medidas diferenciadas por contrato ou por trecho ferroviário que considerem a reconfiguração de malhas, admitida a previsão de investimentos pelos contratados em malha própria ou naquelas de interesse da administração pública.</w:t>
      </w:r>
    </w:p>
    <w:p w14:paraId="22AC2F8A" w14:textId="77777777" w:rsidR="0013173C" w:rsidRPr="00252D7B" w:rsidRDefault="0013173C" w:rsidP="0013173C">
      <w:pPr>
        <w:adjustRightInd w:val="0"/>
        <w:spacing w:before="120" w:after="120"/>
        <w:jc w:val="both"/>
        <w:rPr>
          <w:rFonts w:asciiTheme="minorHAnsi" w:hAnsiTheme="minorHAnsi" w:cstheme="minorHAnsi"/>
          <w:sz w:val="24"/>
          <w:szCs w:val="24"/>
          <w:shd w:val="clear" w:color="auto" w:fill="FFFFFF"/>
        </w:rPr>
      </w:pPr>
      <w:r w:rsidRPr="00252D7B">
        <w:rPr>
          <w:rFonts w:asciiTheme="minorHAnsi" w:hAnsiTheme="minorHAnsi" w:cstheme="minorHAnsi"/>
          <w:sz w:val="24"/>
          <w:szCs w:val="24"/>
          <w:shd w:val="clear" w:color="auto" w:fill="FFFFFF"/>
        </w:rPr>
        <w:lastRenderedPageBreak/>
        <w:t>Esse dispositivo passou a ser chamado de ‘Investimento Cruzado’, pelo qual é possibilitada a ampliação da malha e da capacidade do subsistema ferroviário, sem que haja uma obrigação direta da União em aportar recursos.</w:t>
      </w:r>
    </w:p>
    <w:p w14:paraId="42A89607" w14:textId="77777777" w:rsidR="0013173C" w:rsidRPr="00252D7B" w:rsidRDefault="0013173C" w:rsidP="0013173C">
      <w:pPr>
        <w:adjustRightInd w:val="0"/>
        <w:spacing w:before="120" w:after="120"/>
        <w:jc w:val="both"/>
        <w:rPr>
          <w:rFonts w:asciiTheme="minorHAnsi" w:hAnsiTheme="minorHAnsi" w:cstheme="minorHAnsi"/>
          <w:sz w:val="24"/>
          <w:szCs w:val="24"/>
          <w:shd w:val="clear" w:color="auto" w:fill="FFFFFF"/>
        </w:rPr>
      </w:pPr>
      <w:r w:rsidRPr="00252D7B">
        <w:rPr>
          <w:rFonts w:asciiTheme="minorHAnsi" w:hAnsiTheme="minorHAnsi" w:cstheme="minorHAnsi"/>
          <w:sz w:val="24"/>
          <w:szCs w:val="24"/>
          <w:shd w:val="clear" w:color="auto" w:fill="FFFFFF"/>
        </w:rPr>
        <w:t>Fundamentado na Lei nº 13.448/2017, o Terceiro Termo Aditivo ao contrato de concessão da Estrada de Ferro Vitória a Minas, concedida à VALE S/A, prevê a renovação antecipada de outorga e descreve, no Anexo 9, termos que disciplinam as condições de realização das Obrigações de Investimento assumidas pela Concessionária em projetos de titularidade da Valec conforme a Lei nº 11.772/2008, envolvendo:</w:t>
      </w:r>
    </w:p>
    <w:p w14:paraId="58905CAA" w14:textId="77777777" w:rsidR="0013173C" w:rsidRPr="00252D7B" w:rsidRDefault="0013173C" w:rsidP="007A141F">
      <w:pPr>
        <w:pStyle w:val="PargrafodaLista"/>
        <w:numPr>
          <w:ilvl w:val="0"/>
          <w:numId w:val="11"/>
        </w:numPr>
        <w:autoSpaceDE/>
        <w:autoSpaceDN/>
        <w:spacing w:before="120" w:after="120"/>
        <w:ind w:hanging="578"/>
        <w:contextualSpacing w:val="0"/>
        <w:jc w:val="both"/>
        <w:rPr>
          <w:rFonts w:asciiTheme="minorHAnsi" w:hAnsiTheme="minorHAnsi" w:cstheme="minorHAnsi"/>
          <w:sz w:val="24"/>
          <w:szCs w:val="24"/>
        </w:rPr>
      </w:pPr>
      <w:r w:rsidRPr="00252D7B">
        <w:rPr>
          <w:rFonts w:asciiTheme="minorHAnsi" w:hAnsiTheme="minorHAnsi" w:cstheme="minorHAnsi"/>
          <w:sz w:val="24"/>
          <w:szCs w:val="24"/>
        </w:rPr>
        <w:t xml:space="preserve">A implantação da infraestrutura e superestrutura ferroviária de Trecho da Ferrovia de Integração Centro-Oeste (FICO), EF-354, compreendido entre os municípios de Água Boa/MT e Mara Rosa/GO; </w:t>
      </w:r>
    </w:p>
    <w:p w14:paraId="353FC298" w14:textId="77777777" w:rsidR="0013173C" w:rsidRPr="00252D7B" w:rsidRDefault="0013173C" w:rsidP="007A141F">
      <w:pPr>
        <w:pStyle w:val="PargrafodaLista"/>
        <w:numPr>
          <w:ilvl w:val="0"/>
          <w:numId w:val="11"/>
        </w:numPr>
        <w:autoSpaceDE/>
        <w:autoSpaceDN/>
        <w:spacing w:before="120" w:after="120"/>
        <w:ind w:hanging="578"/>
        <w:contextualSpacing w:val="0"/>
        <w:jc w:val="both"/>
        <w:rPr>
          <w:rFonts w:asciiTheme="minorHAnsi" w:hAnsiTheme="minorHAnsi" w:cstheme="minorHAnsi"/>
          <w:sz w:val="24"/>
          <w:szCs w:val="24"/>
        </w:rPr>
      </w:pPr>
      <w:r w:rsidRPr="00252D7B">
        <w:rPr>
          <w:rFonts w:asciiTheme="minorHAnsi" w:hAnsiTheme="minorHAnsi" w:cstheme="minorHAnsi"/>
          <w:sz w:val="24"/>
          <w:szCs w:val="24"/>
        </w:rPr>
        <w:t>A aquisição de Trilhos e Dormentes a serem incorporados no Projeto de Infraestrutura da Ferrovia Integração Oeste Leste (FIOL), EF – 334; e</w:t>
      </w:r>
    </w:p>
    <w:p w14:paraId="6A191D14" w14:textId="77777777" w:rsidR="0013173C" w:rsidRPr="00252D7B" w:rsidRDefault="0013173C" w:rsidP="007A141F">
      <w:pPr>
        <w:pStyle w:val="PargrafodaLista"/>
        <w:numPr>
          <w:ilvl w:val="0"/>
          <w:numId w:val="11"/>
        </w:numPr>
        <w:autoSpaceDE/>
        <w:autoSpaceDN/>
        <w:spacing w:before="120" w:after="120"/>
        <w:ind w:hanging="578"/>
        <w:contextualSpacing w:val="0"/>
        <w:jc w:val="both"/>
        <w:rPr>
          <w:rFonts w:asciiTheme="minorHAnsi" w:hAnsiTheme="minorHAnsi" w:cstheme="minorHAnsi"/>
          <w:sz w:val="24"/>
          <w:szCs w:val="24"/>
        </w:rPr>
      </w:pPr>
      <w:r w:rsidRPr="00252D7B">
        <w:rPr>
          <w:rFonts w:asciiTheme="minorHAnsi" w:hAnsiTheme="minorHAnsi" w:cstheme="minorHAnsi"/>
          <w:sz w:val="24"/>
          <w:szCs w:val="24"/>
        </w:rPr>
        <w:t>Enquadramento do projeto FICO e FIOL no Regime Especial de Incentivo para o Desenvolvimento da Infraestrutura (REIDI).</w:t>
      </w:r>
    </w:p>
    <w:p w14:paraId="607D7CA1" w14:textId="77777777" w:rsidR="0013173C" w:rsidRPr="00252D7B" w:rsidRDefault="0013173C" w:rsidP="0013173C">
      <w:pPr>
        <w:adjustRightInd w:val="0"/>
        <w:spacing w:before="120" w:after="120"/>
        <w:jc w:val="both"/>
        <w:rPr>
          <w:rFonts w:asciiTheme="minorHAnsi" w:hAnsiTheme="minorHAnsi" w:cstheme="minorHAnsi"/>
          <w:sz w:val="24"/>
          <w:szCs w:val="24"/>
          <w:shd w:val="clear" w:color="auto" w:fill="FFFFFF"/>
        </w:rPr>
      </w:pPr>
      <w:r w:rsidRPr="00252D7B">
        <w:rPr>
          <w:rFonts w:asciiTheme="minorHAnsi" w:hAnsiTheme="minorHAnsi" w:cstheme="minorHAnsi"/>
          <w:sz w:val="24"/>
          <w:szCs w:val="24"/>
          <w:shd w:val="clear" w:color="auto" w:fill="FFFFFF"/>
        </w:rPr>
        <w:t>No âmbito do Anexo 9 do Terceiro Termo Aditivo, assinado em 18 de dezembro de 2020, a Valec, na figura de Interveniente Anuente e titular dos Projetos de Infraestrutura da FICO e da FIOL, comprometeu-se a requerer os enquadramentos dos Projetos junto ao Ministério da Infraestrutura, bem como as suas habilitações no regime do REIDI, regulado pela Lei nº 11.488, de 15 de junho de 2007, perante a Secretaria da Receita Federal do Brasil.</w:t>
      </w:r>
    </w:p>
    <w:p w14:paraId="492309B3" w14:textId="77777777" w:rsidR="0013173C" w:rsidRPr="00252D7B" w:rsidRDefault="0013173C" w:rsidP="0013173C">
      <w:pPr>
        <w:adjustRightInd w:val="0"/>
        <w:spacing w:before="120" w:after="120"/>
        <w:jc w:val="both"/>
        <w:rPr>
          <w:rFonts w:asciiTheme="minorHAnsi" w:hAnsiTheme="minorHAnsi" w:cstheme="minorHAnsi"/>
          <w:sz w:val="24"/>
          <w:szCs w:val="24"/>
          <w:shd w:val="clear" w:color="auto" w:fill="FFFFFF"/>
        </w:rPr>
      </w:pPr>
      <w:r w:rsidRPr="00252D7B">
        <w:rPr>
          <w:rFonts w:asciiTheme="minorHAnsi" w:hAnsiTheme="minorHAnsi" w:cstheme="minorHAnsi"/>
          <w:sz w:val="24"/>
          <w:szCs w:val="24"/>
          <w:shd w:val="clear" w:color="auto" w:fill="FFFFFF"/>
        </w:rPr>
        <w:t>A habilitação da Valec no regime do REIDI para os Projetos FICO e FIOL foi realizada em 21 de junho de 2021, por meio dos Atos Declaratórios nº 107 e 108 da Secretaria Especial da Receita Federal do Brasil, conforme publicado no Diário Oficial da União em 24 de junho de 2021.</w:t>
      </w:r>
    </w:p>
    <w:p w14:paraId="6037F05E" w14:textId="77777777" w:rsidR="0013173C" w:rsidRPr="00252D7B" w:rsidRDefault="0013173C" w:rsidP="0013173C">
      <w:pPr>
        <w:adjustRightInd w:val="0"/>
        <w:spacing w:before="120" w:after="120"/>
        <w:jc w:val="both"/>
        <w:rPr>
          <w:rFonts w:asciiTheme="minorHAnsi" w:hAnsiTheme="minorHAnsi" w:cstheme="minorHAnsi"/>
          <w:sz w:val="24"/>
          <w:szCs w:val="24"/>
          <w:shd w:val="clear" w:color="auto" w:fill="FFFFFF"/>
        </w:rPr>
      </w:pPr>
      <w:r w:rsidRPr="00252D7B">
        <w:rPr>
          <w:rFonts w:asciiTheme="minorHAnsi" w:hAnsiTheme="minorHAnsi" w:cstheme="minorHAnsi"/>
          <w:sz w:val="24"/>
          <w:szCs w:val="24"/>
          <w:shd w:val="clear" w:color="auto" w:fill="FFFFFF"/>
        </w:rPr>
        <w:t>A Valec comprometeu-se, ainda, a participar dos contratos, aditivos contratuais e demais documentos competentes previstos na legislação do REIDI, inclusive na posição de destinatária das obras de infraestrutura, dos trilhos e dormentes, com o fim único e exclusivo de expressar nesses instrumentos a sua concordância com a aquisição das obras de infraestrutura pelo Projeto de Infraestrutura da FICO e dos Trilhos e Dormentes pelo Projeto de Infraestrutura da FIOL elegíveis ao REIDI e de restar como beneficiária das garantias contratuais perante os fornecedores dos Trilhos e Dormentes.</w:t>
      </w:r>
    </w:p>
    <w:p w14:paraId="5D0D25E8" w14:textId="77777777" w:rsidR="0013173C" w:rsidRPr="00252D7B" w:rsidRDefault="0013173C" w:rsidP="0013173C">
      <w:pPr>
        <w:adjustRightInd w:val="0"/>
        <w:spacing w:before="120" w:after="120"/>
        <w:jc w:val="both"/>
        <w:rPr>
          <w:rFonts w:asciiTheme="minorHAnsi" w:hAnsiTheme="minorHAnsi" w:cstheme="minorHAnsi"/>
          <w:sz w:val="24"/>
          <w:szCs w:val="24"/>
          <w:shd w:val="clear" w:color="auto" w:fill="FFFFFF"/>
        </w:rPr>
      </w:pPr>
      <w:r w:rsidRPr="00252D7B">
        <w:rPr>
          <w:rFonts w:asciiTheme="minorHAnsi" w:hAnsiTheme="minorHAnsi" w:cstheme="minorHAnsi"/>
          <w:sz w:val="24"/>
          <w:szCs w:val="24"/>
          <w:shd w:val="clear" w:color="auto" w:fill="FFFFFF"/>
        </w:rPr>
        <w:t>A título de Investimento Cruzado, no ano de 2021 foram investidos R$ 258,5 milhões na FIOL e R$ 5,8 milhões na FICO (Tabela 63).</w:t>
      </w:r>
    </w:p>
    <w:p w14:paraId="5C74145D" w14:textId="77777777" w:rsidR="0013173C" w:rsidRPr="00252D7B" w:rsidRDefault="0013173C" w:rsidP="0013173C">
      <w:pPr>
        <w:adjustRightInd w:val="0"/>
        <w:spacing w:before="120" w:after="120"/>
        <w:jc w:val="both"/>
        <w:rPr>
          <w:rFonts w:asciiTheme="minorHAnsi" w:hAnsiTheme="minorHAnsi" w:cstheme="minorHAnsi"/>
          <w:sz w:val="24"/>
          <w:szCs w:val="24"/>
          <w:shd w:val="clear" w:color="auto" w:fill="FFFFFF"/>
        </w:rPr>
      </w:pPr>
    </w:p>
    <w:p w14:paraId="6C3E20E1" w14:textId="25D106D2" w:rsidR="0013173C" w:rsidRPr="005059B1" w:rsidRDefault="0013173C" w:rsidP="005059B1">
      <w:pPr>
        <w:pStyle w:val="Legenda"/>
        <w:jc w:val="center"/>
        <w:rPr>
          <w:rFonts w:asciiTheme="minorHAnsi" w:hAnsiTheme="minorHAnsi" w:cstheme="minorHAnsi"/>
          <w:sz w:val="20"/>
          <w:szCs w:val="20"/>
        </w:rPr>
      </w:pPr>
      <w:bookmarkStart w:id="658" w:name="_Toc97918914"/>
      <w:bookmarkStart w:id="659" w:name="_Toc103680700"/>
      <w:r w:rsidRPr="00252D7B">
        <w:rPr>
          <w:rFonts w:asciiTheme="minorHAnsi" w:hAnsiTheme="minorHAnsi" w:cstheme="minorHAnsi"/>
          <w:sz w:val="20"/>
          <w:szCs w:val="20"/>
        </w:rPr>
        <w:t xml:space="preserve">Tabela </w:t>
      </w:r>
      <w:r w:rsidRPr="005059B1">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Tabela \* ARABIC </w:instrText>
      </w:r>
      <w:r w:rsidRPr="005059B1">
        <w:rPr>
          <w:rFonts w:asciiTheme="minorHAnsi" w:hAnsiTheme="minorHAnsi" w:cstheme="minorHAnsi"/>
          <w:sz w:val="20"/>
          <w:szCs w:val="20"/>
        </w:rPr>
        <w:fldChar w:fldCharType="separate"/>
      </w:r>
      <w:r w:rsidR="00C12888">
        <w:rPr>
          <w:rFonts w:asciiTheme="minorHAnsi" w:hAnsiTheme="minorHAnsi" w:cstheme="minorHAnsi"/>
          <w:noProof/>
          <w:sz w:val="20"/>
          <w:szCs w:val="20"/>
        </w:rPr>
        <w:t>38</w:t>
      </w:r>
      <w:r w:rsidRPr="005059B1">
        <w:rPr>
          <w:rFonts w:asciiTheme="minorHAnsi" w:hAnsiTheme="minorHAnsi" w:cstheme="minorHAnsi"/>
          <w:sz w:val="20"/>
          <w:szCs w:val="20"/>
        </w:rPr>
        <w:fldChar w:fldCharType="end"/>
      </w:r>
      <w:r w:rsidRPr="00252D7B">
        <w:rPr>
          <w:rFonts w:asciiTheme="minorHAnsi" w:hAnsiTheme="minorHAnsi" w:cstheme="minorHAnsi"/>
          <w:sz w:val="20"/>
          <w:szCs w:val="20"/>
        </w:rPr>
        <w:t xml:space="preserve"> –</w:t>
      </w:r>
      <w:r w:rsidR="005059B1">
        <w:rPr>
          <w:rFonts w:asciiTheme="minorHAnsi" w:hAnsiTheme="minorHAnsi" w:cstheme="minorHAnsi"/>
          <w:sz w:val="20"/>
          <w:szCs w:val="20"/>
        </w:rPr>
        <w:t xml:space="preserve"> </w:t>
      </w:r>
      <w:r w:rsidRPr="00252D7B">
        <w:rPr>
          <w:rFonts w:asciiTheme="minorHAnsi" w:hAnsiTheme="minorHAnsi" w:cstheme="minorHAnsi"/>
          <w:sz w:val="20"/>
          <w:szCs w:val="20"/>
        </w:rPr>
        <w:t>Investimento cruzado</w:t>
      </w:r>
      <w:bookmarkEnd w:id="658"/>
      <w:bookmarkEnd w:id="659"/>
    </w:p>
    <w:tbl>
      <w:tblPr>
        <w:tblW w:w="5000" w:type="pct"/>
        <w:jc w:val="center"/>
        <w:tblCellMar>
          <w:left w:w="70" w:type="dxa"/>
          <w:right w:w="70" w:type="dxa"/>
        </w:tblCellMar>
        <w:tblLook w:val="04A0" w:firstRow="1" w:lastRow="0" w:firstColumn="1" w:lastColumn="0" w:noHBand="0" w:noVBand="1"/>
      </w:tblPr>
      <w:tblGrid>
        <w:gridCol w:w="2880"/>
        <w:gridCol w:w="1209"/>
        <w:gridCol w:w="2123"/>
        <w:gridCol w:w="2023"/>
        <w:gridCol w:w="1511"/>
      </w:tblGrid>
      <w:tr w:rsidR="0013173C" w:rsidRPr="00252D7B" w14:paraId="6CD41872" w14:textId="77777777" w:rsidTr="00F6584E">
        <w:trPr>
          <w:trHeight w:hRule="exact" w:val="412"/>
          <w:jc w:val="center"/>
        </w:trPr>
        <w:tc>
          <w:tcPr>
            <w:tcW w:w="1478" w:type="pct"/>
            <w:tcBorders>
              <w:top w:val="nil"/>
              <w:left w:val="nil"/>
              <w:bottom w:val="single" w:sz="4" w:space="0" w:color="auto"/>
              <w:right w:val="nil"/>
            </w:tcBorders>
            <w:shd w:val="clear" w:color="auto" w:fill="auto"/>
            <w:noWrap/>
            <w:vAlign w:val="bottom"/>
            <w:hideMark/>
          </w:tcPr>
          <w:p w14:paraId="26804390" w14:textId="77777777" w:rsidR="0013173C" w:rsidRPr="00252D7B" w:rsidRDefault="0013173C" w:rsidP="00F6584E">
            <w:pPr>
              <w:spacing w:after="120"/>
              <w:rPr>
                <w:rFonts w:asciiTheme="minorHAnsi" w:hAnsiTheme="minorHAnsi" w:cstheme="minorHAnsi"/>
                <w:b/>
                <w:color w:val="000000"/>
                <w:sz w:val="20"/>
                <w:szCs w:val="20"/>
              </w:rPr>
            </w:pPr>
          </w:p>
          <w:p w14:paraId="21ACAD7A" w14:textId="77777777" w:rsidR="0013173C" w:rsidRPr="00252D7B" w:rsidRDefault="0013173C" w:rsidP="00F6584E">
            <w:pPr>
              <w:spacing w:after="120"/>
              <w:rPr>
                <w:rFonts w:asciiTheme="minorHAnsi" w:hAnsiTheme="minorHAnsi" w:cstheme="minorHAnsi"/>
                <w:b/>
                <w:color w:val="000000"/>
                <w:sz w:val="20"/>
                <w:szCs w:val="20"/>
              </w:rPr>
            </w:pPr>
          </w:p>
          <w:p w14:paraId="7887E3B4" w14:textId="77777777" w:rsidR="0013173C" w:rsidRPr="00252D7B" w:rsidRDefault="0013173C" w:rsidP="00F6584E">
            <w:pPr>
              <w:spacing w:after="120"/>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INTANGÍVEL</w:t>
            </w:r>
          </w:p>
        </w:tc>
        <w:tc>
          <w:tcPr>
            <w:tcW w:w="620" w:type="pct"/>
            <w:tcBorders>
              <w:top w:val="nil"/>
              <w:left w:val="nil"/>
              <w:bottom w:val="single" w:sz="4" w:space="0" w:color="auto"/>
              <w:right w:val="nil"/>
            </w:tcBorders>
            <w:shd w:val="clear" w:color="auto" w:fill="auto"/>
            <w:vAlign w:val="bottom"/>
            <w:hideMark/>
          </w:tcPr>
          <w:p w14:paraId="10376E0C"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SALDO EM 31/12/2020</w:t>
            </w:r>
          </w:p>
        </w:tc>
        <w:tc>
          <w:tcPr>
            <w:tcW w:w="1089" w:type="pct"/>
            <w:tcBorders>
              <w:top w:val="nil"/>
              <w:left w:val="nil"/>
              <w:bottom w:val="single" w:sz="4" w:space="0" w:color="auto"/>
              <w:right w:val="nil"/>
            </w:tcBorders>
            <w:shd w:val="clear" w:color="auto" w:fill="auto"/>
            <w:vAlign w:val="bottom"/>
            <w:hideMark/>
          </w:tcPr>
          <w:p w14:paraId="39858D5D"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ENTRADAS</w:t>
            </w:r>
          </w:p>
        </w:tc>
        <w:tc>
          <w:tcPr>
            <w:tcW w:w="1038" w:type="pct"/>
            <w:tcBorders>
              <w:top w:val="nil"/>
              <w:left w:val="nil"/>
              <w:bottom w:val="single" w:sz="4" w:space="0" w:color="auto"/>
              <w:right w:val="nil"/>
            </w:tcBorders>
            <w:shd w:val="clear" w:color="auto" w:fill="auto"/>
            <w:vAlign w:val="bottom"/>
            <w:hideMark/>
          </w:tcPr>
          <w:p w14:paraId="538CFBCE"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BAIXAS</w:t>
            </w:r>
          </w:p>
        </w:tc>
        <w:tc>
          <w:tcPr>
            <w:tcW w:w="775" w:type="pct"/>
            <w:tcBorders>
              <w:top w:val="nil"/>
              <w:left w:val="nil"/>
              <w:bottom w:val="single" w:sz="4" w:space="0" w:color="auto"/>
              <w:right w:val="nil"/>
            </w:tcBorders>
            <w:shd w:val="clear" w:color="auto" w:fill="auto"/>
            <w:vAlign w:val="bottom"/>
            <w:hideMark/>
          </w:tcPr>
          <w:p w14:paraId="62A4F190"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SALDO EM 31/12/2021</w:t>
            </w:r>
          </w:p>
        </w:tc>
      </w:tr>
      <w:tr w:rsidR="0013173C" w:rsidRPr="00252D7B" w14:paraId="1B2E72C4" w14:textId="77777777" w:rsidTr="00F6584E">
        <w:trPr>
          <w:trHeight w:hRule="exact" w:val="227"/>
          <w:jc w:val="center"/>
        </w:trPr>
        <w:tc>
          <w:tcPr>
            <w:tcW w:w="1478" w:type="pct"/>
            <w:tcBorders>
              <w:top w:val="nil"/>
              <w:left w:val="nil"/>
              <w:bottom w:val="nil"/>
              <w:right w:val="nil"/>
            </w:tcBorders>
            <w:shd w:val="clear" w:color="auto" w:fill="auto"/>
            <w:noWrap/>
            <w:vAlign w:val="bottom"/>
            <w:hideMark/>
          </w:tcPr>
          <w:p w14:paraId="1FBAC647"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Terrenos – FICO</w:t>
            </w:r>
          </w:p>
        </w:tc>
        <w:tc>
          <w:tcPr>
            <w:tcW w:w="620" w:type="pct"/>
            <w:tcBorders>
              <w:top w:val="nil"/>
              <w:left w:val="nil"/>
              <w:bottom w:val="nil"/>
              <w:right w:val="nil"/>
            </w:tcBorders>
            <w:shd w:val="clear" w:color="auto" w:fill="auto"/>
            <w:noWrap/>
            <w:vAlign w:val="bottom"/>
            <w:hideMark/>
          </w:tcPr>
          <w:p w14:paraId="5B5544D1"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1089" w:type="pct"/>
            <w:tcBorders>
              <w:top w:val="nil"/>
              <w:left w:val="nil"/>
              <w:bottom w:val="nil"/>
              <w:right w:val="nil"/>
            </w:tcBorders>
            <w:shd w:val="clear" w:color="auto" w:fill="auto"/>
            <w:noWrap/>
            <w:vAlign w:val="bottom"/>
            <w:hideMark/>
          </w:tcPr>
          <w:p w14:paraId="713DFA83"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500.247</w:t>
            </w:r>
          </w:p>
        </w:tc>
        <w:tc>
          <w:tcPr>
            <w:tcW w:w="1038" w:type="pct"/>
            <w:tcBorders>
              <w:top w:val="nil"/>
              <w:left w:val="nil"/>
              <w:bottom w:val="nil"/>
              <w:right w:val="nil"/>
            </w:tcBorders>
            <w:shd w:val="clear" w:color="auto" w:fill="auto"/>
            <w:noWrap/>
            <w:vAlign w:val="bottom"/>
            <w:hideMark/>
          </w:tcPr>
          <w:p w14:paraId="71C065B4"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775" w:type="pct"/>
            <w:tcBorders>
              <w:top w:val="nil"/>
              <w:left w:val="nil"/>
              <w:bottom w:val="nil"/>
              <w:right w:val="nil"/>
            </w:tcBorders>
            <w:shd w:val="clear" w:color="auto" w:fill="auto"/>
            <w:noWrap/>
            <w:vAlign w:val="bottom"/>
            <w:hideMark/>
          </w:tcPr>
          <w:p w14:paraId="7D0A9CCD"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500.247</w:t>
            </w:r>
          </w:p>
        </w:tc>
      </w:tr>
      <w:tr w:rsidR="0013173C" w:rsidRPr="00252D7B" w14:paraId="5AABCD16" w14:textId="77777777" w:rsidTr="00F6584E">
        <w:trPr>
          <w:trHeight w:hRule="exact" w:val="227"/>
          <w:jc w:val="center"/>
        </w:trPr>
        <w:tc>
          <w:tcPr>
            <w:tcW w:w="1478" w:type="pct"/>
            <w:tcBorders>
              <w:top w:val="nil"/>
              <w:left w:val="nil"/>
              <w:bottom w:val="nil"/>
              <w:right w:val="nil"/>
            </w:tcBorders>
            <w:shd w:val="clear" w:color="auto" w:fill="auto"/>
            <w:noWrap/>
            <w:vAlign w:val="bottom"/>
            <w:hideMark/>
          </w:tcPr>
          <w:p w14:paraId="5FF57A48"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Obras em Andamento - FICO</w:t>
            </w:r>
          </w:p>
        </w:tc>
        <w:tc>
          <w:tcPr>
            <w:tcW w:w="620" w:type="pct"/>
            <w:tcBorders>
              <w:top w:val="nil"/>
              <w:left w:val="nil"/>
              <w:bottom w:val="nil"/>
              <w:right w:val="nil"/>
            </w:tcBorders>
            <w:shd w:val="clear" w:color="auto" w:fill="auto"/>
            <w:noWrap/>
            <w:vAlign w:val="bottom"/>
            <w:hideMark/>
          </w:tcPr>
          <w:p w14:paraId="6760F505"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1089" w:type="pct"/>
            <w:tcBorders>
              <w:top w:val="nil"/>
              <w:left w:val="nil"/>
              <w:bottom w:val="nil"/>
              <w:right w:val="nil"/>
            </w:tcBorders>
            <w:shd w:val="clear" w:color="auto" w:fill="auto"/>
            <w:noWrap/>
            <w:vAlign w:val="bottom"/>
            <w:hideMark/>
          </w:tcPr>
          <w:p w14:paraId="0DA4AAFE"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5.398.692</w:t>
            </w:r>
          </w:p>
        </w:tc>
        <w:tc>
          <w:tcPr>
            <w:tcW w:w="1038" w:type="pct"/>
            <w:tcBorders>
              <w:top w:val="nil"/>
              <w:left w:val="nil"/>
              <w:bottom w:val="nil"/>
              <w:right w:val="nil"/>
            </w:tcBorders>
            <w:shd w:val="clear" w:color="auto" w:fill="auto"/>
            <w:noWrap/>
            <w:vAlign w:val="bottom"/>
            <w:hideMark/>
          </w:tcPr>
          <w:p w14:paraId="01409484"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775" w:type="pct"/>
            <w:tcBorders>
              <w:top w:val="nil"/>
              <w:left w:val="nil"/>
              <w:bottom w:val="nil"/>
              <w:right w:val="nil"/>
            </w:tcBorders>
            <w:shd w:val="clear" w:color="auto" w:fill="auto"/>
            <w:noWrap/>
            <w:vAlign w:val="bottom"/>
            <w:hideMark/>
          </w:tcPr>
          <w:p w14:paraId="258E2EF2"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5.398.692</w:t>
            </w:r>
          </w:p>
        </w:tc>
      </w:tr>
      <w:tr w:rsidR="0013173C" w:rsidRPr="00252D7B" w14:paraId="1457422C" w14:textId="77777777" w:rsidTr="00F6584E">
        <w:trPr>
          <w:trHeight w:hRule="exact" w:val="227"/>
          <w:jc w:val="center"/>
        </w:trPr>
        <w:tc>
          <w:tcPr>
            <w:tcW w:w="1478" w:type="pct"/>
            <w:tcBorders>
              <w:top w:val="nil"/>
              <w:left w:val="nil"/>
              <w:bottom w:val="nil"/>
              <w:right w:val="nil"/>
            </w:tcBorders>
            <w:shd w:val="clear" w:color="auto" w:fill="auto"/>
            <w:noWrap/>
            <w:vAlign w:val="bottom"/>
            <w:hideMark/>
          </w:tcPr>
          <w:p w14:paraId="0BE79BCD"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Obras em Andamento - FIOL</w:t>
            </w:r>
          </w:p>
        </w:tc>
        <w:tc>
          <w:tcPr>
            <w:tcW w:w="620" w:type="pct"/>
            <w:tcBorders>
              <w:top w:val="nil"/>
              <w:left w:val="nil"/>
              <w:bottom w:val="nil"/>
              <w:right w:val="nil"/>
            </w:tcBorders>
            <w:shd w:val="clear" w:color="auto" w:fill="auto"/>
            <w:noWrap/>
            <w:vAlign w:val="bottom"/>
            <w:hideMark/>
          </w:tcPr>
          <w:p w14:paraId="4F50B853"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1089" w:type="pct"/>
            <w:tcBorders>
              <w:top w:val="nil"/>
              <w:left w:val="nil"/>
              <w:bottom w:val="nil"/>
              <w:right w:val="nil"/>
            </w:tcBorders>
            <w:shd w:val="clear" w:color="auto" w:fill="auto"/>
            <w:noWrap/>
            <w:vAlign w:val="bottom"/>
            <w:hideMark/>
          </w:tcPr>
          <w:p w14:paraId="66BC3279"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258.532.118</w:t>
            </w:r>
          </w:p>
        </w:tc>
        <w:tc>
          <w:tcPr>
            <w:tcW w:w="1038" w:type="pct"/>
            <w:tcBorders>
              <w:top w:val="nil"/>
              <w:left w:val="nil"/>
              <w:bottom w:val="nil"/>
              <w:right w:val="nil"/>
            </w:tcBorders>
            <w:shd w:val="clear" w:color="auto" w:fill="auto"/>
            <w:noWrap/>
            <w:vAlign w:val="bottom"/>
            <w:hideMark/>
          </w:tcPr>
          <w:p w14:paraId="5CE9427E"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775" w:type="pct"/>
            <w:tcBorders>
              <w:top w:val="nil"/>
              <w:left w:val="nil"/>
              <w:bottom w:val="nil"/>
              <w:right w:val="nil"/>
            </w:tcBorders>
            <w:shd w:val="clear" w:color="auto" w:fill="auto"/>
            <w:noWrap/>
            <w:vAlign w:val="bottom"/>
            <w:hideMark/>
          </w:tcPr>
          <w:p w14:paraId="7BA8C33F"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258.532.118</w:t>
            </w:r>
          </w:p>
        </w:tc>
      </w:tr>
      <w:tr w:rsidR="0013173C" w:rsidRPr="00252D7B" w14:paraId="54568096" w14:textId="77777777" w:rsidTr="00F6584E">
        <w:trPr>
          <w:trHeight w:hRule="exact" w:val="227"/>
          <w:jc w:val="center"/>
        </w:trPr>
        <w:tc>
          <w:tcPr>
            <w:tcW w:w="1478" w:type="pct"/>
            <w:tcBorders>
              <w:top w:val="single" w:sz="4" w:space="0" w:color="auto"/>
              <w:left w:val="nil"/>
              <w:bottom w:val="single" w:sz="4" w:space="0" w:color="auto"/>
              <w:right w:val="nil"/>
            </w:tcBorders>
            <w:shd w:val="clear" w:color="auto" w:fill="auto"/>
            <w:noWrap/>
            <w:vAlign w:val="bottom"/>
            <w:hideMark/>
          </w:tcPr>
          <w:p w14:paraId="7292563E" w14:textId="77777777" w:rsidR="0013173C" w:rsidRPr="00252D7B" w:rsidRDefault="0013173C" w:rsidP="00F6584E">
            <w:pPr>
              <w:spacing w:after="120"/>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Total Investimento Cruzado</w:t>
            </w:r>
          </w:p>
        </w:tc>
        <w:tc>
          <w:tcPr>
            <w:tcW w:w="620" w:type="pct"/>
            <w:tcBorders>
              <w:top w:val="single" w:sz="4" w:space="0" w:color="auto"/>
              <w:left w:val="nil"/>
              <w:bottom w:val="single" w:sz="4" w:space="0" w:color="auto"/>
              <w:right w:val="nil"/>
            </w:tcBorders>
            <w:shd w:val="clear" w:color="auto" w:fill="auto"/>
            <w:noWrap/>
            <w:vAlign w:val="bottom"/>
            <w:hideMark/>
          </w:tcPr>
          <w:p w14:paraId="73037491"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0</w:t>
            </w:r>
          </w:p>
        </w:tc>
        <w:tc>
          <w:tcPr>
            <w:tcW w:w="1089" w:type="pct"/>
            <w:tcBorders>
              <w:top w:val="single" w:sz="4" w:space="0" w:color="auto"/>
              <w:left w:val="nil"/>
              <w:bottom w:val="single" w:sz="4" w:space="0" w:color="auto"/>
              <w:right w:val="nil"/>
            </w:tcBorders>
            <w:shd w:val="clear" w:color="auto" w:fill="auto"/>
            <w:noWrap/>
            <w:vAlign w:val="bottom"/>
            <w:hideMark/>
          </w:tcPr>
          <w:p w14:paraId="669BDC2E"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264.431.057</w:t>
            </w:r>
          </w:p>
        </w:tc>
        <w:tc>
          <w:tcPr>
            <w:tcW w:w="1038" w:type="pct"/>
            <w:tcBorders>
              <w:top w:val="single" w:sz="4" w:space="0" w:color="auto"/>
              <w:left w:val="nil"/>
              <w:bottom w:val="single" w:sz="4" w:space="0" w:color="auto"/>
              <w:right w:val="nil"/>
            </w:tcBorders>
            <w:shd w:val="clear" w:color="auto" w:fill="auto"/>
            <w:noWrap/>
            <w:vAlign w:val="bottom"/>
            <w:hideMark/>
          </w:tcPr>
          <w:p w14:paraId="045AB425"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0</w:t>
            </w:r>
          </w:p>
        </w:tc>
        <w:tc>
          <w:tcPr>
            <w:tcW w:w="775" w:type="pct"/>
            <w:tcBorders>
              <w:top w:val="single" w:sz="4" w:space="0" w:color="auto"/>
              <w:left w:val="nil"/>
              <w:bottom w:val="single" w:sz="4" w:space="0" w:color="auto"/>
              <w:right w:val="nil"/>
            </w:tcBorders>
            <w:shd w:val="clear" w:color="auto" w:fill="auto"/>
            <w:noWrap/>
            <w:vAlign w:val="bottom"/>
            <w:hideMark/>
          </w:tcPr>
          <w:p w14:paraId="26BDA458"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264.431.057</w:t>
            </w:r>
          </w:p>
        </w:tc>
      </w:tr>
    </w:tbl>
    <w:p w14:paraId="158FD250" w14:textId="77777777" w:rsidR="0013173C" w:rsidRPr="00252D7B" w:rsidRDefault="0013173C" w:rsidP="0013173C">
      <w:pPr>
        <w:pStyle w:val="NormalWeb"/>
        <w:spacing w:before="120" w:beforeAutospacing="0" w:after="120" w:afterAutospacing="0"/>
        <w:jc w:val="both"/>
        <w:rPr>
          <w:rFonts w:asciiTheme="minorHAnsi" w:hAnsiTheme="minorHAnsi" w:cstheme="minorHAnsi"/>
          <w:bCs/>
          <w:color w:val="000000"/>
        </w:rPr>
      </w:pPr>
      <w:r w:rsidRPr="00252D7B">
        <w:rPr>
          <w:rFonts w:asciiTheme="minorHAnsi" w:hAnsiTheme="minorHAnsi" w:cstheme="minorHAnsi"/>
          <w:bCs/>
          <w:color w:val="000000"/>
        </w:rPr>
        <w:t xml:space="preserve">Os custos incorridos sobre a FIOL no âmbito do Investimento Cruzado até 31 de dezembro de 2021 somaram R$ 258,5 milhões, o que corresponde a 76% do valor estimado no Anexo 9 (R$ 339,4 milhões). </w:t>
      </w:r>
    </w:p>
    <w:p w14:paraId="4983F60B" w14:textId="77777777" w:rsidR="0013173C" w:rsidRPr="00252D7B" w:rsidRDefault="0013173C" w:rsidP="0013173C">
      <w:pPr>
        <w:pStyle w:val="NormalWeb"/>
        <w:spacing w:before="120" w:beforeAutospacing="0" w:after="120" w:afterAutospacing="0"/>
        <w:jc w:val="both"/>
        <w:rPr>
          <w:rFonts w:asciiTheme="minorHAnsi" w:hAnsiTheme="minorHAnsi" w:cstheme="minorHAnsi"/>
          <w:bCs/>
          <w:color w:val="000000"/>
        </w:rPr>
      </w:pPr>
      <w:r w:rsidRPr="00252D7B">
        <w:rPr>
          <w:rFonts w:asciiTheme="minorHAnsi" w:hAnsiTheme="minorHAnsi" w:cstheme="minorHAnsi"/>
          <w:bCs/>
          <w:color w:val="000000"/>
        </w:rPr>
        <w:lastRenderedPageBreak/>
        <w:t>No projeto FICO foram investidos, no Investimento Cruzado em 2021, R$ 5,8 milhões, sendo R$ 500 mil em desapropriações e R$ 5,3 milhões em custos indiretos preliminares de obras, tais como: preparação de canteiros de obras, sondagens, projetos de Obras Especiais (OAEs), serviços médicos, hospedagem e locação de sala (escritório da Valec em Alto Horizonte).</w:t>
      </w:r>
    </w:p>
    <w:p w14:paraId="6682D990" w14:textId="77777777" w:rsidR="0013173C" w:rsidRPr="00252D7B" w:rsidRDefault="0013173C" w:rsidP="0013173C">
      <w:pPr>
        <w:spacing w:before="120" w:after="120"/>
        <w:rPr>
          <w:rFonts w:asciiTheme="minorHAnsi" w:hAnsiTheme="minorHAnsi" w:cstheme="minorHAnsi"/>
        </w:rPr>
      </w:pPr>
    </w:p>
    <w:p w14:paraId="44E153C9" w14:textId="77777777" w:rsidR="0013173C" w:rsidRPr="00252D7B" w:rsidRDefault="0013173C" w:rsidP="00D544EC">
      <w:pPr>
        <w:pStyle w:val="Ttulo3"/>
        <w:spacing w:before="120" w:after="120"/>
        <w:rPr>
          <w:rFonts w:asciiTheme="minorHAnsi" w:hAnsiTheme="minorHAnsi" w:cstheme="minorHAnsi"/>
        </w:rPr>
      </w:pPr>
      <w:bookmarkStart w:id="660" w:name="_Toc97918837"/>
      <w:bookmarkStart w:id="661" w:name="_Toc103680639"/>
      <w:r w:rsidRPr="00252D7B">
        <w:rPr>
          <w:rFonts w:asciiTheme="minorHAnsi" w:hAnsiTheme="minorHAnsi" w:cstheme="minorHAnsi"/>
        </w:rPr>
        <w:t>Intangível</w:t>
      </w:r>
      <w:bookmarkEnd w:id="660"/>
      <w:bookmarkEnd w:id="661"/>
    </w:p>
    <w:p w14:paraId="13582422" w14:textId="77777777" w:rsidR="0013173C" w:rsidRPr="00252D7B" w:rsidRDefault="0013173C" w:rsidP="0013173C">
      <w:pPr>
        <w:pStyle w:val="NormalWeb"/>
        <w:spacing w:before="120" w:beforeAutospacing="0" w:after="120" w:afterAutospacing="0"/>
        <w:jc w:val="both"/>
        <w:rPr>
          <w:rFonts w:asciiTheme="minorHAnsi" w:hAnsiTheme="minorHAnsi" w:cstheme="minorHAnsi"/>
          <w:sz w:val="22"/>
          <w:szCs w:val="22"/>
        </w:rPr>
      </w:pPr>
    </w:p>
    <w:p w14:paraId="376EE539" w14:textId="5447D2CA" w:rsidR="0013173C" w:rsidRPr="005059B1" w:rsidRDefault="0013173C" w:rsidP="005059B1">
      <w:pPr>
        <w:pStyle w:val="Legenda"/>
        <w:jc w:val="center"/>
        <w:rPr>
          <w:rFonts w:asciiTheme="minorHAnsi" w:hAnsiTheme="minorHAnsi" w:cstheme="minorHAnsi"/>
          <w:sz w:val="20"/>
          <w:szCs w:val="20"/>
        </w:rPr>
      </w:pPr>
      <w:bookmarkStart w:id="662" w:name="_Toc97918915"/>
      <w:bookmarkStart w:id="663" w:name="_Toc103680701"/>
      <w:r w:rsidRPr="00252D7B">
        <w:rPr>
          <w:rFonts w:asciiTheme="minorHAnsi" w:hAnsiTheme="minorHAnsi" w:cstheme="minorHAnsi"/>
          <w:sz w:val="20"/>
          <w:szCs w:val="20"/>
        </w:rPr>
        <w:t xml:space="preserve">Tabela </w:t>
      </w:r>
      <w:r w:rsidRPr="005059B1">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Tabela \* ARABIC </w:instrText>
      </w:r>
      <w:r w:rsidRPr="005059B1">
        <w:rPr>
          <w:rFonts w:asciiTheme="minorHAnsi" w:hAnsiTheme="minorHAnsi" w:cstheme="minorHAnsi"/>
          <w:sz w:val="20"/>
          <w:szCs w:val="20"/>
        </w:rPr>
        <w:fldChar w:fldCharType="separate"/>
      </w:r>
      <w:r w:rsidR="00C12888">
        <w:rPr>
          <w:rFonts w:asciiTheme="minorHAnsi" w:hAnsiTheme="minorHAnsi" w:cstheme="minorHAnsi"/>
          <w:noProof/>
          <w:sz w:val="20"/>
          <w:szCs w:val="20"/>
        </w:rPr>
        <w:t>39</w:t>
      </w:r>
      <w:r w:rsidRPr="005059B1">
        <w:rPr>
          <w:rFonts w:asciiTheme="minorHAnsi" w:hAnsiTheme="minorHAnsi" w:cstheme="minorHAnsi"/>
          <w:sz w:val="20"/>
          <w:szCs w:val="20"/>
        </w:rPr>
        <w:fldChar w:fldCharType="end"/>
      </w:r>
      <w:r w:rsidRPr="00252D7B">
        <w:rPr>
          <w:rFonts w:asciiTheme="minorHAnsi" w:hAnsiTheme="minorHAnsi" w:cstheme="minorHAnsi"/>
          <w:sz w:val="20"/>
          <w:szCs w:val="20"/>
        </w:rPr>
        <w:t xml:space="preserve"> – Intangível</w:t>
      </w:r>
      <w:bookmarkEnd w:id="662"/>
      <w:bookmarkEnd w:id="663"/>
    </w:p>
    <w:tbl>
      <w:tblPr>
        <w:tblW w:w="5000" w:type="pct"/>
        <w:tblCellMar>
          <w:left w:w="70" w:type="dxa"/>
          <w:right w:w="70" w:type="dxa"/>
        </w:tblCellMar>
        <w:tblLook w:val="04A0" w:firstRow="1" w:lastRow="0" w:firstColumn="1" w:lastColumn="0" w:noHBand="0" w:noVBand="1"/>
      </w:tblPr>
      <w:tblGrid>
        <w:gridCol w:w="3132"/>
        <w:gridCol w:w="1123"/>
        <w:gridCol w:w="1191"/>
        <w:gridCol w:w="1002"/>
        <w:gridCol w:w="846"/>
        <w:gridCol w:w="1296"/>
        <w:gridCol w:w="1156"/>
      </w:tblGrid>
      <w:tr w:rsidR="0013173C" w:rsidRPr="00252D7B" w14:paraId="1F275ADA" w14:textId="77777777" w:rsidTr="00F6584E">
        <w:trPr>
          <w:trHeight w:hRule="exact" w:val="764"/>
        </w:trPr>
        <w:tc>
          <w:tcPr>
            <w:tcW w:w="1607" w:type="pct"/>
            <w:tcBorders>
              <w:top w:val="nil"/>
              <w:left w:val="nil"/>
              <w:bottom w:val="single" w:sz="4" w:space="0" w:color="auto"/>
              <w:right w:val="nil"/>
            </w:tcBorders>
            <w:shd w:val="clear" w:color="auto" w:fill="auto"/>
            <w:noWrap/>
            <w:vAlign w:val="bottom"/>
            <w:hideMark/>
          </w:tcPr>
          <w:p w14:paraId="345C9061" w14:textId="77777777" w:rsidR="0013173C" w:rsidRPr="00252D7B" w:rsidRDefault="0013173C" w:rsidP="00F6584E">
            <w:pPr>
              <w:spacing w:after="120"/>
              <w:rPr>
                <w:rFonts w:asciiTheme="minorHAnsi" w:hAnsiTheme="minorHAnsi" w:cstheme="minorHAnsi"/>
                <w:b/>
                <w:color w:val="000000"/>
                <w:sz w:val="20"/>
                <w:szCs w:val="20"/>
              </w:rPr>
            </w:pPr>
          </w:p>
          <w:p w14:paraId="5E1B9674" w14:textId="77777777" w:rsidR="0013173C" w:rsidRPr="00252D7B" w:rsidRDefault="0013173C" w:rsidP="00F6584E">
            <w:pPr>
              <w:spacing w:after="120"/>
              <w:rPr>
                <w:rFonts w:asciiTheme="minorHAnsi" w:hAnsiTheme="minorHAnsi" w:cstheme="minorHAnsi"/>
                <w:b/>
                <w:color w:val="000000"/>
                <w:sz w:val="20"/>
                <w:szCs w:val="20"/>
              </w:rPr>
            </w:pPr>
          </w:p>
          <w:p w14:paraId="6367C957" w14:textId="77777777" w:rsidR="0013173C" w:rsidRPr="00252D7B" w:rsidRDefault="0013173C" w:rsidP="00F6584E">
            <w:pPr>
              <w:spacing w:after="120"/>
              <w:rPr>
                <w:rFonts w:asciiTheme="minorHAnsi" w:hAnsiTheme="minorHAnsi" w:cstheme="minorHAnsi"/>
                <w:b/>
                <w:color w:val="000000"/>
                <w:sz w:val="20"/>
                <w:szCs w:val="20"/>
              </w:rPr>
            </w:pPr>
            <w:r w:rsidRPr="00252D7B">
              <w:rPr>
                <w:rFonts w:asciiTheme="minorHAnsi" w:hAnsiTheme="minorHAnsi" w:cstheme="minorHAnsi"/>
                <w:b/>
                <w:color w:val="000000"/>
                <w:sz w:val="20"/>
                <w:szCs w:val="20"/>
              </w:rPr>
              <w:t xml:space="preserve"> </w:t>
            </w:r>
          </w:p>
          <w:p w14:paraId="1FA3E959" w14:textId="77777777" w:rsidR="0013173C" w:rsidRPr="00252D7B" w:rsidRDefault="0013173C" w:rsidP="00F6584E">
            <w:pPr>
              <w:spacing w:after="120"/>
              <w:rPr>
                <w:rFonts w:asciiTheme="minorHAnsi" w:hAnsiTheme="minorHAnsi" w:cstheme="minorHAnsi"/>
                <w:b/>
                <w:color w:val="000000"/>
                <w:sz w:val="20"/>
                <w:szCs w:val="20"/>
              </w:rPr>
            </w:pPr>
          </w:p>
          <w:p w14:paraId="6E3BAD88" w14:textId="77777777" w:rsidR="0013173C" w:rsidRPr="00252D7B" w:rsidRDefault="0013173C" w:rsidP="00F6584E">
            <w:pPr>
              <w:spacing w:after="120"/>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INTANGÍVEL</w:t>
            </w:r>
          </w:p>
        </w:tc>
        <w:tc>
          <w:tcPr>
            <w:tcW w:w="576" w:type="pct"/>
            <w:tcBorders>
              <w:top w:val="nil"/>
              <w:left w:val="nil"/>
              <w:bottom w:val="single" w:sz="4" w:space="0" w:color="auto"/>
              <w:right w:val="nil"/>
            </w:tcBorders>
            <w:shd w:val="clear" w:color="auto" w:fill="auto"/>
            <w:vAlign w:val="center"/>
            <w:hideMark/>
          </w:tcPr>
          <w:p w14:paraId="027D2F13" w14:textId="77777777" w:rsidR="0013173C" w:rsidRPr="00252D7B" w:rsidRDefault="0013173C" w:rsidP="00F6584E">
            <w:pPr>
              <w:spacing w:after="120"/>
              <w:jc w:val="center"/>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SALDO EM 31/12/2020</w:t>
            </w:r>
          </w:p>
        </w:tc>
        <w:tc>
          <w:tcPr>
            <w:tcW w:w="611" w:type="pct"/>
            <w:tcBorders>
              <w:top w:val="nil"/>
              <w:left w:val="nil"/>
              <w:bottom w:val="single" w:sz="4" w:space="0" w:color="auto"/>
              <w:right w:val="nil"/>
            </w:tcBorders>
            <w:shd w:val="clear" w:color="auto" w:fill="auto"/>
            <w:vAlign w:val="center"/>
            <w:hideMark/>
          </w:tcPr>
          <w:p w14:paraId="17839856" w14:textId="77777777" w:rsidR="0013173C" w:rsidRPr="00252D7B" w:rsidRDefault="0013173C" w:rsidP="00F6584E">
            <w:pPr>
              <w:spacing w:after="120"/>
              <w:jc w:val="center"/>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ENTRADAS</w:t>
            </w:r>
          </w:p>
        </w:tc>
        <w:tc>
          <w:tcPr>
            <w:tcW w:w="514" w:type="pct"/>
            <w:tcBorders>
              <w:top w:val="nil"/>
              <w:left w:val="nil"/>
              <w:bottom w:val="single" w:sz="4" w:space="0" w:color="auto"/>
              <w:right w:val="nil"/>
            </w:tcBorders>
            <w:shd w:val="clear" w:color="auto" w:fill="auto"/>
            <w:vAlign w:val="center"/>
            <w:hideMark/>
          </w:tcPr>
          <w:p w14:paraId="2E77EA12" w14:textId="77777777" w:rsidR="0013173C" w:rsidRPr="00252D7B" w:rsidRDefault="0013173C" w:rsidP="00F6584E">
            <w:pPr>
              <w:spacing w:after="120"/>
              <w:jc w:val="center"/>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BAIXAS</w:t>
            </w:r>
          </w:p>
        </w:tc>
        <w:tc>
          <w:tcPr>
            <w:tcW w:w="434" w:type="pct"/>
            <w:tcBorders>
              <w:top w:val="nil"/>
              <w:left w:val="nil"/>
              <w:bottom w:val="single" w:sz="4" w:space="0" w:color="auto"/>
              <w:right w:val="nil"/>
            </w:tcBorders>
            <w:shd w:val="clear" w:color="auto" w:fill="auto"/>
            <w:vAlign w:val="center"/>
            <w:hideMark/>
          </w:tcPr>
          <w:p w14:paraId="495B8250" w14:textId="77777777" w:rsidR="0013173C" w:rsidRPr="00252D7B" w:rsidRDefault="0013173C" w:rsidP="00F6584E">
            <w:pPr>
              <w:spacing w:after="120"/>
              <w:jc w:val="center"/>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TRANSF.</w:t>
            </w:r>
          </w:p>
        </w:tc>
        <w:tc>
          <w:tcPr>
            <w:tcW w:w="665" w:type="pct"/>
            <w:tcBorders>
              <w:top w:val="nil"/>
              <w:left w:val="nil"/>
              <w:bottom w:val="single" w:sz="4" w:space="0" w:color="auto"/>
              <w:right w:val="nil"/>
            </w:tcBorders>
            <w:shd w:val="clear" w:color="auto" w:fill="auto"/>
            <w:vAlign w:val="center"/>
            <w:hideMark/>
          </w:tcPr>
          <w:p w14:paraId="56A325BB" w14:textId="77777777" w:rsidR="0013173C" w:rsidRPr="00252D7B" w:rsidRDefault="0013173C" w:rsidP="00F6584E">
            <w:pPr>
              <w:spacing w:after="120"/>
              <w:jc w:val="center"/>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SALDO EM 31/12/2021</w:t>
            </w:r>
          </w:p>
        </w:tc>
        <w:tc>
          <w:tcPr>
            <w:tcW w:w="594" w:type="pct"/>
            <w:tcBorders>
              <w:top w:val="nil"/>
              <w:left w:val="nil"/>
              <w:bottom w:val="single" w:sz="4" w:space="0" w:color="auto"/>
              <w:right w:val="nil"/>
            </w:tcBorders>
            <w:shd w:val="clear" w:color="auto" w:fill="auto"/>
            <w:vAlign w:val="center"/>
            <w:hideMark/>
          </w:tcPr>
          <w:p w14:paraId="4BEB5BA3" w14:textId="77777777" w:rsidR="0013173C" w:rsidRPr="00252D7B" w:rsidRDefault="0013173C" w:rsidP="00F6584E">
            <w:pPr>
              <w:spacing w:after="120"/>
              <w:jc w:val="center"/>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TAXA AMORTIZ. (%)</w:t>
            </w:r>
          </w:p>
        </w:tc>
      </w:tr>
      <w:tr w:rsidR="0013173C" w:rsidRPr="00252D7B" w14:paraId="6A7B264A" w14:textId="77777777" w:rsidTr="00F6584E">
        <w:trPr>
          <w:trHeight w:hRule="exact" w:val="227"/>
        </w:trPr>
        <w:tc>
          <w:tcPr>
            <w:tcW w:w="1607" w:type="pct"/>
            <w:tcBorders>
              <w:top w:val="nil"/>
              <w:left w:val="nil"/>
              <w:bottom w:val="nil"/>
              <w:right w:val="nil"/>
            </w:tcBorders>
            <w:shd w:val="clear" w:color="auto" w:fill="auto"/>
            <w:noWrap/>
            <w:vAlign w:val="bottom"/>
            <w:hideMark/>
          </w:tcPr>
          <w:p w14:paraId="43D5207B"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Direito de Uso de Comunicação</w:t>
            </w:r>
          </w:p>
        </w:tc>
        <w:tc>
          <w:tcPr>
            <w:tcW w:w="576" w:type="pct"/>
            <w:tcBorders>
              <w:top w:val="nil"/>
              <w:left w:val="nil"/>
              <w:bottom w:val="nil"/>
              <w:right w:val="nil"/>
            </w:tcBorders>
            <w:shd w:val="clear" w:color="auto" w:fill="auto"/>
            <w:noWrap/>
            <w:vAlign w:val="bottom"/>
            <w:hideMark/>
          </w:tcPr>
          <w:p w14:paraId="624BECDE"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139.790</w:t>
            </w:r>
          </w:p>
        </w:tc>
        <w:tc>
          <w:tcPr>
            <w:tcW w:w="611" w:type="pct"/>
            <w:tcBorders>
              <w:top w:val="nil"/>
              <w:left w:val="nil"/>
              <w:bottom w:val="nil"/>
              <w:right w:val="nil"/>
            </w:tcBorders>
            <w:shd w:val="clear" w:color="auto" w:fill="auto"/>
            <w:noWrap/>
            <w:vAlign w:val="bottom"/>
            <w:hideMark/>
          </w:tcPr>
          <w:p w14:paraId="15CAE6DB"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514" w:type="pct"/>
            <w:tcBorders>
              <w:top w:val="nil"/>
              <w:left w:val="nil"/>
              <w:bottom w:val="nil"/>
              <w:right w:val="nil"/>
            </w:tcBorders>
            <w:shd w:val="clear" w:color="auto" w:fill="auto"/>
            <w:noWrap/>
            <w:vAlign w:val="bottom"/>
            <w:hideMark/>
          </w:tcPr>
          <w:p w14:paraId="240709BF"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434" w:type="pct"/>
            <w:tcBorders>
              <w:top w:val="nil"/>
              <w:left w:val="nil"/>
              <w:bottom w:val="nil"/>
              <w:right w:val="nil"/>
            </w:tcBorders>
            <w:shd w:val="clear" w:color="auto" w:fill="auto"/>
            <w:noWrap/>
            <w:vAlign w:val="bottom"/>
            <w:hideMark/>
          </w:tcPr>
          <w:p w14:paraId="3D0DA1FA"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665" w:type="pct"/>
            <w:tcBorders>
              <w:top w:val="nil"/>
              <w:left w:val="nil"/>
              <w:bottom w:val="nil"/>
              <w:right w:val="nil"/>
            </w:tcBorders>
            <w:shd w:val="clear" w:color="auto" w:fill="auto"/>
            <w:noWrap/>
            <w:vAlign w:val="bottom"/>
            <w:hideMark/>
          </w:tcPr>
          <w:p w14:paraId="4F0BD97F"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139.790</w:t>
            </w:r>
          </w:p>
        </w:tc>
        <w:tc>
          <w:tcPr>
            <w:tcW w:w="594" w:type="pct"/>
            <w:tcBorders>
              <w:top w:val="nil"/>
              <w:left w:val="nil"/>
              <w:bottom w:val="nil"/>
              <w:right w:val="nil"/>
            </w:tcBorders>
            <w:shd w:val="clear" w:color="auto" w:fill="auto"/>
            <w:noWrap/>
            <w:vAlign w:val="bottom"/>
            <w:hideMark/>
          </w:tcPr>
          <w:p w14:paraId="14A3C9A3"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w:t>
            </w:r>
          </w:p>
        </w:tc>
      </w:tr>
      <w:tr w:rsidR="0013173C" w:rsidRPr="00252D7B" w14:paraId="7647D2E7" w14:textId="77777777" w:rsidTr="00F6584E">
        <w:trPr>
          <w:trHeight w:hRule="exact" w:val="227"/>
        </w:trPr>
        <w:tc>
          <w:tcPr>
            <w:tcW w:w="1607" w:type="pct"/>
            <w:tcBorders>
              <w:top w:val="nil"/>
              <w:left w:val="nil"/>
              <w:bottom w:val="nil"/>
              <w:right w:val="nil"/>
            </w:tcBorders>
            <w:shd w:val="clear" w:color="auto" w:fill="auto"/>
            <w:noWrap/>
            <w:vAlign w:val="bottom"/>
            <w:hideMark/>
          </w:tcPr>
          <w:p w14:paraId="1178C7F1"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Softwares</w:t>
            </w:r>
          </w:p>
        </w:tc>
        <w:tc>
          <w:tcPr>
            <w:tcW w:w="576" w:type="pct"/>
            <w:tcBorders>
              <w:top w:val="nil"/>
              <w:left w:val="nil"/>
              <w:bottom w:val="nil"/>
              <w:right w:val="nil"/>
            </w:tcBorders>
            <w:shd w:val="clear" w:color="auto" w:fill="auto"/>
            <w:noWrap/>
            <w:vAlign w:val="bottom"/>
            <w:hideMark/>
          </w:tcPr>
          <w:p w14:paraId="619B20F8"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11.428.470</w:t>
            </w:r>
          </w:p>
        </w:tc>
        <w:tc>
          <w:tcPr>
            <w:tcW w:w="611" w:type="pct"/>
            <w:tcBorders>
              <w:top w:val="nil"/>
              <w:left w:val="nil"/>
              <w:bottom w:val="nil"/>
              <w:right w:val="nil"/>
            </w:tcBorders>
            <w:shd w:val="clear" w:color="auto" w:fill="auto"/>
            <w:noWrap/>
            <w:vAlign w:val="bottom"/>
            <w:hideMark/>
          </w:tcPr>
          <w:p w14:paraId="174CC1AF"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302.737</w:t>
            </w:r>
          </w:p>
        </w:tc>
        <w:tc>
          <w:tcPr>
            <w:tcW w:w="514" w:type="pct"/>
            <w:tcBorders>
              <w:top w:val="nil"/>
              <w:left w:val="nil"/>
              <w:bottom w:val="nil"/>
              <w:right w:val="nil"/>
            </w:tcBorders>
            <w:shd w:val="clear" w:color="auto" w:fill="auto"/>
            <w:noWrap/>
            <w:vAlign w:val="bottom"/>
            <w:hideMark/>
          </w:tcPr>
          <w:p w14:paraId="76AF0627"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434" w:type="pct"/>
            <w:tcBorders>
              <w:top w:val="nil"/>
              <w:left w:val="nil"/>
              <w:bottom w:val="nil"/>
              <w:right w:val="nil"/>
            </w:tcBorders>
            <w:shd w:val="clear" w:color="auto" w:fill="auto"/>
            <w:noWrap/>
            <w:vAlign w:val="bottom"/>
            <w:hideMark/>
          </w:tcPr>
          <w:p w14:paraId="338BED1F"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665" w:type="pct"/>
            <w:tcBorders>
              <w:top w:val="nil"/>
              <w:left w:val="nil"/>
              <w:bottom w:val="nil"/>
              <w:right w:val="nil"/>
            </w:tcBorders>
            <w:shd w:val="clear" w:color="auto" w:fill="auto"/>
            <w:noWrap/>
            <w:vAlign w:val="bottom"/>
            <w:hideMark/>
          </w:tcPr>
          <w:p w14:paraId="1A1487EB"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11.731.207</w:t>
            </w:r>
          </w:p>
        </w:tc>
        <w:tc>
          <w:tcPr>
            <w:tcW w:w="594" w:type="pct"/>
            <w:tcBorders>
              <w:top w:val="nil"/>
              <w:left w:val="nil"/>
              <w:bottom w:val="nil"/>
              <w:right w:val="nil"/>
            </w:tcBorders>
            <w:shd w:val="clear" w:color="auto" w:fill="auto"/>
            <w:noWrap/>
            <w:vAlign w:val="bottom"/>
            <w:hideMark/>
          </w:tcPr>
          <w:p w14:paraId="20AF0B0E"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20</w:t>
            </w:r>
          </w:p>
        </w:tc>
      </w:tr>
      <w:tr w:rsidR="0013173C" w:rsidRPr="00252D7B" w14:paraId="6D93422C" w14:textId="77777777" w:rsidTr="00F6584E">
        <w:trPr>
          <w:trHeight w:hRule="exact" w:val="227"/>
        </w:trPr>
        <w:tc>
          <w:tcPr>
            <w:tcW w:w="1607" w:type="pct"/>
            <w:tcBorders>
              <w:top w:val="nil"/>
              <w:left w:val="nil"/>
              <w:bottom w:val="nil"/>
              <w:right w:val="nil"/>
            </w:tcBorders>
            <w:shd w:val="clear" w:color="auto" w:fill="auto"/>
            <w:noWrap/>
            <w:vAlign w:val="bottom"/>
            <w:hideMark/>
          </w:tcPr>
          <w:p w14:paraId="3C72D850"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 Amortizações Acumuladas</w:t>
            </w:r>
          </w:p>
        </w:tc>
        <w:tc>
          <w:tcPr>
            <w:tcW w:w="576" w:type="pct"/>
            <w:tcBorders>
              <w:top w:val="nil"/>
              <w:left w:val="nil"/>
              <w:bottom w:val="nil"/>
              <w:right w:val="nil"/>
            </w:tcBorders>
            <w:shd w:val="clear" w:color="auto" w:fill="auto"/>
            <w:noWrap/>
            <w:vAlign w:val="bottom"/>
            <w:hideMark/>
          </w:tcPr>
          <w:p w14:paraId="1CE13A39"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(6.875.831)</w:t>
            </w:r>
          </w:p>
        </w:tc>
        <w:tc>
          <w:tcPr>
            <w:tcW w:w="611" w:type="pct"/>
            <w:tcBorders>
              <w:top w:val="nil"/>
              <w:left w:val="nil"/>
              <w:bottom w:val="nil"/>
              <w:right w:val="nil"/>
            </w:tcBorders>
            <w:shd w:val="clear" w:color="auto" w:fill="auto"/>
            <w:noWrap/>
            <w:vAlign w:val="bottom"/>
            <w:hideMark/>
          </w:tcPr>
          <w:p w14:paraId="0783694A"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(2.110.854)</w:t>
            </w:r>
          </w:p>
        </w:tc>
        <w:tc>
          <w:tcPr>
            <w:tcW w:w="514" w:type="pct"/>
            <w:tcBorders>
              <w:top w:val="nil"/>
              <w:left w:val="nil"/>
              <w:bottom w:val="nil"/>
              <w:right w:val="nil"/>
            </w:tcBorders>
            <w:shd w:val="clear" w:color="auto" w:fill="auto"/>
            <w:noWrap/>
            <w:vAlign w:val="bottom"/>
            <w:hideMark/>
          </w:tcPr>
          <w:p w14:paraId="576AE16C"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434" w:type="pct"/>
            <w:tcBorders>
              <w:top w:val="nil"/>
              <w:left w:val="nil"/>
              <w:bottom w:val="nil"/>
              <w:right w:val="nil"/>
            </w:tcBorders>
            <w:shd w:val="clear" w:color="auto" w:fill="auto"/>
            <w:noWrap/>
            <w:vAlign w:val="bottom"/>
            <w:hideMark/>
          </w:tcPr>
          <w:p w14:paraId="3A56C626"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665" w:type="pct"/>
            <w:tcBorders>
              <w:top w:val="nil"/>
              <w:left w:val="nil"/>
              <w:bottom w:val="nil"/>
              <w:right w:val="nil"/>
            </w:tcBorders>
            <w:shd w:val="clear" w:color="auto" w:fill="auto"/>
            <w:noWrap/>
            <w:vAlign w:val="bottom"/>
            <w:hideMark/>
          </w:tcPr>
          <w:p w14:paraId="2DFC7872"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(8.986.685)</w:t>
            </w:r>
          </w:p>
        </w:tc>
        <w:tc>
          <w:tcPr>
            <w:tcW w:w="594" w:type="pct"/>
            <w:tcBorders>
              <w:top w:val="nil"/>
              <w:left w:val="nil"/>
              <w:bottom w:val="nil"/>
              <w:right w:val="nil"/>
            </w:tcBorders>
            <w:shd w:val="clear" w:color="auto" w:fill="auto"/>
            <w:noWrap/>
            <w:vAlign w:val="bottom"/>
            <w:hideMark/>
          </w:tcPr>
          <w:p w14:paraId="49A582AF"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w:t>
            </w:r>
          </w:p>
        </w:tc>
      </w:tr>
      <w:tr w:rsidR="0013173C" w:rsidRPr="00252D7B" w14:paraId="1A6B3E6B" w14:textId="77777777" w:rsidTr="00F6584E">
        <w:trPr>
          <w:trHeight w:hRule="exact" w:val="227"/>
        </w:trPr>
        <w:tc>
          <w:tcPr>
            <w:tcW w:w="1607" w:type="pct"/>
            <w:tcBorders>
              <w:top w:val="single" w:sz="4" w:space="0" w:color="auto"/>
              <w:left w:val="nil"/>
              <w:bottom w:val="single" w:sz="4" w:space="0" w:color="auto"/>
              <w:right w:val="nil"/>
            </w:tcBorders>
            <w:shd w:val="clear" w:color="auto" w:fill="auto"/>
            <w:noWrap/>
            <w:vAlign w:val="bottom"/>
            <w:hideMark/>
          </w:tcPr>
          <w:p w14:paraId="455E8094" w14:textId="77777777" w:rsidR="0013173C" w:rsidRPr="00252D7B" w:rsidRDefault="0013173C" w:rsidP="00F6584E">
            <w:pPr>
              <w:spacing w:after="120"/>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Total Intangíveis</w:t>
            </w:r>
          </w:p>
        </w:tc>
        <w:tc>
          <w:tcPr>
            <w:tcW w:w="576" w:type="pct"/>
            <w:tcBorders>
              <w:top w:val="single" w:sz="4" w:space="0" w:color="auto"/>
              <w:left w:val="nil"/>
              <w:bottom w:val="single" w:sz="4" w:space="0" w:color="auto"/>
              <w:right w:val="nil"/>
            </w:tcBorders>
            <w:shd w:val="clear" w:color="auto" w:fill="auto"/>
            <w:noWrap/>
            <w:vAlign w:val="bottom"/>
            <w:hideMark/>
          </w:tcPr>
          <w:p w14:paraId="55778B80"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4.692.429</w:t>
            </w:r>
          </w:p>
        </w:tc>
        <w:tc>
          <w:tcPr>
            <w:tcW w:w="611" w:type="pct"/>
            <w:tcBorders>
              <w:top w:val="single" w:sz="4" w:space="0" w:color="auto"/>
              <w:left w:val="nil"/>
              <w:bottom w:val="single" w:sz="4" w:space="0" w:color="auto"/>
              <w:right w:val="nil"/>
            </w:tcBorders>
            <w:shd w:val="clear" w:color="auto" w:fill="auto"/>
            <w:noWrap/>
            <w:vAlign w:val="bottom"/>
            <w:hideMark/>
          </w:tcPr>
          <w:p w14:paraId="662F9041"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(1.808.117)</w:t>
            </w:r>
          </w:p>
        </w:tc>
        <w:tc>
          <w:tcPr>
            <w:tcW w:w="514" w:type="pct"/>
            <w:tcBorders>
              <w:top w:val="single" w:sz="4" w:space="0" w:color="auto"/>
              <w:left w:val="nil"/>
              <w:bottom w:val="single" w:sz="4" w:space="0" w:color="auto"/>
              <w:right w:val="nil"/>
            </w:tcBorders>
            <w:shd w:val="clear" w:color="auto" w:fill="auto"/>
            <w:noWrap/>
            <w:vAlign w:val="bottom"/>
            <w:hideMark/>
          </w:tcPr>
          <w:p w14:paraId="49BDF6E3"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0</w:t>
            </w:r>
          </w:p>
        </w:tc>
        <w:tc>
          <w:tcPr>
            <w:tcW w:w="434" w:type="pct"/>
            <w:tcBorders>
              <w:top w:val="single" w:sz="4" w:space="0" w:color="auto"/>
              <w:left w:val="nil"/>
              <w:bottom w:val="single" w:sz="4" w:space="0" w:color="auto"/>
              <w:right w:val="nil"/>
            </w:tcBorders>
            <w:shd w:val="clear" w:color="auto" w:fill="auto"/>
            <w:noWrap/>
            <w:vAlign w:val="bottom"/>
            <w:hideMark/>
          </w:tcPr>
          <w:p w14:paraId="17B5442D"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0</w:t>
            </w:r>
          </w:p>
        </w:tc>
        <w:tc>
          <w:tcPr>
            <w:tcW w:w="665" w:type="pct"/>
            <w:tcBorders>
              <w:top w:val="single" w:sz="4" w:space="0" w:color="auto"/>
              <w:left w:val="nil"/>
              <w:bottom w:val="single" w:sz="4" w:space="0" w:color="auto"/>
              <w:right w:val="nil"/>
            </w:tcBorders>
            <w:shd w:val="clear" w:color="auto" w:fill="auto"/>
            <w:noWrap/>
            <w:vAlign w:val="bottom"/>
            <w:hideMark/>
          </w:tcPr>
          <w:p w14:paraId="2005206E"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2.884.312</w:t>
            </w:r>
          </w:p>
        </w:tc>
        <w:tc>
          <w:tcPr>
            <w:tcW w:w="594" w:type="pct"/>
            <w:tcBorders>
              <w:top w:val="single" w:sz="4" w:space="0" w:color="auto"/>
              <w:left w:val="nil"/>
              <w:bottom w:val="single" w:sz="4" w:space="0" w:color="auto"/>
              <w:right w:val="nil"/>
            </w:tcBorders>
            <w:shd w:val="clear" w:color="auto" w:fill="auto"/>
            <w:noWrap/>
            <w:vAlign w:val="bottom"/>
            <w:hideMark/>
          </w:tcPr>
          <w:p w14:paraId="7FB9EAA2" w14:textId="77777777" w:rsidR="0013173C" w:rsidRPr="00252D7B" w:rsidRDefault="0013173C" w:rsidP="00F6584E">
            <w:pPr>
              <w:spacing w:after="120"/>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w:t>
            </w:r>
          </w:p>
        </w:tc>
      </w:tr>
    </w:tbl>
    <w:p w14:paraId="1F464233" w14:textId="77777777" w:rsidR="0013173C" w:rsidRPr="00252D7B" w:rsidRDefault="0013173C" w:rsidP="0013173C">
      <w:pPr>
        <w:pStyle w:val="Textoembloco"/>
        <w:spacing w:before="120" w:after="120" w:line="240" w:lineRule="auto"/>
        <w:ind w:left="0" w:right="57"/>
        <w:rPr>
          <w:rFonts w:asciiTheme="minorHAnsi" w:hAnsiTheme="minorHAnsi" w:cstheme="minorHAnsi"/>
          <w:sz w:val="24"/>
          <w:szCs w:val="24"/>
          <w:shd w:val="clear" w:color="auto" w:fill="FFFFFF"/>
        </w:rPr>
      </w:pPr>
    </w:p>
    <w:p w14:paraId="65666243" w14:textId="77777777" w:rsidR="0013173C" w:rsidRPr="00252D7B" w:rsidRDefault="0013173C" w:rsidP="0013173C">
      <w:pPr>
        <w:pStyle w:val="Textoembloco"/>
        <w:spacing w:before="120" w:after="120" w:line="240" w:lineRule="auto"/>
        <w:ind w:left="0" w:right="57"/>
        <w:rPr>
          <w:rFonts w:asciiTheme="minorHAnsi" w:hAnsiTheme="minorHAnsi" w:cstheme="minorHAnsi"/>
          <w:sz w:val="24"/>
          <w:szCs w:val="24"/>
          <w:shd w:val="clear" w:color="auto" w:fill="FFFFFF"/>
        </w:rPr>
      </w:pPr>
      <w:r w:rsidRPr="00252D7B">
        <w:rPr>
          <w:rFonts w:asciiTheme="minorHAnsi" w:hAnsiTheme="minorHAnsi" w:cstheme="minorHAnsi"/>
          <w:sz w:val="24"/>
          <w:szCs w:val="24"/>
          <w:shd w:val="clear" w:color="auto" w:fill="FFFFFF"/>
        </w:rPr>
        <w:t>Os Direitos de uso de Comunicação são direitos junto às empresas de telefonia que estão sendo reclamados pela Valec.</w:t>
      </w:r>
    </w:p>
    <w:p w14:paraId="23D485F9" w14:textId="77777777" w:rsidR="0013173C" w:rsidRPr="00252D7B" w:rsidRDefault="0013173C" w:rsidP="0013173C">
      <w:pPr>
        <w:pStyle w:val="Textoembloco"/>
        <w:spacing w:before="120" w:after="120" w:line="240" w:lineRule="auto"/>
        <w:ind w:left="0" w:right="57"/>
        <w:rPr>
          <w:rFonts w:asciiTheme="minorHAnsi" w:hAnsiTheme="minorHAnsi" w:cstheme="minorHAnsi"/>
          <w:sz w:val="24"/>
          <w:szCs w:val="24"/>
          <w:shd w:val="clear" w:color="auto" w:fill="FFFFFF"/>
        </w:rPr>
      </w:pPr>
      <w:r w:rsidRPr="00252D7B">
        <w:rPr>
          <w:rFonts w:asciiTheme="minorHAnsi" w:hAnsiTheme="minorHAnsi" w:cstheme="minorHAnsi"/>
          <w:sz w:val="24"/>
          <w:szCs w:val="24"/>
          <w:shd w:val="clear" w:color="auto" w:fill="FFFFFF"/>
        </w:rPr>
        <w:t xml:space="preserve">Os “Softwares” são amortizados ao longo de sua vida útil estimada em 05 anos. </w:t>
      </w:r>
    </w:p>
    <w:p w14:paraId="2B246EEF" w14:textId="77777777" w:rsidR="0013173C" w:rsidRPr="00252D7B" w:rsidRDefault="0013173C" w:rsidP="0013173C">
      <w:pPr>
        <w:pStyle w:val="Textoembloco"/>
        <w:spacing w:before="120" w:after="120" w:line="240" w:lineRule="auto"/>
        <w:ind w:left="0" w:right="57"/>
        <w:rPr>
          <w:rFonts w:asciiTheme="minorHAnsi" w:hAnsiTheme="minorHAnsi" w:cstheme="minorHAnsi"/>
          <w:sz w:val="24"/>
          <w:szCs w:val="24"/>
          <w:shd w:val="clear" w:color="auto" w:fill="FFFFFF"/>
        </w:rPr>
      </w:pPr>
      <w:r w:rsidRPr="00252D7B">
        <w:rPr>
          <w:rFonts w:asciiTheme="minorHAnsi" w:hAnsiTheme="minorHAnsi" w:cstheme="minorHAnsi"/>
          <w:sz w:val="24"/>
          <w:szCs w:val="24"/>
          <w:shd w:val="clear" w:color="auto" w:fill="FFFFFF"/>
        </w:rPr>
        <w:t xml:space="preserve">Anualmente, é realizado o inventário dos intangíveis da Valec e testado sua servibilidade. Os intangíveis que se apresentarem como inservíveis são doados ou baixados do sistema patrimonial bem como da contabilidade. </w:t>
      </w:r>
    </w:p>
    <w:p w14:paraId="2FC0999F" w14:textId="77777777" w:rsidR="0013173C" w:rsidRPr="00252D7B" w:rsidRDefault="0013173C" w:rsidP="0013173C">
      <w:pPr>
        <w:pStyle w:val="Textoembloco"/>
        <w:spacing w:before="120" w:after="120" w:line="240" w:lineRule="auto"/>
        <w:ind w:left="0" w:right="57"/>
        <w:rPr>
          <w:rFonts w:asciiTheme="minorHAnsi" w:hAnsiTheme="minorHAnsi" w:cstheme="minorHAnsi"/>
          <w:sz w:val="24"/>
          <w:szCs w:val="24"/>
          <w:shd w:val="clear" w:color="auto" w:fill="FFFFFF"/>
        </w:rPr>
      </w:pPr>
      <w:r w:rsidRPr="00252D7B">
        <w:rPr>
          <w:rFonts w:asciiTheme="minorHAnsi" w:hAnsiTheme="minorHAnsi" w:cstheme="minorHAnsi"/>
          <w:sz w:val="24"/>
          <w:szCs w:val="24"/>
          <w:shd w:val="clear" w:color="auto" w:fill="FFFFFF"/>
        </w:rPr>
        <w:t>No 1º trimestre de 2021, foi realizada a aquisição de Softwares no valor de R$ 302 mil devido ao incremento de valor em Licenças adquiridas em 2020, relativas ao contrato nº 003/2020.</w:t>
      </w:r>
    </w:p>
    <w:p w14:paraId="0AD23797" w14:textId="77777777" w:rsidR="0013173C" w:rsidRPr="00252D7B" w:rsidRDefault="0013173C" w:rsidP="0013173C">
      <w:pPr>
        <w:pStyle w:val="Textoembloco"/>
        <w:spacing w:before="120" w:after="120" w:line="240" w:lineRule="auto"/>
        <w:ind w:left="0" w:right="57"/>
        <w:rPr>
          <w:rFonts w:asciiTheme="minorHAnsi" w:hAnsiTheme="minorHAnsi" w:cstheme="minorHAnsi"/>
          <w:sz w:val="24"/>
          <w:szCs w:val="24"/>
          <w:shd w:val="clear" w:color="auto" w:fill="FFFFFF"/>
        </w:rPr>
      </w:pPr>
      <w:r w:rsidRPr="00252D7B">
        <w:rPr>
          <w:rFonts w:asciiTheme="minorHAnsi" w:hAnsiTheme="minorHAnsi" w:cstheme="minorHAnsi"/>
          <w:sz w:val="24"/>
          <w:szCs w:val="24"/>
          <w:shd w:val="clear" w:color="auto" w:fill="FFFFFF"/>
        </w:rPr>
        <w:t>No 4º trimestre de 2021, a Superintendência de Tecnologia da Informação da Valec elaborou laudo de avaliação da situação dos bens intangíveis referente aos softwares, com data base em 30 de novembro de 2021 (LAUDO DE AVALIAÇÃO Nº 12/2021/SUPTI-Valec/DIRAF-Valec), no qual certifica que todos os bens intangíveis contabilizados, na situação “em uso” na data de novembro de 2021, estão em funcionamento, fato que pode ser auferido em consulta aos logs de uso da aplicação. </w:t>
      </w:r>
    </w:p>
    <w:p w14:paraId="3DAB52A1" w14:textId="77777777" w:rsidR="0013173C" w:rsidRPr="00252D7B" w:rsidRDefault="0013173C" w:rsidP="0013173C">
      <w:pPr>
        <w:spacing w:before="120" w:after="120"/>
        <w:rPr>
          <w:rFonts w:asciiTheme="minorHAnsi" w:hAnsiTheme="minorHAnsi" w:cstheme="minorHAnsi"/>
          <w:sz w:val="24"/>
          <w:szCs w:val="24"/>
        </w:rPr>
      </w:pPr>
    </w:p>
    <w:p w14:paraId="708DBBDC" w14:textId="77777777" w:rsidR="0013173C" w:rsidRPr="00252D7B" w:rsidRDefault="0013173C" w:rsidP="00176C74">
      <w:pPr>
        <w:pStyle w:val="Ttulo3"/>
        <w:spacing w:before="120" w:after="120"/>
        <w:rPr>
          <w:rFonts w:asciiTheme="minorHAnsi" w:hAnsiTheme="minorHAnsi" w:cstheme="minorHAnsi"/>
        </w:rPr>
      </w:pPr>
      <w:bookmarkStart w:id="664" w:name="_Toc97918838"/>
      <w:bookmarkStart w:id="665" w:name="_Toc103680640"/>
      <w:r w:rsidRPr="00252D7B">
        <w:rPr>
          <w:rFonts w:asciiTheme="minorHAnsi" w:hAnsiTheme="minorHAnsi" w:cstheme="minorHAnsi"/>
        </w:rPr>
        <w:t>Obrigações de curto e longo prazo</w:t>
      </w:r>
      <w:bookmarkEnd w:id="664"/>
      <w:bookmarkEnd w:id="665"/>
    </w:p>
    <w:p w14:paraId="086CCACE" w14:textId="77777777" w:rsidR="0013173C" w:rsidRPr="00252D7B" w:rsidRDefault="0013173C" w:rsidP="0013173C">
      <w:pPr>
        <w:widowControl/>
        <w:autoSpaceDE/>
        <w:autoSpaceDN/>
        <w:spacing w:after="120"/>
        <w:jc w:val="both"/>
        <w:rPr>
          <w:rFonts w:asciiTheme="minorHAnsi" w:hAnsiTheme="minorHAnsi" w:cstheme="minorHAnsi"/>
          <w:bCs/>
          <w:sz w:val="24"/>
          <w:szCs w:val="24"/>
        </w:rPr>
      </w:pPr>
      <w:r w:rsidRPr="00252D7B">
        <w:rPr>
          <w:rFonts w:asciiTheme="minorHAnsi" w:hAnsiTheme="minorHAnsi" w:cstheme="minorHAnsi"/>
          <w:bCs/>
          <w:sz w:val="24"/>
          <w:szCs w:val="24"/>
        </w:rPr>
        <w:t>As obrigações de curto e longo prazo com destaques no balanço patrimonial foram: Depósitos retidos de fornecedores; Precatórios de Terceiros e Provisões de ações Judiciais.</w:t>
      </w:r>
    </w:p>
    <w:p w14:paraId="50ACF942" w14:textId="77777777" w:rsidR="0013173C" w:rsidRPr="00252D7B" w:rsidRDefault="0013173C" w:rsidP="0013173C">
      <w:pPr>
        <w:widowControl/>
        <w:autoSpaceDE/>
        <w:autoSpaceDN/>
        <w:spacing w:after="160" w:line="259" w:lineRule="auto"/>
        <w:rPr>
          <w:rFonts w:asciiTheme="minorHAnsi" w:hAnsiTheme="minorHAnsi" w:cstheme="minorHAnsi"/>
          <w:bCs/>
          <w:sz w:val="24"/>
          <w:szCs w:val="24"/>
        </w:rPr>
      </w:pPr>
      <w:r w:rsidRPr="00252D7B">
        <w:rPr>
          <w:rFonts w:asciiTheme="minorHAnsi" w:hAnsiTheme="minorHAnsi" w:cstheme="minorHAnsi"/>
          <w:bCs/>
          <w:sz w:val="24"/>
          <w:szCs w:val="24"/>
        </w:rPr>
        <w:br w:type="page"/>
      </w:r>
    </w:p>
    <w:p w14:paraId="16E32A34" w14:textId="77777777" w:rsidR="0013173C" w:rsidRPr="00252D7B" w:rsidRDefault="0013173C" w:rsidP="00176C74">
      <w:pPr>
        <w:pStyle w:val="Ttulo4"/>
        <w:rPr>
          <w:rFonts w:asciiTheme="minorHAnsi" w:hAnsiTheme="minorHAnsi" w:cstheme="minorHAnsi"/>
        </w:rPr>
      </w:pPr>
      <w:bookmarkStart w:id="666" w:name="_Toc97918839"/>
      <w:bookmarkStart w:id="667" w:name="_Toc103680641"/>
      <w:r w:rsidRPr="00176C74">
        <w:rPr>
          <w:rFonts w:asciiTheme="minorHAnsi" w:hAnsiTheme="minorHAnsi" w:cstheme="minorHAnsi"/>
        </w:rPr>
        <w:lastRenderedPageBreak/>
        <w:t>Depósitos retidos sobre fornecedores</w:t>
      </w:r>
      <w:bookmarkEnd w:id="666"/>
      <w:bookmarkEnd w:id="667"/>
    </w:p>
    <w:p w14:paraId="23D6BC79" w14:textId="77777777" w:rsidR="0013173C" w:rsidRPr="00252D7B" w:rsidRDefault="0013173C" w:rsidP="0013173C">
      <w:pPr>
        <w:rPr>
          <w:rFonts w:asciiTheme="minorHAnsi" w:hAnsiTheme="minorHAnsi" w:cstheme="minorHAnsi"/>
        </w:rPr>
      </w:pPr>
    </w:p>
    <w:p w14:paraId="00092E8D" w14:textId="75D56ACC" w:rsidR="0013173C" w:rsidRPr="005059B1" w:rsidRDefault="0013173C" w:rsidP="005059B1">
      <w:pPr>
        <w:pStyle w:val="Legenda"/>
        <w:jc w:val="center"/>
        <w:rPr>
          <w:rFonts w:asciiTheme="minorHAnsi" w:hAnsiTheme="minorHAnsi" w:cstheme="minorHAnsi"/>
          <w:sz w:val="20"/>
          <w:szCs w:val="20"/>
        </w:rPr>
      </w:pPr>
      <w:bookmarkStart w:id="668" w:name="_Toc97918916"/>
      <w:bookmarkStart w:id="669" w:name="_Toc103680702"/>
      <w:r w:rsidRPr="00252D7B">
        <w:rPr>
          <w:rFonts w:asciiTheme="minorHAnsi" w:hAnsiTheme="minorHAnsi" w:cstheme="minorHAnsi"/>
          <w:sz w:val="20"/>
          <w:szCs w:val="20"/>
        </w:rPr>
        <w:t xml:space="preserve">Tabela </w:t>
      </w:r>
      <w:r w:rsidRPr="005059B1">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Tabela \* ARABIC </w:instrText>
      </w:r>
      <w:r w:rsidRPr="005059B1">
        <w:rPr>
          <w:rFonts w:asciiTheme="minorHAnsi" w:hAnsiTheme="minorHAnsi" w:cstheme="minorHAnsi"/>
          <w:sz w:val="20"/>
          <w:szCs w:val="20"/>
        </w:rPr>
        <w:fldChar w:fldCharType="separate"/>
      </w:r>
      <w:r w:rsidR="00C12888">
        <w:rPr>
          <w:rFonts w:asciiTheme="minorHAnsi" w:hAnsiTheme="minorHAnsi" w:cstheme="minorHAnsi"/>
          <w:noProof/>
          <w:sz w:val="20"/>
          <w:szCs w:val="20"/>
        </w:rPr>
        <w:t>40</w:t>
      </w:r>
      <w:r w:rsidRPr="005059B1">
        <w:rPr>
          <w:rFonts w:asciiTheme="minorHAnsi" w:hAnsiTheme="minorHAnsi" w:cstheme="minorHAnsi"/>
          <w:sz w:val="20"/>
          <w:szCs w:val="20"/>
        </w:rPr>
        <w:fldChar w:fldCharType="end"/>
      </w:r>
      <w:r w:rsidRPr="00252D7B">
        <w:rPr>
          <w:rFonts w:asciiTheme="minorHAnsi" w:hAnsiTheme="minorHAnsi" w:cstheme="minorHAnsi"/>
          <w:sz w:val="20"/>
          <w:szCs w:val="20"/>
        </w:rPr>
        <w:t xml:space="preserve"> – Depósitos retidos sobre fornecedores</w:t>
      </w:r>
      <w:bookmarkEnd w:id="668"/>
      <w:bookmarkEnd w:id="669"/>
    </w:p>
    <w:tbl>
      <w:tblPr>
        <w:tblW w:w="5000" w:type="pct"/>
        <w:tblCellMar>
          <w:left w:w="70" w:type="dxa"/>
          <w:right w:w="70" w:type="dxa"/>
        </w:tblCellMar>
        <w:tblLook w:val="04A0" w:firstRow="1" w:lastRow="0" w:firstColumn="1" w:lastColumn="0" w:noHBand="0" w:noVBand="1"/>
      </w:tblPr>
      <w:tblGrid>
        <w:gridCol w:w="3700"/>
        <w:gridCol w:w="499"/>
        <w:gridCol w:w="497"/>
        <w:gridCol w:w="1359"/>
        <w:gridCol w:w="2245"/>
        <w:gridCol w:w="1446"/>
      </w:tblGrid>
      <w:tr w:rsidR="0013173C" w:rsidRPr="00252D7B" w14:paraId="4353456D" w14:textId="77777777" w:rsidTr="00F6584E">
        <w:trPr>
          <w:trHeight w:hRule="exact" w:val="227"/>
        </w:trPr>
        <w:tc>
          <w:tcPr>
            <w:tcW w:w="2409" w:type="pct"/>
            <w:gridSpan w:val="3"/>
            <w:tcBorders>
              <w:top w:val="nil"/>
              <w:left w:val="nil"/>
              <w:bottom w:val="single" w:sz="8" w:space="0" w:color="auto"/>
              <w:right w:val="nil"/>
            </w:tcBorders>
            <w:shd w:val="clear" w:color="auto" w:fill="auto"/>
            <w:noWrap/>
            <w:vAlign w:val="center"/>
            <w:hideMark/>
          </w:tcPr>
          <w:p w14:paraId="7B4B7A5C" w14:textId="77777777" w:rsidR="0013173C" w:rsidRPr="00252D7B" w:rsidRDefault="0013173C" w:rsidP="00F6584E">
            <w:pPr>
              <w:spacing w:after="120"/>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DEPÓSITOS RETIDOS SOBRE FORNECEDORES</w:t>
            </w:r>
          </w:p>
        </w:tc>
        <w:tc>
          <w:tcPr>
            <w:tcW w:w="697" w:type="pct"/>
            <w:tcBorders>
              <w:top w:val="nil"/>
              <w:left w:val="nil"/>
              <w:bottom w:val="single" w:sz="8" w:space="0" w:color="auto"/>
              <w:right w:val="nil"/>
            </w:tcBorders>
            <w:shd w:val="clear" w:color="auto" w:fill="auto"/>
            <w:noWrap/>
            <w:vAlign w:val="center"/>
            <w:hideMark/>
          </w:tcPr>
          <w:p w14:paraId="19A222E5"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w:t>
            </w:r>
          </w:p>
        </w:tc>
        <w:tc>
          <w:tcPr>
            <w:tcW w:w="1152" w:type="pct"/>
            <w:tcBorders>
              <w:top w:val="nil"/>
              <w:left w:val="nil"/>
              <w:bottom w:val="single" w:sz="8" w:space="0" w:color="auto"/>
              <w:right w:val="nil"/>
            </w:tcBorders>
            <w:shd w:val="clear" w:color="auto" w:fill="auto"/>
            <w:noWrap/>
            <w:vAlign w:val="center"/>
            <w:hideMark/>
          </w:tcPr>
          <w:p w14:paraId="7C217C09"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31/12/2021</w:t>
            </w:r>
          </w:p>
        </w:tc>
        <w:tc>
          <w:tcPr>
            <w:tcW w:w="742" w:type="pct"/>
            <w:tcBorders>
              <w:top w:val="nil"/>
              <w:left w:val="nil"/>
              <w:bottom w:val="single" w:sz="8" w:space="0" w:color="auto"/>
              <w:right w:val="nil"/>
            </w:tcBorders>
            <w:shd w:val="clear" w:color="auto" w:fill="auto"/>
            <w:noWrap/>
            <w:vAlign w:val="center"/>
            <w:hideMark/>
          </w:tcPr>
          <w:p w14:paraId="2BA06519"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31/12/2020</w:t>
            </w:r>
          </w:p>
        </w:tc>
      </w:tr>
      <w:tr w:rsidR="0013173C" w:rsidRPr="00252D7B" w14:paraId="0D10473B" w14:textId="77777777" w:rsidTr="00F6584E">
        <w:trPr>
          <w:trHeight w:hRule="exact" w:val="227"/>
        </w:trPr>
        <w:tc>
          <w:tcPr>
            <w:tcW w:w="2154" w:type="pct"/>
            <w:gridSpan w:val="2"/>
            <w:tcBorders>
              <w:top w:val="single" w:sz="8" w:space="0" w:color="auto"/>
              <w:left w:val="nil"/>
              <w:bottom w:val="nil"/>
              <w:right w:val="nil"/>
            </w:tcBorders>
            <w:shd w:val="clear" w:color="auto" w:fill="auto"/>
            <w:noWrap/>
            <w:vAlign w:val="center"/>
            <w:hideMark/>
          </w:tcPr>
          <w:p w14:paraId="6C9B3C2A"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 xml:space="preserve"> Saldo anterior</w:t>
            </w:r>
          </w:p>
        </w:tc>
        <w:tc>
          <w:tcPr>
            <w:tcW w:w="255" w:type="pct"/>
            <w:tcBorders>
              <w:top w:val="nil"/>
              <w:left w:val="nil"/>
              <w:bottom w:val="nil"/>
              <w:right w:val="nil"/>
            </w:tcBorders>
            <w:shd w:val="clear" w:color="auto" w:fill="auto"/>
            <w:noWrap/>
            <w:vAlign w:val="center"/>
            <w:hideMark/>
          </w:tcPr>
          <w:p w14:paraId="1A6001BC" w14:textId="77777777" w:rsidR="0013173C" w:rsidRPr="00252D7B" w:rsidRDefault="0013173C" w:rsidP="00F6584E">
            <w:pPr>
              <w:spacing w:after="120"/>
              <w:rPr>
                <w:rFonts w:asciiTheme="minorHAnsi" w:hAnsiTheme="minorHAnsi" w:cstheme="minorHAnsi"/>
                <w:color w:val="000000"/>
                <w:sz w:val="20"/>
                <w:szCs w:val="20"/>
              </w:rPr>
            </w:pPr>
          </w:p>
        </w:tc>
        <w:tc>
          <w:tcPr>
            <w:tcW w:w="697" w:type="pct"/>
            <w:tcBorders>
              <w:top w:val="nil"/>
              <w:left w:val="nil"/>
              <w:bottom w:val="nil"/>
              <w:right w:val="nil"/>
            </w:tcBorders>
            <w:shd w:val="clear" w:color="auto" w:fill="auto"/>
            <w:noWrap/>
            <w:vAlign w:val="center"/>
            <w:hideMark/>
          </w:tcPr>
          <w:p w14:paraId="702F411E" w14:textId="77777777" w:rsidR="0013173C" w:rsidRPr="00252D7B" w:rsidRDefault="0013173C" w:rsidP="00F6584E">
            <w:pPr>
              <w:spacing w:after="120"/>
              <w:rPr>
                <w:rFonts w:asciiTheme="minorHAnsi" w:hAnsiTheme="minorHAnsi" w:cstheme="minorHAnsi"/>
                <w:sz w:val="20"/>
                <w:szCs w:val="20"/>
              </w:rPr>
            </w:pPr>
          </w:p>
        </w:tc>
        <w:tc>
          <w:tcPr>
            <w:tcW w:w="1152" w:type="pct"/>
            <w:tcBorders>
              <w:top w:val="nil"/>
              <w:left w:val="nil"/>
              <w:bottom w:val="nil"/>
              <w:right w:val="nil"/>
            </w:tcBorders>
            <w:shd w:val="clear" w:color="auto" w:fill="auto"/>
            <w:noWrap/>
            <w:vAlign w:val="center"/>
            <w:hideMark/>
          </w:tcPr>
          <w:p w14:paraId="5FE20219"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38.526.493</w:t>
            </w:r>
          </w:p>
        </w:tc>
        <w:tc>
          <w:tcPr>
            <w:tcW w:w="742" w:type="pct"/>
            <w:tcBorders>
              <w:top w:val="nil"/>
              <w:left w:val="nil"/>
              <w:bottom w:val="nil"/>
              <w:right w:val="nil"/>
            </w:tcBorders>
            <w:shd w:val="clear" w:color="auto" w:fill="auto"/>
            <w:noWrap/>
            <w:vAlign w:val="center"/>
            <w:hideMark/>
          </w:tcPr>
          <w:p w14:paraId="7C776FFD"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38.483.270</w:t>
            </w:r>
          </w:p>
        </w:tc>
      </w:tr>
      <w:tr w:rsidR="0013173C" w:rsidRPr="00252D7B" w14:paraId="042ACBF7" w14:textId="77777777" w:rsidTr="00F6584E">
        <w:trPr>
          <w:trHeight w:hRule="exact" w:val="227"/>
        </w:trPr>
        <w:tc>
          <w:tcPr>
            <w:tcW w:w="2409" w:type="pct"/>
            <w:gridSpan w:val="3"/>
            <w:tcBorders>
              <w:top w:val="nil"/>
              <w:left w:val="nil"/>
              <w:bottom w:val="nil"/>
              <w:right w:val="nil"/>
            </w:tcBorders>
            <w:shd w:val="clear" w:color="auto" w:fill="auto"/>
            <w:noWrap/>
            <w:vAlign w:val="center"/>
            <w:hideMark/>
          </w:tcPr>
          <w:p w14:paraId="448961E6"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 xml:space="preserve"> Retenções sobre fornecedores</w:t>
            </w:r>
          </w:p>
        </w:tc>
        <w:tc>
          <w:tcPr>
            <w:tcW w:w="697" w:type="pct"/>
            <w:tcBorders>
              <w:top w:val="nil"/>
              <w:left w:val="nil"/>
              <w:bottom w:val="nil"/>
              <w:right w:val="nil"/>
            </w:tcBorders>
            <w:shd w:val="clear" w:color="auto" w:fill="auto"/>
            <w:noWrap/>
            <w:vAlign w:val="center"/>
            <w:hideMark/>
          </w:tcPr>
          <w:p w14:paraId="657D889F" w14:textId="77777777" w:rsidR="0013173C" w:rsidRPr="00252D7B" w:rsidRDefault="0013173C" w:rsidP="00F6584E">
            <w:pPr>
              <w:spacing w:after="120"/>
              <w:rPr>
                <w:rFonts w:asciiTheme="minorHAnsi" w:hAnsiTheme="minorHAnsi" w:cstheme="minorHAnsi"/>
                <w:color w:val="000000"/>
                <w:sz w:val="20"/>
                <w:szCs w:val="20"/>
              </w:rPr>
            </w:pPr>
          </w:p>
        </w:tc>
        <w:tc>
          <w:tcPr>
            <w:tcW w:w="1152" w:type="pct"/>
            <w:tcBorders>
              <w:top w:val="nil"/>
              <w:left w:val="nil"/>
              <w:bottom w:val="nil"/>
              <w:right w:val="nil"/>
            </w:tcBorders>
            <w:shd w:val="clear" w:color="auto" w:fill="auto"/>
            <w:noWrap/>
            <w:vAlign w:val="center"/>
            <w:hideMark/>
          </w:tcPr>
          <w:p w14:paraId="1BEF3453"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1.603.301</w:t>
            </w:r>
          </w:p>
        </w:tc>
        <w:tc>
          <w:tcPr>
            <w:tcW w:w="742" w:type="pct"/>
            <w:tcBorders>
              <w:top w:val="nil"/>
              <w:left w:val="nil"/>
              <w:bottom w:val="nil"/>
              <w:right w:val="nil"/>
            </w:tcBorders>
            <w:shd w:val="clear" w:color="auto" w:fill="auto"/>
            <w:noWrap/>
            <w:vAlign w:val="center"/>
            <w:hideMark/>
          </w:tcPr>
          <w:p w14:paraId="42B71198"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179.254</w:t>
            </w:r>
          </w:p>
        </w:tc>
      </w:tr>
      <w:tr w:rsidR="0013173C" w:rsidRPr="00252D7B" w14:paraId="6A3FA396" w14:textId="77777777" w:rsidTr="00F6584E">
        <w:trPr>
          <w:trHeight w:hRule="exact" w:val="227"/>
        </w:trPr>
        <w:tc>
          <w:tcPr>
            <w:tcW w:w="2154" w:type="pct"/>
            <w:gridSpan w:val="2"/>
            <w:tcBorders>
              <w:top w:val="nil"/>
              <w:left w:val="nil"/>
              <w:bottom w:val="nil"/>
              <w:right w:val="nil"/>
            </w:tcBorders>
            <w:shd w:val="clear" w:color="auto" w:fill="auto"/>
            <w:noWrap/>
            <w:vAlign w:val="center"/>
            <w:hideMark/>
          </w:tcPr>
          <w:p w14:paraId="78DF6ABD"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 xml:space="preserve"> Baixa de depósitos</w:t>
            </w:r>
          </w:p>
        </w:tc>
        <w:tc>
          <w:tcPr>
            <w:tcW w:w="255" w:type="pct"/>
            <w:tcBorders>
              <w:top w:val="nil"/>
              <w:left w:val="nil"/>
              <w:bottom w:val="nil"/>
              <w:right w:val="nil"/>
            </w:tcBorders>
            <w:shd w:val="clear" w:color="auto" w:fill="auto"/>
            <w:noWrap/>
            <w:vAlign w:val="center"/>
            <w:hideMark/>
          </w:tcPr>
          <w:p w14:paraId="2E0ED4B7" w14:textId="77777777" w:rsidR="0013173C" w:rsidRPr="00252D7B" w:rsidRDefault="0013173C" w:rsidP="00F6584E">
            <w:pPr>
              <w:spacing w:after="120"/>
              <w:rPr>
                <w:rFonts w:asciiTheme="minorHAnsi" w:hAnsiTheme="minorHAnsi" w:cstheme="minorHAnsi"/>
                <w:color w:val="000000"/>
                <w:sz w:val="20"/>
                <w:szCs w:val="20"/>
              </w:rPr>
            </w:pPr>
          </w:p>
        </w:tc>
        <w:tc>
          <w:tcPr>
            <w:tcW w:w="697" w:type="pct"/>
            <w:tcBorders>
              <w:top w:val="nil"/>
              <w:left w:val="nil"/>
              <w:bottom w:val="nil"/>
              <w:right w:val="nil"/>
            </w:tcBorders>
            <w:shd w:val="clear" w:color="auto" w:fill="auto"/>
            <w:noWrap/>
            <w:vAlign w:val="center"/>
            <w:hideMark/>
          </w:tcPr>
          <w:p w14:paraId="0A03344B" w14:textId="77777777" w:rsidR="0013173C" w:rsidRPr="00252D7B" w:rsidRDefault="0013173C" w:rsidP="00F6584E">
            <w:pPr>
              <w:spacing w:after="120"/>
              <w:rPr>
                <w:rFonts w:asciiTheme="minorHAnsi" w:hAnsiTheme="minorHAnsi" w:cstheme="minorHAnsi"/>
                <w:sz w:val="20"/>
                <w:szCs w:val="20"/>
              </w:rPr>
            </w:pPr>
          </w:p>
        </w:tc>
        <w:tc>
          <w:tcPr>
            <w:tcW w:w="1152" w:type="pct"/>
            <w:tcBorders>
              <w:top w:val="nil"/>
              <w:left w:val="nil"/>
              <w:bottom w:val="nil"/>
              <w:right w:val="nil"/>
            </w:tcBorders>
            <w:shd w:val="clear" w:color="auto" w:fill="auto"/>
            <w:noWrap/>
            <w:vAlign w:val="center"/>
            <w:hideMark/>
          </w:tcPr>
          <w:p w14:paraId="37F9E37C"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(12.600.452)</w:t>
            </w:r>
          </w:p>
        </w:tc>
        <w:tc>
          <w:tcPr>
            <w:tcW w:w="742" w:type="pct"/>
            <w:tcBorders>
              <w:top w:val="nil"/>
              <w:left w:val="nil"/>
              <w:bottom w:val="nil"/>
              <w:right w:val="nil"/>
            </w:tcBorders>
            <w:shd w:val="clear" w:color="auto" w:fill="auto"/>
            <w:noWrap/>
            <w:vAlign w:val="center"/>
            <w:hideMark/>
          </w:tcPr>
          <w:p w14:paraId="0898D568"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(136.031)</w:t>
            </w:r>
          </w:p>
        </w:tc>
      </w:tr>
      <w:tr w:rsidR="0013173C" w:rsidRPr="00252D7B" w14:paraId="4AA3C995" w14:textId="77777777" w:rsidTr="00F6584E">
        <w:trPr>
          <w:trHeight w:hRule="exact" w:val="227"/>
        </w:trPr>
        <w:tc>
          <w:tcPr>
            <w:tcW w:w="2409" w:type="pct"/>
            <w:gridSpan w:val="3"/>
            <w:tcBorders>
              <w:top w:val="nil"/>
              <w:left w:val="nil"/>
              <w:bottom w:val="single" w:sz="8" w:space="0" w:color="auto"/>
              <w:right w:val="nil"/>
            </w:tcBorders>
            <w:shd w:val="clear" w:color="auto" w:fill="auto"/>
            <w:noWrap/>
            <w:vAlign w:val="center"/>
            <w:hideMark/>
          </w:tcPr>
          <w:p w14:paraId="2673A329"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 xml:space="preserve"> Pagamento de Obrigações</w:t>
            </w:r>
          </w:p>
        </w:tc>
        <w:tc>
          <w:tcPr>
            <w:tcW w:w="697" w:type="pct"/>
            <w:tcBorders>
              <w:top w:val="nil"/>
              <w:left w:val="nil"/>
              <w:bottom w:val="single" w:sz="8" w:space="0" w:color="auto"/>
              <w:right w:val="nil"/>
            </w:tcBorders>
            <w:shd w:val="clear" w:color="auto" w:fill="auto"/>
            <w:noWrap/>
            <w:vAlign w:val="center"/>
            <w:hideMark/>
          </w:tcPr>
          <w:p w14:paraId="3D47246D"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 </w:t>
            </w:r>
          </w:p>
        </w:tc>
        <w:tc>
          <w:tcPr>
            <w:tcW w:w="1152" w:type="pct"/>
            <w:tcBorders>
              <w:top w:val="nil"/>
              <w:left w:val="nil"/>
              <w:bottom w:val="single" w:sz="8" w:space="0" w:color="auto"/>
              <w:right w:val="nil"/>
            </w:tcBorders>
            <w:shd w:val="clear" w:color="auto" w:fill="auto"/>
            <w:noWrap/>
            <w:vAlign w:val="center"/>
            <w:hideMark/>
          </w:tcPr>
          <w:p w14:paraId="6D4D3CD7"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(446.352)</w:t>
            </w:r>
          </w:p>
        </w:tc>
        <w:tc>
          <w:tcPr>
            <w:tcW w:w="742" w:type="pct"/>
            <w:tcBorders>
              <w:top w:val="nil"/>
              <w:left w:val="nil"/>
              <w:bottom w:val="single" w:sz="8" w:space="0" w:color="auto"/>
              <w:right w:val="nil"/>
            </w:tcBorders>
            <w:shd w:val="clear" w:color="auto" w:fill="auto"/>
            <w:noWrap/>
            <w:vAlign w:val="center"/>
            <w:hideMark/>
          </w:tcPr>
          <w:p w14:paraId="4723FCBD"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r>
      <w:tr w:rsidR="0013173C" w:rsidRPr="00252D7B" w14:paraId="1943D260" w14:textId="77777777" w:rsidTr="00F6584E">
        <w:trPr>
          <w:trHeight w:hRule="exact" w:val="227"/>
        </w:trPr>
        <w:tc>
          <w:tcPr>
            <w:tcW w:w="1898" w:type="pct"/>
            <w:tcBorders>
              <w:top w:val="nil"/>
              <w:left w:val="nil"/>
              <w:bottom w:val="single" w:sz="8" w:space="0" w:color="auto"/>
              <w:right w:val="nil"/>
            </w:tcBorders>
            <w:shd w:val="clear" w:color="auto" w:fill="auto"/>
            <w:noWrap/>
            <w:vAlign w:val="center"/>
            <w:hideMark/>
          </w:tcPr>
          <w:p w14:paraId="08793AB0" w14:textId="77777777" w:rsidR="0013173C" w:rsidRPr="00252D7B" w:rsidRDefault="0013173C" w:rsidP="00F6584E">
            <w:pPr>
              <w:spacing w:after="120"/>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xml:space="preserve"> TOTAL</w:t>
            </w:r>
          </w:p>
        </w:tc>
        <w:tc>
          <w:tcPr>
            <w:tcW w:w="256" w:type="pct"/>
            <w:tcBorders>
              <w:top w:val="nil"/>
              <w:left w:val="nil"/>
              <w:bottom w:val="single" w:sz="8" w:space="0" w:color="auto"/>
              <w:right w:val="nil"/>
            </w:tcBorders>
            <w:shd w:val="clear" w:color="auto" w:fill="auto"/>
            <w:noWrap/>
            <w:vAlign w:val="center"/>
            <w:hideMark/>
          </w:tcPr>
          <w:p w14:paraId="2DCD3872"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 </w:t>
            </w:r>
          </w:p>
        </w:tc>
        <w:tc>
          <w:tcPr>
            <w:tcW w:w="255" w:type="pct"/>
            <w:tcBorders>
              <w:top w:val="nil"/>
              <w:left w:val="nil"/>
              <w:bottom w:val="single" w:sz="8" w:space="0" w:color="auto"/>
              <w:right w:val="nil"/>
            </w:tcBorders>
            <w:shd w:val="clear" w:color="auto" w:fill="auto"/>
            <w:noWrap/>
            <w:vAlign w:val="center"/>
            <w:hideMark/>
          </w:tcPr>
          <w:p w14:paraId="34FB4455"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 </w:t>
            </w:r>
          </w:p>
        </w:tc>
        <w:tc>
          <w:tcPr>
            <w:tcW w:w="697" w:type="pct"/>
            <w:tcBorders>
              <w:top w:val="nil"/>
              <w:left w:val="nil"/>
              <w:bottom w:val="single" w:sz="8" w:space="0" w:color="auto"/>
              <w:right w:val="nil"/>
            </w:tcBorders>
            <w:shd w:val="clear" w:color="auto" w:fill="auto"/>
            <w:noWrap/>
            <w:vAlign w:val="center"/>
            <w:hideMark/>
          </w:tcPr>
          <w:p w14:paraId="26793F55"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w:t>
            </w:r>
          </w:p>
        </w:tc>
        <w:tc>
          <w:tcPr>
            <w:tcW w:w="1152" w:type="pct"/>
            <w:tcBorders>
              <w:top w:val="nil"/>
              <w:left w:val="nil"/>
              <w:bottom w:val="single" w:sz="8" w:space="0" w:color="auto"/>
              <w:right w:val="nil"/>
            </w:tcBorders>
            <w:shd w:val="clear" w:color="auto" w:fill="auto"/>
            <w:noWrap/>
            <w:vAlign w:val="center"/>
            <w:hideMark/>
          </w:tcPr>
          <w:p w14:paraId="147F5A2D"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27.082.990</w:t>
            </w:r>
          </w:p>
        </w:tc>
        <w:tc>
          <w:tcPr>
            <w:tcW w:w="742" w:type="pct"/>
            <w:tcBorders>
              <w:top w:val="nil"/>
              <w:left w:val="nil"/>
              <w:bottom w:val="single" w:sz="8" w:space="0" w:color="auto"/>
              <w:right w:val="nil"/>
            </w:tcBorders>
            <w:shd w:val="clear" w:color="auto" w:fill="auto"/>
            <w:noWrap/>
            <w:vAlign w:val="center"/>
            <w:hideMark/>
          </w:tcPr>
          <w:p w14:paraId="74B32FF5"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38.526.493</w:t>
            </w:r>
          </w:p>
        </w:tc>
      </w:tr>
    </w:tbl>
    <w:p w14:paraId="59EA76D4" w14:textId="77777777" w:rsidR="0013173C" w:rsidRPr="00252D7B" w:rsidRDefault="0013173C" w:rsidP="0013173C">
      <w:pPr>
        <w:pStyle w:val="Textoembloco"/>
        <w:spacing w:before="120" w:after="120" w:line="240" w:lineRule="auto"/>
        <w:ind w:left="0" w:right="57"/>
        <w:rPr>
          <w:rFonts w:asciiTheme="minorHAnsi" w:hAnsiTheme="minorHAnsi" w:cstheme="minorHAnsi"/>
          <w:sz w:val="24"/>
          <w:szCs w:val="24"/>
          <w:shd w:val="clear" w:color="auto" w:fill="FFFFFF"/>
        </w:rPr>
      </w:pPr>
      <w:r w:rsidRPr="00252D7B">
        <w:rPr>
          <w:rFonts w:asciiTheme="minorHAnsi" w:hAnsiTheme="minorHAnsi" w:cstheme="minorHAnsi"/>
          <w:sz w:val="24"/>
          <w:szCs w:val="24"/>
          <w:shd w:val="clear" w:color="auto" w:fill="FFFFFF"/>
        </w:rPr>
        <w:t xml:space="preserve">A conta “Depósitos Retidos de Fornecedores” registra as retenções contratuais sobre pagamentos a fornecedores e outras retenções como glosas por determinações dos Órgãos de Controle.  </w:t>
      </w:r>
    </w:p>
    <w:p w14:paraId="12DD8793" w14:textId="77777777" w:rsidR="0013173C" w:rsidRPr="00252D7B" w:rsidRDefault="0013173C" w:rsidP="0013173C">
      <w:pPr>
        <w:pStyle w:val="Textoembloco"/>
        <w:spacing w:before="120" w:after="120" w:line="240" w:lineRule="auto"/>
        <w:ind w:left="0" w:right="57"/>
        <w:rPr>
          <w:rFonts w:asciiTheme="minorHAnsi" w:hAnsiTheme="minorHAnsi" w:cstheme="minorHAnsi"/>
          <w:sz w:val="24"/>
          <w:szCs w:val="24"/>
          <w:shd w:val="clear" w:color="auto" w:fill="FFFFFF"/>
        </w:rPr>
      </w:pPr>
      <w:r w:rsidRPr="00252D7B">
        <w:rPr>
          <w:rFonts w:asciiTheme="minorHAnsi" w:hAnsiTheme="minorHAnsi" w:cstheme="minorHAnsi"/>
          <w:sz w:val="24"/>
          <w:szCs w:val="24"/>
          <w:shd w:val="clear" w:color="auto" w:fill="FFFFFF"/>
        </w:rPr>
        <w:t>As baixas que ocorreram referem-se aos contratos encerrados e não reclamados administrativamente.</w:t>
      </w:r>
    </w:p>
    <w:p w14:paraId="57A6BCBC" w14:textId="77777777" w:rsidR="0013173C" w:rsidRPr="00252D7B" w:rsidRDefault="0013173C" w:rsidP="0013173C">
      <w:pPr>
        <w:pStyle w:val="Textoembloco"/>
        <w:spacing w:before="120" w:after="120" w:line="240" w:lineRule="auto"/>
        <w:ind w:left="0" w:right="57"/>
        <w:rPr>
          <w:rFonts w:asciiTheme="minorHAnsi" w:hAnsiTheme="minorHAnsi" w:cstheme="minorHAnsi"/>
          <w:sz w:val="22"/>
          <w:szCs w:val="22"/>
          <w:shd w:val="clear" w:color="auto" w:fill="FFFFFF"/>
        </w:rPr>
      </w:pPr>
    </w:p>
    <w:p w14:paraId="32A36A30" w14:textId="77777777" w:rsidR="0013173C" w:rsidRPr="00252D7B" w:rsidRDefault="0013173C" w:rsidP="004E2193">
      <w:pPr>
        <w:pStyle w:val="Ttulo4"/>
        <w:rPr>
          <w:rFonts w:asciiTheme="minorHAnsi" w:hAnsiTheme="minorHAnsi" w:cstheme="minorHAnsi"/>
        </w:rPr>
      </w:pPr>
      <w:bookmarkStart w:id="670" w:name="_Toc97918840"/>
      <w:bookmarkStart w:id="671" w:name="_Toc103680642"/>
      <w:r w:rsidRPr="004E2193">
        <w:rPr>
          <w:rFonts w:asciiTheme="minorHAnsi" w:hAnsiTheme="minorHAnsi" w:cstheme="minorHAnsi"/>
        </w:rPr>
        <w:t>Precatórios de terceiros</w:t>
      </w:r>
      <w:bookmarkEnd w:id="670"/>
      <w:bookmarkEnd w:id="671"/>
      <w:r w:rsidRPr="004E2193">
        <w:rPr>
          <w:rFonts w:asciiTheme="minorHAnsi" w:hAnsiTheme="minorHAnsi" w:cstheme="minorHAnsi"/>
        </w:rPr>
        <w:t xml:space="preserve"> </w:t>
      </w:r>
    </w:p>
    <w:p w14:paraId="422D90E0" w14:textId="77777777" w:rsidR="0013173C" w:rsidRPr="00252D7B" w:rsidRDefault="0013173C" w:rsidP="0013173C">
      <w:pPr>
        <w:spacing w:before="120" w:after="120"/>
        <w:jc w:val="both"/>
        <w:rPr>
          <w:rFonts w:asciiTheme="minorHAnsi" w:hAnsiTheme="minorHAnsi" w:cstheme="minorHAnsi"/>
        </w:rPr>
      </w:pPr>
      <w:r w:rsidRPr="00252D7B">
        <w:rPr>
          <w:rFonts w:asciiTheme="minorHAnsi" w:hAnsiTheme="minorHAnsi" w:cstheme="minorHAnsi"/>
          <w:sz w:val="24"/>
          <w:szCs w:val="24"/>
        </w:rPr>
        <w:t>Registros de Precatórios de Terceiros realizado pelo Tribunal Regional Federal da 4ª Região referentes a precatórios alimentares e comuns autuados entre julho de 2020 a julho de 2021 a serem pagos em setembro de 2022 (Tabela 66).</w:t>
      </w:r>
    </w:p>
    <w:p w14:paraId="691BA841" w14:textId="77777777" w:rsidR="0013173C" w:rsidRPr="00252D7B" w:rsidRDefault="0013173C" w:rsidP="0013173C">
      <w:pPr>
        <w:spacing w:before="120" w:after="120"/>
        <w:jc w:val="both"/>
        <w:rPr>
          <w:rFonts w:asciiTheme="minorHAnsi" w:hAnsiTheme="minorHAnsi" w:cstheme="minorHAnsi"/>
        </w:rPr>
      </w:pPr>
    </w:p>
    <w:p w14:paraId="6512BF5F" w14:textId="7798E58D" w:rsidR="0013173C" w:rsidRPr="005059B1" w:rsidRDefault="0013173C" w:rsidP="005059B1">
      <w:pPr>
        <w:pStyle w:val="Legenda"/>
        <w:jc w:val="center"/>
        <w:rPr>
          <w:rFonts w:asciiTheme="minorHAnsi" w:hAnsiTheme="minorHAnsi" w:cstheme="minorHAnsi"/>
          <w:sz w:val="20"/>
          <w:szCs w:val="20"/>
        </w:rPr>
      </w:pPr>
      <w:bookmarkStart w:id="672" w:name="_Toc97918917"/>
      <w:bookmarkStart w:id="673" w:name="_Toc103680703"/>
      <w:r w:rsidRPr="00252D7B">
        <w:rPr>
          <w:rFonts w:asciiTheme="minorHAnsi" w:hAnsiTheme="minorHAnsi" w:cstheme="minorHAnsi"/>
          <w:sz w:val="20"/>
          <w:szCs w:val="20"/>
        </w:rPr>
        <w:t xml:space="preserve">Tabela </w:t>
      </w:r>
      <w:r w:rsidRPr="005059B1">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Tabela \* ARABIC </w:instrText>
      </w:r>
      <w:r w:rsidRPr="005059B1">
        <w:rPr>
          <w:rFonts w:asciiTheme="minorHAnsi" w:hAnsiTheme="minorHAnsi" w:cstheme="minorHAnsi"/>
          <w:sz w:val="20"/>
          <w:szCs w:val="20"/>
        </w:rPr>
        <w:fldChar w:fldCharType="separate"/>
      </w:r>
      <w:r w:rsidR="00C12888">
        <w:rPr>
          <w:rFonts w:asciiTheme="minorHAnsi" w:hAnsiTheme="minorHAnsi" w:cstheme="minorHAnsi"/>
          <w:noProof/>
          <w:sz w:val="20"/>
          <w:szCs w:val="20"/>
        </w:rPr>
        <w:t>41</w:t>
      </w:r>
      <w:r w:rsidRPr="005059B1">
        <w:rPr>
          <w:rFonts w:asciiTheme="minorHAnsi" w:hAnsiTheme="minorHAnsi" w:cstheme="minorHAnsi"/>
          <w:sz w:val="20"/>
          <w:szCs w:val="20"/>
        </w:rPr>
        <w:fldChar w:fldCharType="end"/>
      </w:r>
      <w:r w:rsidRPr="00252D7B">
        <w:rPr>
          <w:rFonts w:asciiTheme="minorHAnsi" w:hAnsiTheme="minorHAnsi" w:cstheme="minorHAnsi"/>
          <w:sz w:val="20"/>
          <w:szCs w:val="20"/>
        </w:rPr>
        <w:t xml:space="preserve"> – Processo: PA 007980-80-2015.4.04.8000</w:t>
      </w:r>
      <w:bookmarkEnd w:id="672"/>
      <w:bookmarkEnd w:id="673"/>
    </w:p>
    <w:tbl>
      <w:tblPr>
        <w:tblW w:w="5001" w:type="pct"/>
        <w:tblCellMar>
          <w:left w:w="70" w:type="dxa"/>
          <w:right w:w="70" w:type="dxa"/>
        </w:tblCellMar>
        <w:tblLook w:val="04A0" w:firstRow="1" w:lastRow="0" w:firstColumn="1" w:lastColumn="0" w:noHBand="0" w:noVBand="1"/>
      </w:tblPr>
      <w:tblGrid>
        <w:gridCol w:w="3604"/>
        <w:gridCol w:w="3682"/>
        <w:gridCol w:w="1241"/>
        <w:gridCol w:w="1221"/>
      </w:tblGrid>
      <w:tr w:rsidR="0013173C" w:rsidRPr="00252D7B" w14:paraId="6BB61989" w14:textId="77777777" w:rsidTr="00F6584E">
        <w:trPr>
          <w:trHeight w:hRule="exact" w:val="227"/>
        </w:trPr>
        <w:tc>
          <w:tcPr>
            <w:tcW w:w="1116" w:type="pct"/>
            <w:tcBorders>
              <w:top w:val="nil"/>
              <w:left w:val="nil"/>
              <w:bottom w:val="single" w:sz="8" w:space="0" w:color="auto"/>
              <w:right w:val="nil"/>
            </w:tcBorders>
            <w:shd w:val="clear" w:color="auto" w:fill="auto"/>
            <w:noWrap/>
            <w:vAlign w:val="bottom"/>
            <w:hideMark/>
          </w:tcPr>
          <w:p w14:paraId="1B447FB9" w14:textId="77777777" w:rsidR="0013173C" w:rsidRPr="00252D7B" w:rsidRDefault="0013173C" w:rsidP="00F6584E">
            <w:pPr>
              <w:spacing w:after="120"/>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PROCESSO: PA 007980-80-2015.4.04.8000</w:t>
            </w:r>
          </w:p>
        </w:tc>
        <w:tc>
          <w:tcPr>
            <w:tcW w:w="2133" w:type="pct"/>
            <w:tcBorders>
              <w:top w:val="nil"/>
              <w:left w:val="nil"/>
              <w:bottom w:val="single" w:sz="8" w:space="0" w:color="auto"/>
              <w:right w:val="nil"/>
            </w:tcBorders>
            <w:shd w:val="clear" w:color="auto" w:fill="auto"/>
            <w:vAlign w:val="bottom"/>
          </w:tcPr>
          <w:p w14:paraId="2DE49860" w14:textId="77777777" w:rsidR="0013173C" w:rsidRPr="00252D7B" w:rsidRDefault="0013173C" w:rsidP="00F6584E">
            <w:pPr>
              <w:spacing w:after="120"/>
              <w:jc w:val="right"/>
              <w:rPr>
                <w:rFonts w:asciiTheme="minorHAnsi" w:hAnsiTheme="minorHAnsi" w:cstheme="minorHAnsi"/>
                <w:b/>
                <w:bCs/>
                <w:color w:val="000000"/>
                <w:sz w:val="20"/>
                <w:szCs w:val="20"/>
              </w:rPr>
            </w:pPr>
          </w:p>
        </w:tc>
        <w:tc>
          <w:tcPr>
            <w:tcW w:w="880" w:type="pct"/>
            <w:tcBorders>
              <w:top w:val="nil"/>
              <w:left w:val="nil"/>
              <w:bottom w:val="single" w:sz="8" w:space="0" w:color="auto"/>
              <w:right w:val="nil"/>
            </w:tcBorders>
            <w:shd w:val="clear" w:color="auto" w:fill="auto"/>
            <w:vAlign w:val="bottom"/>
          </w:tcPr>
          <w:p w14:paraId="35B66F3F" w14:textId="77777777" w:rsidR="0013173C" w:rsidRPr="00252D7B" w:rsidRDefault="0013173C" w:rsidP="00F6584E">
            <w:pPr>
              <w:spacing w:after="120"/>
              <w:jc w:val="right"/>
              <w:rPr>
                <w:rFonts w:asciiTheme="minorHAnsi" w:hAnsiTheme="minorHAnsi" w:cstheme="minorHAnsi"/>
                <w:b/>
                <w:bCs/>
                <w:color w:val="000000"/>
                <w:sz w:val="20"/>
                <w:szCs w:val="20"/>
              </w:rPr>
            </w:pPr>
          </w:p>
        </w:tc>
        <w:tc>
          <w:tcPr>
            <w:tcW w:w="870" w:type="pct"/>
            <w:tcBorders>
              <w:top w:val="nil"/>
              <w:left w:val="nil"/>
              <w:bottom w:val="single" w:sz="8" w:space="0" w:color="auto"/>
              <w:right w:val="nil"/>
            </w:tcBorders>
            <w:vAlign w:val="bottom"/>
          </w:tcPr>
          <w:p w14:paraId="32D68B98"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31/12/2021</w:t>
            </w:r>
          </w:p>
        </w:tc>
      </w:tr>
      <w:tr w:rsidR="0013173C" w:rsidRPr="00252D7B" w14:paraId="56403A3C" w14:textId="77777777" w:rsidTr="00F6584E">
        <w:trPr>
          <w:trHeight w:hRule="exact" w:val="227"/>
        </w:trPr>
        <w:tc>
          <w:tcPr>
            <w:tcW w:w="1116" w:type="pct"/>
            <w:tcBorders>
              <w:top w:val="nil"/>
              <w:left w:val="nil"/>
              <w:bottom w:val="nil"/>
              <w:right w:val="nil"/>
            </w:tcBorders>
            <w:shd w:val="clear" w:color="auto" w:fill="auto"/>
            <w:noWrap/>
            <w:vAlign w:val="center"/>
            <w:hideMark/>
          </w:tcPr>
          <w:p w14:paraId="43FE9C5F"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Principal</w:t>
            </w:r>
          </w:p>
        </w:tc>
        <w:tc>
          <w:tcPr>
            <w:tcW w:w="2133" w:type="pct"/>
            <w:tcBorders>
              <w:top w:val="nil"/>
              <w:left w:val="nil"/>
              <w:bottom w:val="nil"/>
              <w:right w:val="nil"/>
            </w:tcBorders>
            <w:shd w:val="clear" w:color="auto" w:fill="auto"/>
            <w:noWrap/>
            <w:vAlign w:val="center"/>
          </w:tcPr>
          <w:p w14:paraId="19C1CF3E" w14:textId="77777777" w:rsidR="0013173C" w:rsidRPr="00252D7B" w:rsidRDefault="0013173C" w:rsidP="00F6584E">
            <w:pPr>
              <w:spacing w:after="120"/>
              <w:jc w:val="right"/>
              <w:rPr>
                <w:rFonts w:asciiTheme="minorHAnsi" w:hAnsiTheme="minorHAnsi" w:cstheme="minorHAnsi"/>
                <w:color w:val="000000"/>
                <w:sz w:val="20"/>
                <w:szCs w:val="20"/>
              </w:rPr>
            </w:pPr>
          </w:p>
        </w:tc>
        <w:tc>
          <w:tcPr>
            <w:tcW w:w="880" w:type="pct"/>
            <w:tcBorders>
              <w:top w:val="nil"/>
              <w:left w:val="nil"/>
              <w:bottom w:val="nil"/>
              <w:right w:val="nil"/>
            </w:tcBorders>
            <w:shd w:val="clear" w:color="auto" w:fill="auto"/>
            <w:vAlign w:val="center"/>
          </w:tcPr>
          <w:p w14:paraId="3B383220" w14:textId="77777777" w:rsidR="0013173C" w:rsidRPr="00252D7B" w:rsidRDefault="0013173C" w:rsidP="00F6584E">
            <w:pPr>
              <w:spacing w:after="120"/>
              <w:jc w:val="right"/>
              <w:rPr>
                <w:rFonts w:asciiTheme="minorHAnsi" w:hAnsiTheme="minorHAnsi" w:cstheme="minorHAnsi"/>
                <w:color w:val="000000"/>
                <w:sz w:val="20"/>
                <w:szCs w:val="20"/>
              </w:rPr>
            </w:pPr>
          </w:p>
        </w:tc>
        <w:tc>
          <w:tcPr>
            <w:tcW w:w="870" w:type="pct"/>
            <w:tcBorders>
              <w:top w:val="nil"/>
              <w:left w:val="nil"/>
              <w:bottom w:val="nil"/>
              <w:right w:val="nil"/>
            </w:tcBorders>
            <w:vAlign w:val="center"/>
          </w:tcPr>
          <w:p w14:paraId="75E7BCBB"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641.192</w:t>
            </w:r>
          </w:p>
        </w:tc>
      </w:tr>
      <w:tr w:rsidR="0013173C" w:rsidRPr="00252D7B" w14:paraId="4F232809" w14:textId="77777777" w:rsidTr="00F6584E">
        <w:trPr>
          <w:trHeight w:hRule="exact" w:val="227"/>
        </w:trPr>
        <w:tc>
          <w:tcPr>
            <w:tcW w:w="1116" w:type="pct"/>
            <w:tcBorders>
              <w:top w:val="nil"/>
              <w:left w:val="nil"/>
              <w:bottom w:val="nil"/>
              <w:right w:val="nil"/>
            </w:tcBorders>
            <w:shd w:val="clear" w:color="auto" w:fill="auto"/>
            <w:noWrap/>
            <w:vAlign w:val="center"/>
            <w:hideMark/>
          </w:tcPr>
          <w:p w14:paraId="7906E3A3"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Atualização Monetária</w:t>
            </w:r>
          </w:p>
        </w:tc>
        <w:tc>
          <w:tcPr>
            <w:tcW w:w="2133" w:type="pct"/>
            <w:tcBorders>
              <w:top w:val="nil"/>
              <w:left w:val="nil"/>
              <w:bottom w:val="nil"/>
              <w:right w:val="nil"/>
            </w:tcBorders>
            <w:shd w:val="clear" w:color="auto" w:fill="auto"/>
            <w:noWrap/>
            <w:vAlign w:val="center"/>
          </w:tcPr>
          <w:p w14:paraId="1857EE3C" w14:textId="77777777" w:rsidR="0013173C" w:rsidRPr="00252D7B" w:rsidRDefault="0013173C" w:rsidP="00F6584E">
            <w:pPr>
              <w:spacing w:after="120"/>
              <w:jc w:val="right"/>
              <w:rPr>
                <w:rFonts w:asciiTheme="minorHAnsi" w:hAnsiTheme="minorHAnsi" w:cstheme="minorHAnsi"/>
                <w:color w:val="000000"/>
                <w:sz w:val="20"/>
                <w:szCs w:val="20"/>
              </w:rPr>
            </w:pPr>
          </w:p>
        </w:tc>
        <w:tc>
          <w:tcPr>
            <w:tcW w:w="880" w:type="pct"/>
            <w:tcBorders>
              <w:top w:val="nil"/>
              <w:left w:val="nil"/>
              <w:bottom w:val="nil"/>
              <w:right w:val="nil"/>
            </w:tcBorders>
            <w:shd w:val="clear" w:color="auto" w:fill="auto"/>
            <w:vAlign w:val="center"/>
          </w:tcPr>
          <w:p w14:paraId="005B3DC1" w14:textId="77777777" w:rsidR="0013173C" w:rsidRPr="00252D7B" w:rsidRDefault="0013173C" w:rsidP="00F6584E">
            <w:pPr>
              <w:spacing w:after="120"/>
              <w:jc w:val="right"/>
              <w:rPr>
                <w:rFonts w:asciiTheme="minorHAnsi" w:hAnsiTheme="minorHAnsi" w:cstheme="minorHAnsi"/>
                <w:color w:val="000000"/>
                <w:sz w:val="20"/>
                <w:szCs w:val="20"/>
              </w:rPr>
            </w:pPr>
          </w:p>
        </w:tc>
        <w:tc>
          <w:tcPr>
            <w:tcW w:w="870" w:type="pct"/>
            <w:tcBorders>
              <w:top w:val="nil"/>
              <w:left w:val="nil"/>
              <w:bottom w:val="nil"/>
              <w:right w:val="nil"/>
            </w:tcBorders>
            <w:vAlign w:val="center"/>
          </w:tcPr>
          <w:p w14:paraId="475CD34E"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38.765</w:t>
            </w:r>
          </w:p>
        </w:tc>
      </w:tr>
      <w:tr w:rsidR="0013173C" w:rsidRPr="00252D7B" w14:paraId="4A8EEBAB" w14:textId="77777777" w:rsidTr="00F6584E">
        <w:trPr>
          <w:trHeight w:hRule="exact" w:val="227"/>
        </w:trPr>
        <w:tc>
          <w:tcPr>
            <w:tcW w:w="1116" w:type="pct"/>
            <w:tcBorders>
              <w:top w:val="single" w:sz="8" w:space="0" w:color="auto"/>
              <w:left w:val="nil"/>
              <w:bottom w:val="single" w:sz="8" w:space="0" w:color="auto"/>
              <w:right w:val="nil"/>
            </w:tcBorders>
            <w:shd w:val="clear" w:color="auto" w:fill="auto"/>
            <w:noWrap/>
            <w:vAlign w:val="center"/>
            <w:hideMark/>
          </w:tcPr>
          <w:p w14:paraId="12C3BB30" w14:textId="77777777" w:rsidR="0013173C" w:rsidRPr="00252D7B" w:rsidRDefault="0013173C" w:rsidP="00F6584E">
            <w:pPr>
              <w:spacing w:after="120"/>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SALDO em 31/12/2021</w:t>
            </w:r>
          </w:p>
        </w:tc>
        <w:tc>
          <w:tcPr>
            <w:tcW w:w="2133" w:type="pct"/>
            <w:tcBorders>
              <w:top w:val="single" w:sz="8" w:space="0" w:color="auto"/>
              <w:left w:val="nil"/>
              <w:bottom w:val="single" w:sz="8" w:space="0" w:color="auto"/>
              <w:right w:val="nil"/>
            </w:tcBorders>
            <w:shd w:val="clear" w:color="auto" w:fill="auto"/>
            <w:noWrap/>
            <w:vAlign w:val="center"/>
          </w:tcPr>
          <w:p w14:paraId="79F0D2B6" w14:textId="77777777" w:rsidR="0013173C" w:rsidRPr="00252D7B" w:rsidRDefault="0013173C" w:rsidP="00F6584E">
            <w:pPr>
              <w:spacing w:after="120"/>
              <w:jc w:val="right"/>
              <w:rPr>
                <w:rFonts w:asciiTheme="minorHAnsi" w:hAnsiTheme="minorHAnsi" w:cstheme="minorHAnsi"/>
                <w:b/>
                <w:bCs/>
                <w:color w:val="000000"/>
                <w:sz w:val="20"/>
                <w:szCs w:val="20"/>
              </w:rPr>
            </w:pPr>
          </w:p>
        </w:tc>
        <w:tc>
          <w:tcPr>
            <w:tcW w:w="880" w:type="pct"/>
            <w:tcBorders>
              <w:top w:val="single" w:sz="8" w:space="0" w:color="auto"/>
              <w:left w:val="nil"/>
              <w:bottom w:val="single" w:sz="8" w:space="0" w:color="auto"/>
              <w:right w:val="nil"/>
            </w:tcBorders>
            <w:shd w:val="clear" w:color="auto" w:fill="auto"/>
            <w:vAlign w:val="center"/>
          </w:tcPr>
          <w:p w14:paraId="26D08BC0" w14:textId="77777777" w:rsidR="0013173C" w:rsidRPr="00252D7B" w:rsidRDefault="0013173C" w:rsidP="00F6584E">
            <w:pPr>
              <w:spacing w:after="120"/>
              <w:jc w:val="right"/>
              <w:rPr>
                <w:rFonts w:asciiTheme="minorHAnsi" w:hAnsiTheme="minorHAnsi" w:cstheme="minorHAnsi"/>
                <w:b/>
                <w:bCs/>
                <w:color w:val="000000"/>
                <w:sz w:val="20"/>
                <w:szCs w:val="20"/>
              </w:rPr>
            </w:pPr>
          </w:p>
        </w:tc>
        <w:tc>
          <w:tcPr>
            <w:tcW w:w="870" w:type="pct"/>
            <w:tcBorders>
              <w:top w:val="single" w:sz="8" w:space="0" w:color="auto"/>
              <w:left w:val="nil"/>
              <w:bottom w:val="single" w:sz="8" w:space="0" w:color="auto"/>
              <w:right w:val="nil"/>
            </w:tcBorders>
            <w:vAlign w:val="center"/>
          </w:tcPr>
          <w:p w14:paraId="298E1380"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679.957</w:t>
            </w:r>
          </w:p>
        </w:tc>
      </w:tr>
    </w:tbl>
    <w:p w14:paraId="67F3D49D" w14:textId="77777777" w:rsidR="0013173C" w:rsidRPr="00252D7B" w:rsidRDefault="0013173C" w:rsidP="0013173C">
      <w:pPr>
        <w:rPr>
          <w:rFonts w:asciiTheme="minorHAnsi" w:hAnsiTheme="minorHAnsi" w:cstheme="minorHAnsi"/>
          <w:b/>
          <w:bCs/>
          <w:sz w:val="20"/>
          <w:szCs w:val="20"/>
        </w:rPr>
      </w:pPr>
    </w:p>
    <w:p w14:paraId="10306E8B" w14:textId="77777777" w:rsidR="0013173C" w:rsidRPr="00252D7B" w:rsidRDefault="0013173C" w:rsidP="0013173C">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Registros de Precatórios de Terceiros realizado pelo Tribunal Regional Federal da 4ª Região referentes a precatórios alimentares e comuns autuados entre julho de 2021 a dezembro de 2021 a serem pagos em setembro de 2023 (Tabela 67).</w:t>
      </w:r>
    </w:p>
    <w:p w14:paraId="2D0D865E" w14:textId="77777777" w:rsidR="0013173C" w:rsidRPr="00252D7B" w:rsidRDefault="0013173C" w:rsidP="0013173C">
      <w:pPr>
        <w:rPr>
          <w:rFonts w:asciiTheme="minorHAnsi" w:hAnsiTheme="minorHAnsi" w:cstheme="minorHAnsi"/>
        </w:rPr>
      </w:pPr>
    </w:p>
    <w:p w14:paraId="7AE87CA4" w14:textId="5CAA0F0C" w:rsidR="0013173C" w:rsidRPr="005059B1" w:rsidRDefault="0013173C" w:rsidP="005059B1">
      <w:pPr>
        <w:pStyle w:val="Legenda"/>
        <w:jc w:val="center"/>
        <w:rPr>
          <w:rFonts w:asciiTheme="minorHAnsi" w:hAnsiTheme="minorHAnsi" w:cstheme="minorHAnsi"/>
          <w:sz w:val="20"/>
          <w:szCs w:val="20"/>
        </w:rPr>
      </w:pPr>
      <w:bookmarkStart w:id="674" w:name="_Toc97918918"/>
      <w:bookmarkStart w:id="675" w:name="_Toc103680704"/>
      <w:r w:rsidRPr="00252D7B">
        <w:rPr>
          <w:rFonts w:asciiTheme="minorHAnsi" w:hAnsiTheme="minorHAnsi" w:cstheme="minorHAnsi"/>
          <w:sz w:val="20"/>
          <w:szCs w:val="20"/>
        </w:rPr>
        <w:t xml:space="preserve">Tabela </w:t>
      </w:r>
      <w:r w:rsidRPr="005059B1">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Tabela \* ARABIC </w:instrText>
      </w:r>
      <w:r w:rsidRPr="005059B1">
        <w:rPr>
          <w:rFonts w:asciiTheme="minorHAnsi" w:hAnsiTheme="minorHAnsi" w:cstheme="minorHAnsi"/>
          <w:sz w:val="20"/>
          <w:szCs w:val="20"/>
        </w:rPr>
        <w:fldChar w:fldCharType="separate"/>
      </w:r>
      <w:r w:rsidR="00C12888">
        <w:rPr>
          <w:rFonts w:asciiTheme="minorHAnsi" w:hAnsiTheme="minorHAnsi" w:cstheme="minorHAnsi"/>
          <w:noProof/>
          <w:sz w:val="20"/>
          <w:szCs w:val="20"/>
        </w:rPr>
        <w:t>42</w:t>
      </w:r>
      <w:r w:rsidRPr="005059B1">
        <w:rPr>
          <w:rFonts w:asciiTheme="minorHAnsi" w:hAnsiTheme="minorHAnsi" w:cstheme="minorHAnsi"/>
          <w:sz w:val="20"/>
          <w:szCs w:val="20"/>
        </w:rPr>
        <w:fldChar w:fldCharType="end"/>
      </w:r>
      <w:r w:rsidRPr="00252D7B">
        <w:rPr>
          <w:rFonts w:asciiTheme="minorHAnsi" w:hAnsiTheme="minorHAnsi" w:cstheme="minorHAnsi"/>
          <w:sz w:val="20"/>
          <w:szCs w:val="20"/>
        </w:rPr>
        <w:t xml:space="preserve"> – Processo: PA 007980-80-2015.4.04.8000</w:t>
      </w:r>
      <w:bookmarkEnd w:id="674"/>
      <w:bookmarkEnd w:id="675"/>
    </w:p>
    <w:tbl>
      <w:tblPr>
        <w:tblW w:w="5001" w:type="pct"/>
        <w:tblCellMar>
          <w:left w:w="70" w:type="dxa"/>
          <w:right w:w="70" w:type="dxa"/>
        </w:tblCellMar>
        <w:tblLook w:val="04A0" w:firstRow="1" w:lastRow="0" w:firstColumn="1" w:lastColumn="0" w:noHBand="0" w:noVBand="1"/>
      </w:tblPr>
      <w:tblGrid>
        <w:gridCol w:w="3604"/>
        <w:gridCol w:w="3683"/>
        <w:gridCol w:w="1242"/>
        <w:gridCol w:w="1219"/>
      </w:tblGrid>
      <w:tr w:rsidR="0013173C" w:rsidRPr="00252D7B" w14:paraId="433C0710" w14:textId="77777777" w:rsidTr="00F6584E">
        <w:trPr>
          <w:trHeight w:hRule="exact" w:val="227"/>
        </w:trPr>
        <w:tc>
          <w:tcPr>
            <w:tcW w:w="1849" w:type="pct"/>
            <w:tcBorders>
              <w:top w:val="nil"/>
              <w:left w:val="nil"/>
              <w:bottom w:val="single" w:sz="8" w:space="0" w:color="auto"/>
              <w:right w:val="nil"/>
            </w:tcBorders>
            <w:shd w:val="clear" w:color="auto" w:fill="auto"/>
            <w:noWrap/>
            <w:vAlign w:val="bottom"/>
            <w:hideMark/>
          </w:tcPr>
          <w:p w14:paraId="44029E22" w14:textId="77777777" w:rsidR="0013173C" w:rsidRPr="00252D7B" w:rsidRDefault="0013173C" w:rsidP="00F6584E">
            <w:pPr>
              <w:spacing w:after="120"/>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PROCESSO: PA 007980-80-2015.4.04.8000</w:t>
            </w:r>
          </w:p>
        </w:tc>
        <w:tc>
          <w:tcPr>
            <w:tcW w:w="1889" w:type="pct"/>
            <w:tcBorders>
              <w:top w:val="nil"/>
              <w:left w:val="nil"/>
              <w:bottom w:val="single" w:sz="8" w:space="0" w:color="auto"/>
              <w:right w:val="nil"/>
            </w:tcBorders>
            <w:shd w:val="clear" w:color="auto" w:fill="auto"/>
            <w:vAlign w:val="bottom"/>
          </w:tcPr>
          <w:p w14:paraId="33795040" w14:textId="77777777" w:rsidR="0013173C" w:rsidRPr="00252D7B" w:rsidRDefault="0013173C" w:rsidP="00F6584E">
            <w:pPr>
              <w:spacing w:after="120"/>
              <w:jc w:val="right"/>
              <w:rPr>
                <w:rFonts w:asciiTheme="minorHAnsi" w:hAnsiTheme="minorHAnsi" w:cstheme="minorHAnsi"/>
                <w:b/>
                <w:bCs/>
                <w:color w:val="000000"/>
                <w:sz w:val="20"/>
                <w:szCs w:val="20"/>
              </w:rPr>
            </w:pPr>
          </w:p>
        </w:tc>
        <w:tc>
          <w:tcPr>
            <w:tcW w:w="637" w:type="pct"/>
            <w:tcBorders>
              <w:top w:val="nil"/>
              <w:left w:val="nil"/>
              <w:bottom w:val="single" w:sz="8" w:space="0" w:color="auto"/>
              <w:right w:val="nil"/>
            </w:tcBorders>
            <w:shd w:val="clear" w:color="auto" w:fill="auto"/>
            <w:vAlign w:val="bottom"/>
          </w:tcPr>
          <w:p w14:paraId="50086F2E" w14:textId="77777777" w:rsidR="0013173C" w:rsidRPr="00252D7B" w:rsidRDefault="0013173C" w:rsidP="00F6584E">
            <w:pPr>
              <w:spacing w:after="120"/>
              <w:jc w:val="right"/>
              <w:rPr>
                <w:rFonts w:asciiTheme="minorHAnsi" w:hAnsiTheme="minorHAnsi" w:cstheme="minorHAnsi"/>
                <w:b/>
                <w:bCs/>
                <w:color w:val="000000"/>
                <w:sz w:val="20"/>
                <w:szCs w:val="20"/>
              </w:rPr>
            </w:pPr>
          </w:p>
        </w:tc>
        <w:tc>
          <w:tcPr>
            <w:tcW w:w="626" w:type="pct"/>
            <w:tcBorders>
              <w:top w:val="nil"/>
              <w:left w:val="nil"/>
              <w:bottom w:val="single" w:sz="8" w:space="0" w:color="auto"/>
              <w:right w:val="nil"/>
            </w:tcBorders>
            <w:vAlign w:val="bottom"/>
          </w:tcPr>
          <w:p w14:paraId="6E9E1FEF"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31/12/2021</w:t>
            </w:r>
          </w:p>
        </w:tc>
      </w:tr>
      <w:tr w:rsidR="0013173C" w:rsidRPr="00252D7B" w14:paraId="1B24EF31" w14:textId="77777777" w:rsidTr="00F6584E">
        <w:trPr>
          <w:trHeight w:hRule="exact" w:val="227"/>
        </w:trPr>
        <w:tc>
          <w:tcPr>
            <w:tcW w:w="1849" w:type="pct"/>
            <w:tcBorders>
              <w:top w:val="nil"/>
              <w:left w:val="nil"/>
              <w:bottom w:val="nil"/>
              <w:right w:val="nil"/>
            </w:tcBorders>
            <w:shd w:val="clear" w:color="auto" w:fill="auto"/>
            <w:noWrap/>
            <w:vAlign w:val="center"/>
            <w:hideMark/>
          </w:tcPr>
          <w:p w14:paraId="70E7D8BC"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Principal</w:t>
            </w:r>
          </w:p>
        </w:tc>
        <w:tc>
          <w:tcPr>
            <w:tcW w:w="1889" w:type="pct"/>
            <w:tcBorders>
              <w:top w:val="nil"/>
              <w:left w:val="nil"/>
              <w:bottom w:val="nil"/>
              <w:right w:val="nil"/>
            </w:tcBorders>
            <w:shd w:val="clear" w:color="auto" w:fill="auto"/>
            <w:noWrap/>
            <w:vAlign w:val="center"/>
          </w:tcPr>
          <w:p w14:paraId="0972A208" w14:textId="77777777" w:rsidR="0013173C" w:rsidRPr="00252D7B" w:rsidRDefault="0013173C" w:rsidP="00F6584E">
            <w:pPr>
              <w:spacing w:after="120"/>
              <w:jc w:val="right"/>
              <w:rPr>
                <w:rFonts w:asciiTheme="minorHAnsi" w:hAnsiTheme="minorHAnsi" w:cstheme="minorHAnsi"/>
                <w:color w:val="000000"/>
                <w:sz w:val="20"/>
                <w:szCs w:val="20"/>
              </w:rPr>
            </w:pPr>
          </w:p>
        </w:tc>
        <w:tc>
          <w:tcPr>
            <w:tcW w:w="637" w:type="pct"/>
            <w:tcBorders>
              <w:top w:val="nil"/>
              <w:left w:val="nil"/>
              <w:bottom w:val="nil"/>
              <w:right w:val="nil"/>
            </w:tcBorders>
            <w:shd w:val="clear" w:color="auto" w:fill="auto"/>
            <w:vAlign w:val="center"/>
          </w:tcPr>
          <w:p w14:paraId="0DBEB898" w14:textId="77777777" w:rsidR="0013173C" w:rsidRPr="00252D7B" w:rsidRDefault="0013173C" w:rsidP="00F6584E">
            <w:pPr>
              <w:spacing w:after="120"/>
              <w:jc w:val="right"/>
              <w:rPr>
                <w:rFonts w:asciiTheme="minorHAnsi" w:hAnsiTheme="minorHAnsi" w:cstheme="minorHAnsi"/>
                <w:color w:val="000000"/>
                <w:sz w:val="20"/>
                <w:szCs w:val="20"/>
              </w:rPr>
            </w:pPr>
          </w:p>
        </w:tc>
        <w:tc>
          <w:tcPr>
            <w:tcW w:w="626" w:type="pct"/>
            <w:tcBorders>
              <w:top w:val="nil"/>
              <w:left w:val="nil"/>
              <w:bottom w:val="nil"/>
              <w:right w:val="nil"/>
            </w:tcBorders>
            <w:vAlign w:val="center"/>
          </w:tcPr>
          <w:p w14:paraId="68BC4EB9"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121.593</w:t>
            </w:r>
          </w:p>
        </w:tc>
      </w:tr>
      <w:tr w:rsidR="0013173C" w:rsidRPr="00252D7B" w14:paraId="2ADC5D56" w14:textId="77777777" w:rsidTr="00F6584E">
        <w:trPr>
          <w:trHeight w:hRule="exact" w:val="227"/>
        </w:trPr>
        <w:tc>
          <w:tcPr>
            <w:tcW w:w="1849" w:type="pct"/>
            <w:tcBorders>
              <w:top w:val="nil"/>
              <w:left w:val="nil"/>
              <w:bottom w:val="nil"/>
              <w:right w:val="nil"/>
            </w:tcBorders>
            <w:shd w:val="clear" w:color="auto" w:fill="auto"/>
            <w:noWrap/>
            <w:vAlign w:val="center"/>
            <w:hideMark/>
          </w:tcPr>
          <w:p w14:paraId="72F8F86C"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Atualização Monetária</w:t>
            </w:r>
          </w:p>
        </w:tc>
        <w:tc>
          <w:tcPr>
            <w:tcW w:w="1889" w:type="pct"/>
            <w:tcBorders>
              <w:top w:val="nil"/>
              <w:left w:val="nil"/>
              <w:bottom w:val="nil"/>
              <w:right w:val="nil"/>
            </w:tcBorders>
            <w:shd w:val="clear" w:color="auto" w:fill="auto"/>
            <w:noWrap/>
            <w:vAlign w:val="center"/>
          </w:tcPr>
          <w:p w14:paraId="545F4E54" w14:textId="77777777" w:rsidR="0013173C" w:rsidRPr="00252D7B" w:rsidRDefault="0013173C" w:rsidP="00F6584E">
            <w:pPr>
              <w:spacing w:after="120"/>
              <w:jc w:val="right"/>
              <w:rPr>
                <w:rFonts w:asciiTheme="minorHAnsi" w:hAnsiTheme="minorHAnsi" w:cstheme="minorHAnsi"/>
                <w:color w:val="000000"/>
                <w:sz w:val="20"/>
                <w:szCs w:val="20"/>
              </w:rPr>
            </w:pPr>
          </w:p>
        </w:tc>
        <w:tc>
          <w:tcPr>
            <w:tcW w:w="637" w:type="pct"/>
            <w:tcBorders>
              <w:top w:val="nil"/>
              <w:left w:val="nil"/>
              <w:bottom w:val="nil"/>
              <w:right w:val="nil"/>
            </w:tcBorders>
            <w:shd w:val="clear" w:color="auto" w:fill="auto"/>
            <w:vAlign w:val="center"/>
          </w:tcPr>
          <w:p w14:paraId="674CD989" w14:textId="77777777" w:rsidR="0013173C" w:rsidRPr="00252D7B" w:rsidRDefault="0013173C" w:rsidP="00F6584E">
            <w:pPr>
              <w:spacing w:after="120"/>
              <w:jc w:val="right"/>
              <w:rPr>
                <w:rFonts w:asciiTheme="minorHAnsi" w:hAnsiTheme="minorHAnsi" w:cstheme="minorHAnsi"/>
                <w:color w:val="000000"/>
                <w:sz w:val="20"/>
                <w:szCs w:val="20"/>
              </w:rPr>
            </w:pPr>
          </w:p>
        </w:tc>
        <w:tc>
          <w:tcPr>
            <w:tcW w:w="626" w:type="pct"/>
            <w:tcBorders>
              <w:top w:val="nil"/>
              <w:left w:val="nil"/>
              <w:bottom w:val="nil"/>
              <w:right w:val="nil"/>
            </w:tcBorders>
            <w:vAlign w:val="center"/>
          </w:tcPr>
          <w:p w14:paraId="0A4241A0"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r>
      <w:tr w:rsidR="0013173C" w:rsidRPr="00252D7B" w14:paraId="54A533ED" w14:textId="77777777" w:rsidTr="00F6584E">
        <w:trPr>
          <w:trHeight w:hRule="exact" w:val="227"/>
        </w:trPr>
        <w:tc>
          <w:tcPr>
            <w:tcW w:w="1849" w:type="pct"/>
            <w:tcBorders>
              <w:top w:val="single" w:sz="8" w:space="0" w:color="auto"/>
              <w:left w:val="nil"/>
              <w:bottom w:val="single" w:sz="8" w:space="0" w:color="auto"/>
              <w:right w:val="nil"/>
            </w:tcBorders>
            <w:shd w:val="clear" w:color="auto" w:fill="auto"/>
            <w:noWrap/>
            <w:vAlign w:val="center"/>
            <w:hideMark/>
          </w:tcPr>
          <w:p w14:paraId="62F56749" w14:textId="77777777" w:rsidR="0013173C" w:rsidRPr="00252D7B" w:rsidRDefault="0013173C" w:rsidP="00F6584E">
            <w:pPr>
              <w:spacing w:after="120"/>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SALDO em 31/12/2021</w:t>
            </w:r>
          </w:p>
        </w:tc>
        <w:tc>
          <w:tcPr>
            <w:tcW w:w="1889" w:type="pct"/>
            <w:tcBorders>
              <w:top w:val="single" w:sz="8" w:space="0" w:color="auto"/>
              <w:left w:val="nil"/>
              <w:bottom w:val="single" w:sz="8" w:space="0" w:color="auto"/>
              <w:right w:val="nil"/>
            </w:tcBorders>
            <w:shd w:val="clear" w:color="auto" w:fill="auto"/>
            <w:noWrap/>
            <w:vAlign w:val="center"/>
          </w:tcPr>
          <w:p w14:paraId="7B883A73" w14:textId="77777777" w:rsidR="0013173C" w:rsidRPr="00252D7B" w:rsidRDefault="0013173C" w:rsidP="00F6584E">
            <w:pPr>
              <w:spacing w:after="120"/>
              <w:jc w:val="right"/>
              <w:rPr>
                <w:rFonts w:asciiTheme="minorHAnsi" w:hAnsiTheme="minorHAnsi" w:cstheme="minorHAnsi"/>
                <w:b/>
                <w:bCs/>
                <w:color w:val="000000"/>
                <w:sz w:val="20"/>
                <w:szCs w:val="20"/>
              </w:rPr>
            </w:pPr>
          </w:p>
        </w:tc>
        <w:tc>
          <w:tcPr>
            <w:tcW w:w="637" w:type="pct"/>
            <w:tcBorders>
              <w:top w:val="single" w:sz="8" w:space="0" w:color="auto"/>
              <w:left w:val="nil"/>
              <w:bottom w:val="single" w:sz="8" w:space="0" w:color="auto"/>
              <w:right w:val="nil"/>
            </w:tcBorders>
            <w:shd w:val="clear" w:color="auto" w:fill="auto"/>
            <w:vAlign w:val="center"/>
          </w:tcPr>
          <w:p w14:paraId="3437534D" w14:textId="77777777" w:rsidR="0013173C" w:rsidRPr="00252D7B" w:rsidRDefault="0013173C" w:rsidP="00F6584E">
            <w:pPr>
              <w:spacing w:after="120"/>
              <w:jc w:val="right"/>
              <w:rPr>
                <w:rFonts w:asciiTheme="minorHAnsi" w:hAnsiTheme="minorHAnsi" w:cstheme="minorHAnsi"/>
                <w:b/>
                <w:bCs/>
                <w:color w:val="000000"/>
                <w:sz w:val="20"/>
                <w:szCs w:val="20"/>
              </w:rPr>
            </w:pPr>
          </w:p>
        </w:tc>
        <w:tc>
          <w:tcPr>
            <w:tcW w:w="626" w:type="pct"/>
            <w:tcBorders>
              <w:top w:val="single" w:sz="8" w:space="0" w:color="auto"/>
              <w:left w:val="nil"/>
              <w:bottom w:val="single" w:sz="8" w:space="0" w:color="auto"/>
              <w:right w:val="nil"/>
            </w:tcBorders>
            <w:vAlign w:val="center"/>
          </w:tcPr>
          <w:p w14:paraId="49837ED3"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121.593</w:t>
            </w:r>
          </w:p>
        </w:tc>
      </w:tr>
    </w:tbl>
    <w:p w14:paraId="60C5EBAE" w14:textId="77777777" w:rsidR="0013173C" w:rsidRPr="00252D7B" w:rsidRDefault="0013173C" w:rsidP="0013173C">
      <w:pPr>
        <w:rPr>
          <w:rFonts w:asciiTheme="minorHAnsi" w:hAnsiTheme="minorHAnsi" w:cstheme="minorHAnsi"/>
          <w:sz w:val="20"/>
          <w:szCs w:val="20"/>
        </w:rPr>
      </w:pPr>
    </w:p>
    <w:p w14:paraId="23EF5139" w14:textId="77777777" w:rsidR="0013173C" w:rsidRPr="00252D7B" w:rsidRDefault="0013173C" w:rsidP="0013173C">
      <w:pPr>
        <w:spacing w:before="120" w:after="120"/>
        <w:rPr>
          <w:rFonts w:asciiTheme="minorHAnsi" w:hAnsiTheme="minorHAnsi" w:cstheme="minorHAnsi"/>
        </w:rPr>
      </w:pPr>
    </w:p>
    <w:p w14:paraId="2F0BB779" w14:textId="77777777" w:rsidR="0013173C" w:rsidRPr="004E2193" w:rsidRDefault="0013173C" w:rsidP="004E2193">
      <w:pPr>
        <w:pStyle w:val="Ttulo4"/>
        <w:rPr>
          <w:rFonts w:asciiTheme="minorHAnsi" w:hAnsiTheme="minorHAnsi" w:cstheme="minorHAnsi"/>
        </w:rPr>
      </w:pPr>
      <w:bookmarkStart w:id="676" w:name="_Toc97918841"/>
      <w:bookmarkStart w:id="677" w:name="_Toc103680643"/>
      <w:r w:rsidRPr="004E2193">
        <w:rPr>
          <w:rFonts w:asciiTheme="minorHAnsi" w:hAnsiTheme="minorHAnsi" w:cstheme="minorHAnsi"/>
        </w:rPr>
        <w:t>Provisões</w:t>
      </w:r>
      <w:r w:rsidRPr="00252D7B">
        <w:rPr>
          <w:rFonts w:asciiTheme="minorHAnsi" w:hAnsiTheme="minorHAnsi" w:cstheme="minorHAnsi"/>
        </w:rPr>
        <w:t xml:space="preserve"> </w:t>
      </w:r>
      <w:r w:rsidRPr="004E2193">
        <w:rPr>
          <w:rFonts w:asciiTheme="minorHAnsi" w:hAnsiTheme="minorHAnsi" w:cstheme="minorHAnsi"/>
        </w:rPr>
        <w:t>de ações judiciais</w:t>
      </w:r>
      <w:bookmarkEnd w:id="676"/>
      <w:bookmarkEnd w:id="677"/>
    </w:p>
    <w:p w14:paraId="6F8A6689" w14:textId="77777777" w:rsidR="0013173C" w:rsidRPr="00252D7B" w:rsidRDefault="0013173C" w:rsidP="0013173C">
      <w:pPr>
        <w:pStyle w:val="Textoembloco"/>
        <w:spacing w:before="120" w:after="120" w:line="240" w:lineRule="auto"/>
        <w:ind w:left="0" w:right="57"/>
        <w:rPr>
          <w:rFonts w:asciiTheme="minorHAnsi" w:hAnsiTheme="minorHAnsi" w:cstheme="minorHAnsi"/>
          <w:sz w:val="24"/>
          <w:szCs w:val="24"/>
          <w:shd w:val="clear" w:color="auto" w:fill="FFFFFF"/>
        </w:rPr>
      </w:pPr>
      <w:r w:rsidRPr="00252D7B">
        <w:rPr>
          <w:rFonts w:asciiTheme="minorHAnsi" w:hAnsiTheme="minorHAnsi" w:cstheme="minorHAnsi"/>
          <w:sz w:val="24"/>
          <w:szCs w:val="24"/>
          <w:shd w:val="clear" w:color="auto" w:fill="FFFFFF"/>
        </w:rPr>
        <w:t xml:space="preserve">A Valec é responsável por ações judiciais impetradas contra Valec e as extintas empresas Rede Ferroviária Federal S/A – RFFSA e Empresa Brasileira de Planejamento de Transportes – GEIPOT. </w:t>
      </w:r>
    </w:p>
    <w:p w14:paraId="2B8C7DD9" w14:textId="77777777" w:rsidR="0013173C" w:rsidRPr="00252D7B" w:rsidRDefault="0013173C" w:rsidP="0013173C">
      <w:pPr>
        <w:pStyle w:val="Textoembloco"/>
        <w:spacing w:before="120" w:after="120" w:line="240" w:lineRule="auto"/>
        <w:ind w:left="0" w:right="57"/>
        <w:rPr>
          <w:rFonts w:asciiTheme="minorHAnsi" w:hAnsiTheme="minorHAnsi" w:cstheme="minorHAnsi"/>
          <w:sz w:val="24"/>
          <w:szCs w:val="24"/>
          <w:shd w:val="clear" w:color="auto" w:fill="FFFFFF"/>
        </w:rPr>
      </w:pPr>
      <w:r w:rsidRPr="00252D7B">
        <w:rPr>
          <w:rFonts w:asciiTheme="minorHAnsi" w:hAnsiTheme="minorHAnsi" w:cstheme="minorHAnsi"/>
          <w:sz w:val="24"/>
          <w:szCs w:val="24"/>
          <w:shd w:val="clear" w:color="auto" w:fill="FFFFFF"/>
        </w:rPr>
        <w:t xml:space="preserve"> As provisões para contingências são contabilizadas, com base na posição da Procuradoria Jurídica, a qual é formulada na análise técnica individual dos advogados, quando for considerado provável o risco de perda de uma ação judicial ou administrativa, e sempre que os montantes envolvidos forem </w:t>
      </w:r>
      <w:r w:rsidRPr="00252D7B">
        <w:rPr>
          <w:rFonts w:asciiTheme="minorHAnsi" w:hAnsiTheme="minorHAnsi" w:cstheme="minorHAnsi"/>
          <w:sz w:val="24"/>
          <w:szCs w:val="24"/>
          <w:shd w:val="clear" w:color="auto" w:fill="FFFFFF"/>
        </w:rPr>
        <w:lastRenderedPageBreak/>
        <w:t>mensuráveis com suficiente segurança. O valor reconhecido como provisão foi a melhor estimativa do desembolso exigido para liquidar a obrigação presente na data do balanço.</w:t>
      </w:r>
    </w:p>
    <w:p w14:paraId="47C4ACD9" w14:textId="77777777" w:rsidR="0013173C" w:rsidRPr="00252D7B" w:rsidRDefault="0013173C" w:rsidP="0013173C">
      <w:pPr>
        <w:pStyle w:val="Textoembloco"/>
        <w:spacing w:before="120" w:after="120" w:line="240" w:lineRule="auto"/>
        <w:ind w:left="0" w:right="57"/>
        <w:rPr>
          <w:rFonts w:asciiTheme="minorHAnsi" w:hAnsiTheme="minorHAnsi" w:cstheme="minorHAnsi"/>
          <w:sz w:val="24"/>
          <w:szCs w:val="24"/>
          <w:shd w:val="clear" w:color="auto" w:fill="FFFFFF"/>
        </w:rPr>
      </w:pPr>
      <w:r w:rsidRPr="00252D7B">
        <w:rPr>
          <w:rFonts w:asciiTheme="minorHAnsi" w:hAnsiTheme="minorHAnsi" w:cstheme="minorHAnsi"/>
          <w:sz w:val="24"/>
          <w:szCs w:val="24"/>
          <w:shd w:val="clear" w:color="auto" w:fill="FFFFFF"/>
        </w:rPr>
        <w:t>As provisões classificadas como perdas possíveis pela Procuradoria Jurídica são divulgadas com base na perda histórica, enquanto aquelas classificadas como perda remota não são passíveis de provisão e divulgação.</w:t>
      </w:r>
    </w:p>
    <w:p w14:paraId="5F27D174" w14:textId="77777777" w:rsidR="0013173C" w:rsidRPr="00252D7B" w:rsidRDefault="0013173C" w:rsidP="0013173C">
      <w:pPr>
        <w:pStyle w:val="Textoembloco"/>
        <w:spacing w:before="120" w:after="120" w:line="240" w:lineRule="auto"/>
        <w:ind w:left="0" w:right="57"/>
        <w:rPr>
          <w:rFonts w:asciiTheme="minorHAnsi" w:hAnsiTheme="minorHAnsi" w:cstheme="minorHAnsi"/>
          <w:sz w:val="24"/>
          <w:szCs w:val="24"/>
          <w:shd w:val="clear" w:color="auto" w:fill="FFFFFF"/>
        </w:rPr>
      </w:pPr>
      <w:r w:rsidRPr="00252D7B">
        <w:rPr>
          <w:rFonts w:asciiTheme="minorHAnsi" w:hAnsiTheme="minorHAnsi" w:cstheme="minorHAnsi"/>
          <w:sz w:val="24"/>
          <w:szCs w:val="24"/>
          <w:shd w:val="clear" w:color="auto" w:fill="FFFFFF"/>
        </w:rPr>
        <w:t>Conforme o CPC 25 - Provisões, Passivos Contingentes e Ativos Contingentes, as provisões devem ser reavaliadas em cada data de balanço e ajustadas para refletir a melhor estimativa corrente. Se já não for mais provável que seja necessária uma saída de recursos que incorporam benefícios econômicos futuros para liquidar a obrigação, a provisão deve ser revertida.</w:t>
      </w:r>
    </w:p>
    <w:p w14:paraId="159B3A11" w14:textId="77777777" w:rsidR="0013173C" w:rsidRPr="00252D7B" w:rsidRDefault="0013173C" w:rsidP="0013173C">
      <w:pPr>
        <w:pStyle w:val="Textoembloco"/>
        <w:spacing w:before="120" w:after="120" w:line="240" w:lineRule="auto"/>
        <w:ind w:left="0" w:right="57"/>
        <w:rPr>
          <w:rFonts w:asciiTheme="minorHAnsi" w:hAnsiTheme="minorHAnsi" w:cstheme="minorHAnsi"/>
          <w:sz w:val="24"/>
          <w:szCs w:val="24"/>
          <w:shd w:val="clear" w:color="auto" w:fill="FFFFFF"/>
        </w:rPr>
      </w:pPr>
    </w:p>
    <w:p w14:paraId="7F0F595E" w14:textId="77777777" w:rsidR="0013173C" w:rsidRPr="00252D7B" w:rsidRDefault="0013173C" w:rsidP="007A141F">
      <w:pPr>
        <w:pStyle w:val="Textoembloco"/>
        <w:numPr>
          <w:ilvl w:val="0"/>
          <w:numId w:val="12"/>
        </w:numPr>
        <w:spacing w:after="120" w:line="240" w:lineRule="auto"/>
        <w:ind w:right="57"/>
        <w:rPr>
          <w:rFonts w:asciiTheme="minorHAnsi" w:hAnsiTheme="minorHAnsi" w:cstheme="minorHAnsi"/>
          <w:b/>
          <w:bCs w:val="0"/>
          <w:sz w:val="24"/>
          <w:szCs w:val="24"/>
          <w:shd w:val="clear" w:color="auto" w:fill="FFFFFF"/>
        </w:rPr>
      </w:pPr>
      <w:r w:rsidRPr="00252D7B">
        <w:rPr>
          <w:rFonts w:asciiTheme="minorHAnsi" w:hAnsiTheme="minorHAnsi" w:cstheme="minorHAnsi"/>
          <w:b/>
          <w:bCs w:val="0"/>
          <w:sz w:val="24"/>
          <w:szCs w:val="24"/>
          <w:shd w:val="clear" w:color="auto" w:fill="FFFFFF"/>
        </w:rPr>
        <w:t>Critérios de Reconhecimento e Mensuração:</w:t>
      </w:r>
    </w:p>
    <w:p w14:paraId="0AE45806" w14:textId="77777777" w:rsidR="0013173C" w:rsidRPr="00252D7B" w:rsidRDefault="0013173C" w:rsidP="0013173C">
      <w:pPr>
        <w:pStyle w:val="Textoembloco"/>
        <w:spacing w:before="120" w:after="120" w:line="240" w:lineRule="auto"/>
        <w:ind w:left="0" w:right="57"/>
        <w:rPr>
          <w:rFonts w:asciiTheme="minorHAnsi" w:hAnsiTheme="minorHAnsi" w:cstheme="minorHAnsi"/>
          <w:sz w:val="24"/>
          <w:szCs w:val="24"/>
          <w:shd w:val="clear" w:color="auto" w:fill="FFFFFF"/>
        </w:rPr>
      </w:pPr>
      <w:r w:rsidRPr="00252D7B">
        <w:rPr>
          <w:rFonts w:asciiTheme="minorHAnsi" w:hAnsiTheme="minorHAnsi" w:cstheme="minorHAnsi"/>
          <w:sz w:val="24"/>
          <w:szCs w:val="24"/>
          <w:shd w:val="clear" w:color="auto" w:fill="FFFFFF"/>
        </w:rPr>
        <w:t xml:space="preserve">Visando o aprimoramento dos controles internos e consequentemente da informação sobre as provisões contingenciais, a Procuradoria Jurídica da Valec elaborou a Norma de Provisões e Contingências Judiciais na Valec, regulamentada pela Resolução Normativa nº 04/2021/DIREX, de 07 de julho de 2021, a qual dispõe sobre os procedimentos de avaliação e classificação de riscos de processos judiciais e o reconhecimento de provisões e contingências judiciais. </w:t>
      </w:r>
    </w:p>
    <w:p w14:paraId="75118ECE" w14:textId="77777777" w:rsidR="0013173C" w:rsidRPr="00252D7B" w:rsidRDefault="0013173C" w:rsidP="0013173C">
      <w:pPr>
        <w:pStyle w:val="Textoembloco"/>
        <w:spacing w:before="120" w:after="120" w:line="240" w:lineRule="auto"/>
        <w:ind w:left="0" w:right="57"/>
        <w:rPr>
          <w:rFonts w:asciiTheme="minorHAnsi" w:hAnsiTheme="minorHAnsi" w:cstheme="minorHAnsi"/>
          <w:sz w:val="24"/>
          <w:szCs w:val="24"/>
          <w:shd w:val="clear" w:color="auto" w:fill="FFFFFF"/>
        </w:rPr>
      </w:pPr>
      <w:r w:rsidRPr="00252D7B">
        <w:rPr>
          <w:rFonts w:asciiTheme="minorHAnsi" w:hAnsiTheme="minorHAnsi" w:cstheme="minorHAnsi"/>
          <w:sz w:val="24"/>
          <w:szCs w:val="24"/>
          <w:shd w:val="clear" w:color="auto" w:fill="FFFFFF"/>
        </w:rPr>
        <w:t xml:space="preserve">Essa Resolução Normativa trata ainda da valoração das ações, as quais passaram a ser com base no desenvolvimento do processo judicial, não sendo mais efetuada a atualização monetária conforme metodologia utilizada até o exercício de 2020. </w:t>
      </w:r>
    </w:p>
    <w:p w14:paraId="3DA0709E" w14:textId="77777777" w:rsidR="0013173C" w:rsidRPr="00252D7B" w:rsidRDefault="0013173C" w:rsidP="0013173C">
      <w:pPr>
        <w:pStyle w:val="Textoembloco"/>
        <w:spacing w:before="120" w:after="120" w:line="240" w:lineRule="auto"/>
        <w:ind w:left="0" w:right="57"/>
        <w:rPr>
          <w:rFonts w:asciiTheme="minorHAnsi" w:hAnsiTheme="minorHAnsi" w:cstheme="minorHAnsi"/>
          <w:sz w:val="24"/>
          <w:szCs w:val="24"/>
          <w:shd w:val="clear" w:color="auto" w:fill="FFFFFF"/>
        </w:rPr>
      </w:pPr>
      <w:r w:rsidRPr="00252D7B">
        <w:rPr>
          <w:rFonts w:asciiTheme="minorHAnsi" w:hAnsiTheme="minorHAnsi" w:cstheme="minorHAnsi"/>
          <w:sz w:val="24"/>
          <w:szCs w:val="24"/>
          <w:shd w:val="clear" w:color="auto" w:fill="FFFFFF"/>
        </w:rPr>
        <w:t>A Procuradoria Jurídica após levantamento e aplicação da nova metodologia baseada na Resolução Normativa nº 04/2021/DIREX encaminhou as informações necessárias para o reconhecimento das provisões e passivos contingenciais em 11 de fevereiro de 2022.</w:t>
      </w:r>
    </w:p>
    <w:p w14:paraId="4F0D39EF" w14:textId="77777777" w:rsidR="0013173C" w:rsidRPr="00252D7B" w:rsidRDefault="0013173C" w:rsidP="0013173C">
      <w:pPr>
        <w:pStyle w:val="Textoembloco"/>
        <w:spacing w:before="120" w:after="120" w:line="240" w:lineRule="auto"/>
        <w:ind w:left="0" w:right="57"/>
        <w:rPr>
          <w:rFonts w:asciiTheme="minorHAnsi" w:hAnsiTheme="minorHAnsi" w:cstheme="minorHAnsi"/>
          <w:sz w:val="24"/>
          <w:szCs w:val="24"/>
          <w:shd w:val="clear" w:color="auto" w:fill="FFFFFF"/>
        </w:rPr>
      </w:pPr>
      <w:r w:rsidRPr="00252D7B">
        <w:rPr>
          <w:rFonts w:asciiTheme="minorHAnsi" w:hAnsiTheme="minorHAnsi" w:cstheme="minorHAnsi"/>
          <w:sz w:val="24"/>
          <w:szCs w:val="24"/>
          <w:shd w:val="clear" w:color="auto" w:fill="FFFFFF"/>
        </w:rPr>
        <w:t>As premissas utilizadas na nova metodologia foram:</w:t>
      </w:r>
    </w:p>
    <w:p w14:paraId="49746C2D" w14:textId="77777777" w:rsidR="0013173C" w:rsidRPr="00252D7B" w:rsidRDefault="0013173C" w:rsidP="007A141F">
      <w:pPr>
        <w:pStyle w:val="Textoembloco"/>
        <w:numPr>
          <w:ilvl w:val="0"/>
          <w:numId w:val="13"/>
        </w:numPr>
        <w:spacing w:before="120" w:after="120" w:line="240" w:lineRule="auto"/>
        <w:ind w:right="57"/>
        <w:rPr>
          <w:rFonts w:asciiTheme="minorHAnsi" w:hAnsiTheme="minorHAnsi" w:cstheme="minorHAnsi"/>
          <w:sz w:val="24"/>
          <w:szCs w:val="24"/>
          <w:shd w:val="clear" w:color="auto" w:fill="FFFFFF"/>
        </w:rPr>
      </w:pPr>
      <w:r w:rsidRPr="00252D7B">
        <w:rPr>
          <w:rFonts w:asciiTheme="minorHAnsi" w:hAnsiTheme="minorHAnsi" w:cstheme="minorHAnsi"/>
          <w:sz w:val="24"/>
          <w:szCs w:val="24"/>
          <w:shd w:val="clear" w:color="auto" w:fill="FFFFFF"/>
        </w:rPr>
        <w:t xml:space="preserve">Classificações de riscos: realizadas por avaliação do advogado responsável pela causa considerando o resultado dos eventos relevantes do processo (instrução processual; sentença; acórdão), </w:t>
      </w:r>
    </w:p>
    <w:p w14:paraId="1266D8D6" w14:textId="77777777" w:rsidR="0013173C" w:rsidRPr="00252D7B" w:rsidRDefault="0013173C" w:rsidP="007A141F">
      <w:pPr>
        <w:pStyle w:val="Textoembloco"/>
        <w:numPr>
          <w:ilvl w:val="0"/>
          <w:numId w:val="13"/>
        </w:numPr>
        <w:spacing w:before="120" w:after="120" w:line="240" w:lineRule="auto"/>
        <w:ind w:right="57"/>
        <w:rPr>
          <w:rFonts w:asciiTheme="minorHAnsi" w:hAnsiTheme="minorHAnsi" w:cstheme="minorHAnsi"/>
          <w:sz w:val="24"/>
          <w:szCs w:val="24"/>
          <w:shd w:val="clear" w:color="auto" w:fill="FFFFFF"/>
        </w:rPr>
      </w:pPr>
      <w:r w:rsidRPr="00252D7B">
        <w:rPr>
          <w:rFonts w:asciiTheme="minorHAnsi" w:hAnsiTheme="minorHAnsi" w:cstheme="minorHAnsi"/>
          <w:sz w:val="24"/>
          <w:szCs w:val="24"/>
          <w:shd w:val="clear" w:color="auto" w:fill="FFFFFF"/>
        </w:rPr>
        <w:t>Mensuração: o valor da contingência corresponde ao valor nominal do último evento relevante no processo judicial (perícia, quando houver; sentença; acórdão; liquidação e trânsito em julgado), utilizando os parâmetros definidos Resolução Normativa nº 4/2021/DIREX-Valec/PRESI-Valec, associado a outras orientações técnicas das respectivas áreas de conhecimento; </w:t>
      </w:r>
    </w:p>
    <w:p w14:paraId="0E993F18" w14:textId="77777777" w:rsidR="0013173C" w:rsidRPr="00252D7B" w:rsidRDefault="0013173C" w:rsidP="007A141F">
      <w:pPr>
        <w:pStyle w:val="Textoembloco"/>
        <w:numPr>
          <w:ilvl w:val="0"/>
          <w:numId w:val="13"/>
        </w:numPr>
        <w:spacing w:before="120" w:after="120" w:line="240" w:lineRule="auto"/>
        <w:ind w:right="57"/>
        <w:rPr>
          <w:rFonts w:asciiTheme="minorHAnsi" w:hAnsiTheme="minorHAnsi" w:cstheme="minorHAnsi"/>
          <w:sz w:val="24"/>
          <w:szCs w:val="24"/>
          <w:shd w:val="clear" w:color="auto" w:fill="FFFFFF"/>
        </w:rPr>
      </w:pPr>
      <w:r w:rsidRPr="00252D7B">
        <w:rPr>
          <w:rFonts w:asciiTheme="minorHAnsi" w:hAnsiTheme="minorHAnsi" w:cstheme="minorHAnsi"/>
          <w:sz w:val="24"/>
          <w:szCs w:val="24"/>
          <w:shd w:val="clear" w:color="auto" w:fill="FFFFFF"/>
        </w:rPr>
        <w:t>Prazo: o prazo foi determinado pelo estágio em que se encontra o feito, com fundamento no tempo de duração dos processos contido no anuário "Justiça em Números", de modo que o que está em primeira ou segunda instância foi considerado como de longo prazo;</w:t>
      </w:r>
    </w:p>
    <w:p w14:paraId="28163BC9" w14:textId="77777777" w:rsidR="0013173C" w:rsidRPr="00252D7B" w:rsidRDefault="0013173C" w:rsidP="007A141F">
      <w:pPr>
        <w:pStyle w:val="Textoembloco"/>
        <w:numPr>
          <w:ilvl w:val="0"/>
          <w:numId w:val="13"/>
        </w:numPr>
        <w:spacing w:before="120" w:after="120" w:line="240" w:lineRule="auto"/>
        <w:ind w:right="57"/>
        <w:rPr>
          <w:rFonts w:asciiTheme="minorHAnsi" w:hAnsiTheme="minorHAnsi" w:cstheme="minorHAnsi"/>
          <w:sz w:val="24"/>
          <w:szCs w:val="24"/>
          <w:shd w:val="clear" w:color="auto" w:fill="FFFFFF"/>
        </w:rPr>
      </w:pPr>
      <w:r w:rsidRPr="00252D7B">
        <w:rPr>
          <w:rFonts w:asciiTheme="minorHAnsi" w:hAnsiTheme="minorHAnsi" w:cstheme="minorHAnsi"/>
          <w:sz w:val="24"/>
          <w:szCs w:val="24"/>
          <w:shd w:val="clear" w:color="auto" w:fill="FFFFFF"/>
        </w:rPr>
        <w:t>Limitações: Não foram consideradas ações vinculadas aos processos principais (a exemplo de agravos de instrumento), ao intuito de evitar a duplicidade de valores, tendo em vista que o risco de perda nestes casos já foi analisado no risco de perda da ação principal; e</w:t>
      </w:r>
    </w:p>
    <w:p w14:paraId="78004D1B" w14:textId="77777777" w:rsidR="0013173C" w:rsidRPr="00252D7B" w:rsidRDefault="0013173C" w:rsidP="007A141F">
      <w:pPr>
        <w:pStyle w:val="Textoembloco"/>
        <w:numPr>
          <w:ilvl w:val="0"/>
          <w:numId w:val="13"/>
        </w:numPr>
        <w:spacing w:before="120" w:after="120" w:line="240" w:lineRule="auto"/>
        <w:ind w:right="57"/>
        <w:rPr>
          <w:rFonts w:asciiTheme="minorHAnsi" w:hAnsiTheme="minorHAnsi" w:cstheme="minorHAnsi"/>
          <w:sz w:val="24"/>
          <w:szCs w:val="24"/>
          <w:shd w:val="clear" w:color="auto" w:fill="FFFFFF"/>
        </w:rPr>
      </w:pPr>
      <w:r w:rsidRPr="00252D7B">
        <w:rPr>
          <w:rFonts w:asciiTheme="minorHAnsi" w:hAnsiTheme="minorHAnsi" w:cstheme="minorHAnsi"/>
          <w:sz w:val="24"/>
          <w:szCs w:val="24"/>
          <w:shd w:val="clear" w:color="auto" w:fill="FFFFFF"/>
        </w:rPr>
        <w:t>Ações de desapropriações: o valor das decisões foi subtraído do valor de depósito já efetuado em juízo para obter a imissão na posse, cujo montante representa o mínimo da condenação possível e que, pela própria natureza da causa, não pode ser recuperado pela Valec.</w:t>
      </w:r>
    </w:p>
    <w:p w14:paraId="3E9B02C3" w14:textId="6F48F168" w:rsidR="0013173C" w:rsidRPr="00252D7B" w:rsidRDefault="0013173C" w:rsidP="0013173C">
      <w:pPr>
        <w:widowControl/>
        <w:autoSpaceDE/>
        <w:autoSpaceDN/>
        <w:spacing w:after="160" w:line="259" w:lineRule="auto"/>
        <w:rPr>
          <w:rFonts w:asciiTheme="minorHAnsi" w:eastAsia="Times New Roman" w:hAnsiTheme="minorHAnsi" w:cstheme="minorHAnsi"/>
          <w:bCs/>
          <w:shd w:val="clear" w:color="auto" w:fill="FFFFFF"/>
          <w:lang w:eastAsia="pt-BR" w:bidi="ar-SA"/>
        </w:rPr>
      </w:pPr>
    </w:p>
    <w:p w14:paraId="5BC5D9B7" w14:textId="77777777" w:rsidR="0013173C" w:rsidRPr="00252D7B" w:rsidRDefault="0013173C" w:rsidP="007A141F">
      <w:pPr>
        <w:pStyle w:val="Textoembloco"/>
        <w:numPr>
          <w:ilvl w:val="0"/>
          <w:numId w:val="12"/>
        </w:numPr>
        <w:spacing w:after="120" w:line="240" w:lineRule="auto"/>
        <w:ind w:right="57"/>
        <w:rPr>
          <w:rFonts w:asciiTheme="minorHAnsi" w:hAnsiTheme="minorHAnsi" w:cstheme="minorHAnsi"/>
          <w:b/>
          <w:bCs w:val="0"/>
          <w:sz w:val="24"/>
          <w:szCs w:val="24"/>
          <w:shd w:val="clear" w:color="auto" w:fill="FFFFFF"/>
        </w:rPr>
      </w:pPr>
      <w:r w:rsidRPr="00252D7B">
        <w:rPr>
          <w:rFonts w:asciiTheme="minorHAnsi" w:hAnsiTheme="minorHAnsi" w:cstheme="minorHAnsi"/>
          <w:b/>
          <w:bCs w:val="0"/>
          <w:sz w:val="24"/>
          <w:szCs w:val="24"/>
          <w:shd w:val="clear" w:color="auto" w:fill="FFFFFF"/>
        </w:rPr>
        <w:t>Ações com Risco de Perda Provável:</w:t>
      </w:r>
    </w:p>
    <w:p w14:paraId="503E2A61" w14:textId="77777777" w:rsidR="0013173C" w:rsidRPr="00252D7B" w:rsidRDefault="0013173C" w:rsidP="0013173C">
      <w:pPr>
        <w:pStyle w:val="Textoembloco"/>
        <w:spacing w:before="120" w:after="120" w:line="240" w:lineRule="auto"/>
        <w:ind w:left="0" w:right="57"/>
        <w:rPr>
          <w:rFonts w:asciiTheme="minorHAnsi" w:hAnsiTheme="minorHAnsi" w:cstheme="minorHAnsi"/>
          <w:sz w:val="22"/>
          <w:szCs w:val="22"/>
          <w:shd w:val="clear" w:color="auto" w:fill="FFFFFF"/>
        </w:rPr>
      </w:pPr>
      <w:r w:rsidRPr="00252D7B">
        <w:rPr>
          <w:rFonts w:asciiTheme="minorHAnsi" w:hAnsiTheme="minorHAnsi" w:cstheme="minorHAnsi"/>
          <w:sz w:val="24"/>
          <w:szCs w:val="24"/>
          <w:shd w:val="clear" w:color="auto" w:fill="FFFFFF"/>
        </w:rPr>
        <w:t>Após a reclassificação seguindo a nova metodologia, os valores dos processos judiciais classificados como obrigações presentes e com “prováveis” saídas futuras de recursos financeiros apresentaram a seguinte movimentação no exercício de 2021</w:t>
      </w:r>
      <w:r w:rsidRPr="00252D7B">
        <w:rPr>
          <w:rFonts w:asciiTheme="minorHAnsi" w:hAnsiTheme="minorHAnsi" w:cstheme="minorHAnsi"/>
          <w:sz w:val="22"/>
          <w:szCs w:val="22"/>
          <w:shd w:val="clear" w:color="auto" w:fill="FFFFFF"/>
        </w:rPr>
        <w:t>:</w:t>
      </w:r>
    </w:p>
    <w:p w14:paraId="7BECB077" w14:textId="77777777" w:rsidR="0013173C" w:rsidRPr="00252D7B" w:rsidRDefault="0013173C" w:rsidP="0013173C">
      <w:pPr>
        <w:pStyle w:val="Textoembloco"/>
        <w:spacing w:before="120" w:after="120" w:line="240" w:lineRule="auto"/>
        <w:ind w:left="0" w:right="57"/>
        <w:rPr>
          <w:rFonts w:asciiTheme="minorHAnsi" w:hAnsiTheme="minorHAnsi" w:cstheme="minorHAnsi"/>
          <w:sz w:val="22"/>
          <w:szCs w:val="22"/>
          <w:shd w:val="clear" w:color="auto" w:fill="FFFFFF"/>
        </w:rPr>
      </w:pPr>
    </w:p>
    <w:p w14:paraId="423AAE48" w14:textId="14652FE2" w:rsidR="0013173C" w:rsidRPr="005059B1" w:rsidRDefault="0013173C" w:rsidP="005059B1">
      <w:pPr>
        <w:pStyle w:val="Legenda"/>
        <w:jc w:val="center"/>
        <w:rPr>
          <w:rFonts w:asciiTheme="minorHAnsi" w:hAnsiTheme="minorHAnsi" w:cstheme="minorHAnsi"/>
          <w:sz w:val="20"/>
          <w:szCs w:val="20"/>
        </w:rPr>
      </w:pPr>
      <w:bookmarkStart w:id="678" w:name="_Toc97918919"/>
      <w:bookmarkStart w:id="679" w:name="_Toc103680705"/>
      <w:r w:rsidRPr="00252D7B">
        <w:rPr>
          <w:rFonts w:asciiTheme="minorHAnsi" w:hAnsiTheme="minorHAnsi" w:cstheme="minorHAnsi"/>
          <w:sz w:val="20"/>
          <w:szCs w:val="20"/>
        </w:rPr>
        <w:t xml:space="preserve">Tabela </w:t>
      </w:r>
      <w:r w:rsidRPr="005059B1">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Tabela \* ARABIC </w:instrText>
      </w:r>
      <w:r w:rsidRPr="005059B1">
        <w:rPr>
          <w:rFonts w:asciiTheme="minorHAnsi" w:hAnsiTheme="minorHAnsi" w:cstheme="minorHAnsi"/>
          <w:sz w:val="20"/>
          <w:szCs w:val="20"/>
        </w:rPr>
        <w:fldChar w:fldCharType="separate"/>
      </w:r>
      <w:r w:rsidR="00C12888">
        <w:rPr>
          <w:rFonts w:asciiTheme="minorHAnsi" w:hAnsiTheme="minorHAnsi" w:cstheme="minorHAnsi"/>
          <w:noProof/>
          <w:sz w:val="20"/>
          <w:szCs w:val="20"/>
        </w:rPr>
        <w:t>43</w:t>
      </w:r>
      <w:r w:rsidRPr="005059B1">
        <w:rPr>
          <w:rFonts w:asciiTheme="minorHAnsi" w:hAnsiTheme="minorHAnsi" w:cstheme="minorHAnsi"/>
          <w:sz w:val="20"/>
          <w:szCs w:val="20"/>
        </w:rPr>
        <w:fldChar w:fldCharType="end"/>
      </w:r>
      <w:r w:rsidRPr="00252D7B">
        <w:rPr>
          <w:rFonts w:asciiTheme="minorHAnsi" w:hAnsiTheme="minorHAnsi" w:cstheme="minorHAnsi"/>
          <w:sz w:val="20"/>
          <w:szCs w:val="20"/>
        </w:rPr>
        <w:t xml:space="preserve"> – Ações com risco de perda provável</w:t>
      </w:r>
      <w:bookmarkEnd w:id="678"/>
      <w:bookmarkEnd w:id="679"/>
    </w:p>
    <w:tbl>
      <w:tblPr>
        <w:tblW w:w="5000" w:type="pct"/>
        <w:tblCellMar>
          <w:left w:w="70" w:type="dxa"/>
          <w:right w:w="70" w:type="dxa"/>
        </w:tblCellMar>
        <w:tblLook w:val="04A0" w:firstRow="1" w:lastRow="0" w:firstColumn="1" w:lastColumn="0" w:noHBand="0" w:noVBand="1"/>
      </w:tblPr>
      <w:tblGrid>
        <w:gridCol w:w="2957"/>
        <w:gridCol w:w="1306"/>
        <w:gridCol w:w="1899"/>
        <w:gridCol w:w="2025"/>
        <w:gridCol w:w="1559"/>
      </w:tblGrid>
      <w:tr w:rsidR="0013173C" w:rsidRPr="00252D7B" w14:paraId="6B66162B" w14:textId="77777777" w:rsidTr="00F6584E">
        <w:trPr>
          <w:trHeight w:val="227"/>
        </w:trPr>
        <w:tc>
          <w:tcPr>
            <w:tcW w:w="1517" w:type="pct"/>
            <w:tcBorders>
              <w:top w:val="nil"/>
              <w:left w:val="nil"/>
              <w:bottom w:val="single" w:sz="8" w:space="0" w:color="auto"/>
              <w:right w:val="nil"/>
            </w:tcBorders>
            <w:shd w:val="clear" w:color="auto" w:fill="auto"/>
            <w:noWrap/>
            <w:vAlign w:val="center"/>
            <w:hideMark/>
          </w:tcPr>
          <w:p w14:paraId="603CCD1B" w14:textId="77777777" w:rsidR="0013173C" w:rsidRPr="00252D7B" w:rsidRDefault="0013173C" w:rsidP="00F6584E">
            <w:pPr>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AÇÕES</w:t>
            </w:r>
          </w:p>
        </w:tc>
        <w:tc>
          <w:tcPr>
            <w:tcW w:w="670" w:type="pct"/>
            <w:tcBorders>
              <w:top w:val="nil"/>
              <w:left w:val="nil"/>
              <w:bottom w:val="single" w:sz="8" w:space="0" w:color="auto"/>
              <w:right w:val="nil"/>
            </w:tcBorders>
            <w:shd w:val="clear" w:color="auto" w:fill="auto"/>
            <w:vAlign w:val="center"/>
            <w:hideMark/>
          </w:tcPr>
          <w:p w14:paraId="1795738E" w14:textId="77777777" w:rsidR="0013173C" w:rsidRPr="00252D7B" w:rsidRDefault="0013173C" w:rsidP="00F6584E">
            <w:pPr>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SALDO EM 31/12/2020</w:t>
            </w:r>
          </w:p>
        </w:tc>
        <w:tc>
          <w:tcPr>
            <w:tcW w:w="974" w:type="pct"/>
            <w:tcBorders>
              <w:top w:val="nil"/>
              <w:left w:val="nil"/>
              <w:bottom w:val="single" w:sz="8" w:space="0" w:color="auto"/>
              <w:right w:val="nil"/>
            </w:tcBorders>
            <w:shd w:val="clear" w:color="auto" w:fill="auto"/>
            <w:vAlign w:val="center"/>
            <w:hideMark/>
          </w:tcPr>
          <w:p w14:paraId="5B7ED3E5" w14:textId="77777777" w:rsidR="0013173C" w:rsidRPr="00252D7B" w:rsidRDefault="0013173C" w:rsidP="00F6584E">
            <w:pPr>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INGRESSO</w:t>
            </w:r>
          </w:p>
        </w:tc>
        <w:tc>
          <w:tcPr>
            <w:tcW w:w="1039" w:type="pct"/>
            <w:tcBorders>
              <w:top w:val="nil"/>
              <w:left w:val="nil"/>
              <w:bottom w:val="single" w:sz="8" w:space="0" w:color="auto"/>
              <w:right w:val="nil"/>
            </w:tcBorders>
            <w:shd w:val="clear" w:color="auto" w:fill="auto"/>
            <w:vAlign w:val="center"/>
            <w:hideMark/>
          </w:tcPr>
          <w:p w14:paraId="2B93D2B5" w14:textId="77777777" w:rsidR="0013173C" w:rsidRPr="00252D7B" w:rsidRDefault="0013173C" w:rsidP="00F6584E">
            <w:pPr>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REVERSÃO/RECLASSIF.</w:t>
            </w:r>
          </w:p>
        </w:tc>
        <w:tc>
          <w:tcPr>
            <w:tcW w:w="800" w:type="pct"/>
            <w:tcBorders>
              <w:top w:val="nil"/>
              <w:left w:val="nil"/>
              <w:bottom w:val="single" w:sz="8" w:space="0" w:color="auto"/>
              <w:right w:val="nil"/>
            </w:tcBorders>
            <w:shd w:val="clear" w:color="auto" w:fill="auto"/>
            <w:vAlign w:val="center"/>
            <w:hideMark/>
          </w:tcPr>
          <w:p w14:paraId="61072D6A" w14:textId="77777777" w:rsidR="0013173C" w:rsidRPr="00252D7B" w:rsidRDefault="0013173C" w:rsidP="00F6584E">
            <w:pPr>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SALDO EM 31/12/2021</w:t>
            </w:r>
          </w:p>
        </w:tc>
      </w:tr>
      <w:tr w:rsidR="0013173C" w:rsidRPr="00252D7B" w14:paraId="6DE58701" w14:textId="77777777" w:rsidTr="00F6584E">
        <w:trPr>
          <w:trHeight w:val="227"/>
        </w:trPr>
        <w:tc>
          <w:tcPr>
            <w:tcW w:w="1517" w:type="pct"/>
            <w:tcBorders>
              <w:top w:val="nil"/>
              <w:left w:val="nil"/>
              <w:bottom w:val="nil"/>
              <w:right w:val="nil"/>
            </w:tcBorders>
            <w:shd w:val="clear" w:color="auto" w:fill="auto"/>
            <w:noWrap/>
            <w:vAlign w:val="bottom"/>
            <w:hideMark/>
          </w:tcPr>
          <w:p w14:paraId="466D6795" w14:textId="77777777" w:rsidR="0013173C" w:rsidRPr="00252D7B" w:rsidRDefault="0013173C" w:rsidP="00F6584E">
            <w:pPr>
              <w:rPr>
                <w:rFonts w:asciiTheme="minorHAnsi" w:hAnsiTheme="minorHAnsi" w:cstheme="minorHAnsi"/>
                <w:color w:val="000000"/>
                <w:sz w:val="20"/>
                <w:szCs w:val="20"/>
              </w:rPr>
            </w:pPr>
            <w:r w:rsidRPr="00252D7B">
              <w:rPr>
                <w:rFonts w:asciiTheme="minorHAnsi" w:hAnsiTheme="minorHAnsi" w:cstheme="minorHAnsi"/>
                <w:color w:val="000000"/>
                <w:sz w:val="20"/>
                <w:szCs w:val="20"/>
              </w:rPr>
              <w:t>Desapropriações</w:t>
            </w:r>
          </w:p>
        </w:tc>
        <w:tc>
          <w:tcPr>
            <w:tcW w:w="670" w:type="pct"/>
            <w:tcBorders>
              <w:top w:val="nil"/>
              <w:left w:val="nil"/>
              <w:bottom w:val="nil"/>
              <w:right w:val="nil"/>
            </w:tcBorders>
            <w:shd w:val="clear" w:color="auto" w:fill="auto"/>
            <w:noWrap/>
            <w:vAlign w:val="bottom"/>
            <w:hideMark/>
          </w:tcPr>
          <w:p w14:paraId="6E2B919F"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974" w:type="pct"/>
            <w:tcBorders>
              <w:top w:val="nil"/>
              <w:left w:val="nil"/>
              <w:bottom w:val="nil"/>
              <w:right w:val="nil"/>
            </w:tcBorders>
            <w:shd w:val="clear" w:color="auto" w:fill="auto"/>
            <w:noWrap/>
            <w:vAlign w:val="center"/>
            <w:hideMark/>
          </w:tcPr>
          <w:p w14:paraId="187E8071"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62.109.631</w:t>
            </w:r>
          </w:p>
        </w:tc>
        <w:tc>
          <w:tcPr>
            <w:tcW w:w="1039" w:type="pct"/>
            <w:tcBorders>
              <w:top w:val="nil"/>
              <w:left w:val="nil"/>
              <w:bottom w:val="nil"/>
              <w:right w:val="nil"/>
            </w:tcBorders>
            <w:shd w:val="clear" w:color="auto" w:fill="auto"/>
            <w:noWrap/>
            <w:vAlign w:val="center"/>
            <w:hideMark/>
          </w:tcPr>
          <w:p w14:paraId="4812364F"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800" w:type="pct"/>
            <w:tcBorders>
              <w:top w:val="nil"/>
              <w:left w:val="nil"/>
              <w:bottom w:val="nil"/>
              <w:right w:val="nil"/>
            </w:tcBorders>
            <w:shd w:val="clear" w:color="auto" w:fill="auto"/>
            <w:noWrap/>
            <w:vAlign w:val="center"/>
            <w:hideMark/>
          </w:tcPr>
          <w:p w14:paraId="7DBA4492"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62.109.631</w:t>
            </w:r>
          </w:p>
        </w:tc>
      </w:tr>
      <w:tr w:rsidR="0013173C" w:rsidRPr="00252D7B" w14:paraId="5757783A" w14:textId="77777777" w:rsidTr="00F6584E">
        <w:trPr>
          <w:trHeight w:val="227"/>
        </w:trPr>
        <w:tc>
          <w:tcPr>
            <w:tcW w:w="1517" w:type="pct"/>
            <w:tcBorders>
              <w:top w:val="nil"/>
              <w:left w:val="nil"/>
              <w:bottom w:val="nil"/>
              <w:right w:val="nil"/>
            </w:tcBorders>
            <w:shd w:val="clear" w:color="auto" w:fill="auto"/>
            <w:noWrap/>
            <w:vAlign w:val="center"/>
            <w:hideMark/>
          </w:tcPr>
          <w:p w14:paraId="197915D8" w14:textId="77777777" w:rsidR="0013173C" w:rsidRPr="00252D7B" w:rsidRDefault="0013173C" w:rsidP="00F6584E">
            <w:pPr>
              <w:rPr>
                <w:rFonts w:asciiTheme="minorHAnsi" w:hAnsiTheme="minorHAnsi" w:cstheme="minorHAnsi"/>
                <w:color w:val="000000"/>
                <w:sz w:val="20"/>
                <w:szCs w:val="20"/>
              </w:rPr>
            </w:pPr>
            <w:r w:rsidRPr="00252D7B">
              <w:rPr>
                <w:rFonts w:asciiTheme="minorHAnsi" w:hAnsiTheme="minorHAnsi" w:cstheme="minorHAnsi"/>
                <w:color w:val="000000"/>
                <w:sz w:val="20"/>
                <w:szCs w:val="20"/>
              </w:rPr>
              <w:t>Trabalhistas</w:t>
            </w:r>
          </w:p>
        </w:tc>
        <w:tc>
          <w:tcPr>
            <w:tcW w:w="670" w:type="pct"/>
            <w:tcBorders>
              <w:top w:val="nil"/>
              <w:left w:val="nil"/>
              <w:bottom w:val="nil"/>
              <w:right w:val="nil"/>
            </w:tcBorders>
            <w:shd w:val="clear" w:color="auto" w:fill="auto"/>
            <w:noWrap/>
            <w:vAlign w:val="center"/>
            <w:hideMark/>
          </w:tcPr>
          <w:p w14:paraId="5547C946"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101.185.091</w:t>
            </w:r>
          </w:p>
        </w:tc>
        <w:tc>
          <w:tcPr>
            <w:tcW w:w="974" w:type="pct"/>
            <w:tcBorders>
              <w:top w:val="nil"/>
              <w:left w:val="nil"/>
              <w:bottom w:val="nil"/>
              <w:right w:val="nil"/>
            </w:tcBorders>
            <w:shd w:val="clear" w:color="auto" w:fill="auto"/>
            <w:noWrap/>
            <w:vAlign w:val="center"/>
            <w:hideMark/>
          </w:tcPr>
          <w:p w14:paraId="3E01590C"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1039" w:type="pct"/>
            <w:tcBorders>
              <w:top w:val="nil"/>
              <w:left w:val="nil"/>
              <w:bottom w:val="nil"/>
              <w:right w:val="nil"/>
            </w:tcBorders>
            <w:shd w:val="clear" w:color="auto" w:fill="auto"/>
            <w:noWrap/>
            <w:vAlign w:val="center"/>
            <w:hideMark/>
          </w:tcPr>
          <w:p w14:paraId="54C1FA4C"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(53.369.519)</w:t>
            </w:r>
          </w:p>
        </w:tc>
        <w:tc>
          <w:tcPr>
            <w:tcW w:w="800" w:type="pct"/>
            <w:tcBorders>
              <w:top w:val="nil"/>
              <w:left w:val="nil"/>
              <w:bottom w:val="nil"/>
              <w:right w:val="nil"/>
            </w:tcBorders>
            <w:shd w:val="clear" w:color="auto" w:fill="auto"/>
            <w:noWrap/>
            <w:vAlign w:val="center"/>
            <w:hideMark/>
          </w:tcPr>
          <w:p w14:paraId="30AC26C1"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47.815.572</w:t>
            </w:r>
          </w:p>
        </w:tc>
      </w:tr>
      <w:tr w:rsidR="0013173C" w:rsidRPr="00252D7B" w14:paraId="455D01ED" w14:textId="77777777" w:rsidTr="00F6584E">
        <w:trPr>
          <w:trHeight w:val="227"/>
        </w:trPr>
        <w:tc>
          <w:tcPr>
            <w:tcW w:w="1517" w:type="pct"/>
            <w:tcBorders>
              <w:top w:val="nil"/>
              <w:left w:val="nil"/>
              <w:bottom w:val="nil"/>
              <w:right w:val="nil"/>
            </w:tcBorders>
            <w:shd w:val="clear" w:color="auto" w:fill="auto"/>
            <w:noWrap/>
            <w:vAlign w:val="center"/>
            <w:hideMark/>
          </w:tcPr>
          <w:p w14:paraId="51AC392A" w14:textId="77777777" w:rsidR="0013173C" w:rsidRPr="00252D7B" w:rsidRDefault="0013173C" w:rsidP="00F6584E">
            <w:pPr>
              <w:rPr>
                <w:rFonts w:asciiTheme="minorHAnsi" w:hAnsiTheme="minorHAnsi" w:cstheme="minorHAnsi"/>
                <w:color w:val="000000"/>
                <w:sz w:val="20"/>
                <w:szCs w:val="20"/>
              </w:rPr>
            </w:pPr>
            <w:r w:rsidRPr="00252D7B">
              <w:rPr>
                <w:rFonts w:asciiTheme="minorHAnsi" w:hAnsiTheme="minorHAnsi" w:cstheme="minorHAnsi"/>
                <w:color w:val="000000"/>
                <w:sz w:val="20"/>
                <w:szCs w:val="20"/>
              </w:rPr>
              <w:t>Cíveis</w:t>
            </w:r>
          </w:p>
        </w:tc>
        <w:tc>
          <w:tcPr>
            <w:tcW w:w="670" w:type="pct"/>
            <w:tcBorders>
              <w:top w:val="nil"/>
              <w:left w:val="nil"/>
              <w:bottom w:val="nil"/>
              <w:right w:val="nil"/>
            </w:tcBorders>
            <w:shd w:val="clear" w:color="auto" w:fill="auto"/>
            <w:noWrap/>
            <w:vAlign w:val="center"/>
            <w:hideMark/>
          </w:tcPr>
          <w:p w14:paraId="5719CFE8"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664.945.628</w:t>
            </w:r>
          </w:p>
        </w:tc>
        <w:tc>
          <w:tcPr>
            <w:tcW w:w="974" w:type="pct"/>
            <w:tcBorders>
              <w:top w:val="nil"/>
              <w:left w:val="nil"/>
              <w:bottom w:val="nil"/>
              <w:right w:val="nil"/>
            </w:tcBorders>
            <w:shd w:val="clear" w:color="auto" w:fill="auto"/>
            <w:noWrap/>
            <w:vAlign w:val="center"/>
            <w:hideMark/>
          </w:tcPr>
          <w:p w14:paraId="1449D458"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1.195.999.163</w:t>
            </w:r>
          </w:p>
        </w:tc>
        <w:tc>
          <w:tcPr>
            <w:tcW w:w="1039" w:type="pct"/>
            <w:tcBorders>
              <w:top w:val="nil"/>
              <w:left w:val="nil"/>
              <w:bottom w:val="nil"/>
              <w:right w:val="nil"/>
            </w:tcBorders>
            <w:shd w:val="clear" w:color="auto" w:fill="auto"/>
            <w:noWrap/>
            <w:vAlign w:val="center"/>
            <w:hideMark/>
          </w:tcPr>
          <w:p w14:paraId="6F63FE5F"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800" w:type="pct"/>
            <w:tcBorders>
              <w:top w:val="nil"/>
              <w:left w:val="nil"/>
              <w:bottom w:val="nil"/>
              <w:right w:val="nil"/>
            </w:tcBorders>
            <w:shd w:val="clear" w:color="auto" w:fill="auto"/>
            <w:noWrap/>
            <w:vAlign w:val="center"/>
            <w:hideMark/>
          </w:tcPr>
          <w:p w14:paraId="6A226A83"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1.860.944.791</w:t>
            </w:r>
          </w:p>
        </w:tc>
      </w:tr>
      <w:tr w:rsidR="0013173C" w:rsidRPr="00252D7B" w14:paraId="2AD43168" w14:textId="77777777" w:rsidTr="00F6584E">
        <w:trPr>
          <w:trHeight w:val="227"/>
        </w:trPr>
        <w:tc>
          <w:tcPr>
            <w:tcW w:w="1517" w:type="pct"/>
            <w:tcBorders>
              <w:top w:val="nil"/>
              <w:left w:val="nil"/>
              <w:bottom w:val="nil"/>
              <w:right w:val="nil"/>
            </w:tcBorders>
            <w:shd w:val="clear" w:color="auto" w:fill="auto"/>
            <w:noWrap/>
            <w:vAlign w:val="center"/>
            <w:hideMark/>
          </w:tcPr>
          <w:p w14:paraId="1C1FAEE0" w14:textId="77777777" w:rsidR="0013173C" w:rsidRPr="00252D7B" w:rsidRDefault="0013173C" w:rsidP="00F6584E">
            <w:pPr>
              <w:rPr>
                <w:rFonts w:asciiTheme="minorHAnsi" w:hAnsiTheme="minorHAnsi" w:cstheme="minorHAnsi"/>
                <w:color w:val="000000"/>
                <w:sz w:val="20"/>
                <w:szCs w:val="20"/>
              </w:rPr>
            </w:pPr>
            <w:r w:rsidRPr="00252D7B">
              <w:rPr>
                <w:rFonts w:asciiTheme="minorHAnsi" w:hAnsiTheme="minorHAnsi" w:cstheme="minorHAnsi"/>
                <w:color w:val="000000"/>
                <w:sz w:val="20"/>
                <w:szCs w:val="20"/>
              </w:rPr>
              <w:t>Tributárias</w:t>
            </w:r>
          </w:p>
        </w:tc>
        <w:tc>
          <w:tcPr>
            <w:tcW w:w="670" w:type="pct"/>
            <w:tcBorders>
              <w:top w:val="nil"/>
              <w:left w:val="nil"/>
              <w:bottom w:val="nil"/>
              <w:right w:val="nil"/>
            </w:tcBorders>
            <w:shd w:val="clear" w:color="auto" w:fill="auto"/>
            <w:noWrap/>
            <w:vAlign w:val="center"/>
            <w:hideMark/>
          </w:tcPr>
          <w:p w14:paraId="06848FAF"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974" w:type="pct"/>
            <w:tcBorders>
              <w:top w:val="nil"/>
              <w:left w:val="nil"/>
              <w:bottom w:val="nil"/>
              <w:right w:val="nil"/>
            </w:tcBorders>
            <w:shd w:val="clear" w:color="auto" w:fill="auto"/>
            <w:noWrap/>
            <w:vAlign w:val="center"/>
            <w:hideMark/>
          </w:tcPr>
          <w:p w14:paraId="2688EAEB"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434.727</w:t>
            </w:r>
          </w:p>
        </w:tc>
        <w:tc>
          <w:tcPr>
            <w:tcW w:w="1039" w:type="pct"/>
            <w:tcBorders>
              <w:top w:val="nil"/>
              <w:left w:val="nil"/>
              <w:bottom w:val="nil"/>
              <w:right w:val="nil"/>
            </w:tcBorders>
            <w:shd w:val="clear" w:color="auto" w:fill="auto"/>
            <w:noWrap/>
            <w:vAlign w:val="center"/>
            <w:hideMark/>
          </w:tcPr>
          <w:p w14:paraId="6DA8F1A4"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800" w:type="pct"/>
            <w:tcBorders>
              <w:top w:val="nil"/>
              <w:left w:val="nil"/>
              <w:bottom w:val="nil"/>
              <w:right w:val="nil"/>
            </w:tcBorders>
            <w:shd w:val="clear" w:color="auto" w:fill="auto"/>
            <w:noWrap/>
            <w:vAlign w:val="center"/>
            <w:hideMark/>
          </w:tcPr>
          <w:p w14:paraId="054B0A3B"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434.727</w:t>
            </w:r>
          </w:p>
        </w:tc>
      </w:tr>
      <w:tr w:rsidR="0013173C" w:rsidRPr="00252D7B" w14:paraId="1C653CA4" w14:textId="77777777" w:rsidTr="00F6584E">
        <w:trPr>
          <w:trHeight w:val="227"/>
        </w:trPr>
        <w:tc>
          <w:tcPr>
            <w:tcW w:w="1517" w:type="pct"/>
            <w:tcBorders>
              <w:top w:val="nil"/>
              <w:left w:val="nil"/>
              <w:bottom w:val="single" w:sz="8" w:space="0" w:color="auto"/>
              <w:right w:val="nil"/>
            </w:tcBorders>
            <w:shd w:val="clear" w:color="auto" w:fill="auto"/>
            <w:noWrap/>
            <w:vAlign w:val="center"/>
            <w:hideMark/>
          </w:tcPr>
          <w:p w14:paraId="2978308F" w14:textId="77777777" w:rsidR="0013173C" w:rsidRPr="00252D7B" w:rsidRDefault="0013173C" w:rsidP="00F6584E">
            <w:pPr>
              <w:rPr>
                <w:rFonts w:asciiTheme="minorHAnsi" w:hAnsiTheme="minorHAnsi" w:cstheme="minorHAnsi"/>
                <w:color w:val="000000"/>
                <w:sz w:val="20"/>
                <w:szCs w:val="20"/>
              </w:rPr>
            </w:pPr>
            <w:r w:rsidRPr="00252D7B">
              <w:rPr>
                <w:rFonts w:asciiTheme="minorHAnsi" w:hAnsiTheme="minorHAnsi" w:cstheme="minorHAnsi"/>
                <w:color w:val="000000"/>
                <w:sz w:val="20"/>
                <w:szCs w:val="20"/>
              </w:rPr>
              <w:t>Previdenciárias</w:t>
            </w:r>
          </w:p>
        </w:tc>
        <w:tc>
          <w:tcPr>
            <w:tcW w:w="670" w:type="pct"/>
            <w:tcBorders>
              <w:top w:val="nil"/>
              <w:left w:val="nil"/>
              <w:bottom w:val="single" w:sz="8" w:space="0" w:color="auto"/>
              <w:right w:val="nil"/>
            </w:tcBorders>
            <w:shd w:val="clear" w:color="auto" w:fill="auto"/>
            <w:noWrap/>
            <w:vAlign w:val="center"/>
            <w:hideMark/>
          </w:tcPr>
          <w:p w14:paraId="02EBA642"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974" w:type="pct"/>
            <w:tcBorders>
              <w:top w:val="nil"/>
              <w:left w:val="nil"/>
              <w:bottom w:val="single" w:sz="8" w:space="0" w:color="auto"/>
              <w:right w:val="nil"/>
            </w:tcBorders>
            <w:shd w:val="clear" w:color="auto" w:fill="auto"/>
            <w:noWrap/>
            <w:vAlign w:val="center"/>
            <w:hideMark/>
          </w:tcPr>
          <w:p w14:paraId="2555F052"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258.198</w:t>
            </w:r>
          </w:p>
        </w:tc>
        <w:tc>
          <w:tcPr>
            <w:tcW w:w="1039" w:type="pct"/>
            <w:tcBorders>
              <w:top w:val="nil"/>
              <w:left w:val="nil"/>
              <w:bottom w:val="single" w:sz="8" w:space="0" w:color="auto"/>
              <w:right w:val="nil"/>
            </w:tcBorders>
            <w:shd w:val="clear" w:color="auto" w:fill="auto"/>
            <w:noWrap/>
            <w:vAlign w:val="center"/>
            <w:hideMark/>
          </w:tcPr>
          <w:p w14:paraId="6CF1320F"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800" w:type="pct"/>
            <w:tcBorders>
              <w:top w:val="nil"/>
              <w:left w:val="nil"/>
              <w:bottom w:val="single" w:sz="8" w:space="0" w:color="auto"/>
              <w:right w:val="nil"/>
            </w:tcBorders>
            <w:shd w:val="clear" w:color="auto" w:fill="auto"/>
            <w:noWrap/>
            <w:vAlign w:val="center"/>
            <w:hideMark/>
          </w:tcPr>
          <w:p w14:paraId="7C1A6A19"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258.198</w:t>
            </w:r>
          </w:p>
        </w:tc>
      </w:tr>
      <w:tr w:rsidR="0013173C" w:rsidRPr="00252D7B" w14:paraId="470E71B4" w14:textId="77777777" w:rsidTr="00F6584E">
        <w:trPr>
          <w:trHeight w:val="227"/>
        </w:trPr>
        <w:tc>
          <w:tcPr>
            <w:tcW w:w="1517" w:type="pct"/>
            <w:tcBorders>
              <w:top w:val="nil"/>
              <w:left w:val="nil"/>
              <w:bottom w:val="single" w:sz="8" w:space="0" w:color="auto"/>
              <w:right w:val="nil"/>
            </w:tcBorders>
            <w:shd w:val="clear" w:color="auto" w:fill="auto"/>
            <w:noWrap/>
            <w:vAlign w:val="center"/>
            <w:hideMark/>
          </w:tcPr>
          <w:p w14:paraId="72D42748" w14:textId="77777777" w:rsidR="0013173C" w:rsidRPr="00252D7B" w:rsidRDefault="0013173C" w:rsidP="00F6584E">
            <w:pPr>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SALDO</w:t>
            </w:r>
          </w:p>
        </w:tc>
        <w:tc>
          <w:tcPr>
            <w:tcW w:w="670" w:type="pct"/>
            <w:tcBorders>
              <w:top w:val="nil"/>
              <w:left w:val="nil"/>
              <w:bottom w:val="single" w:sz="8" w:space="0" w:color="auto"/>
              <w:right w:val="nil"/>
            </w:tcBorders>
            <w:shd w:val="clear" w:color="auto" w:fill="auto"/>
            <w:noWrap/>
            <w:vAlign w:val="center"/>
            <w:hideMark/>
          </w:tcPr>
          <w:p w14:paraId="4FF3EED7" w14:textId="77777777" w:rsidR="0013173C" w:rsidRPr="00252D7B" w:rsidRDefault="0013173C" w:rsidP="00F6584E">
            <w:pPr>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766.130.719</w:t>
            </w:r>
          </w:p>
        </w:tc>
        <w:tc>
          <w:tcPr>
            <w:tcW w:w="974" w:type="pct"/>
            <w:tcBorders>
              <w:top w:val="nil"/>
              <w:left w:val="nil"/>
              <w:bottom w:val="single" w:sz="8" w:space="0" w:color="auto"/>
              <w:right w:val="nil"/>
            </w:tcBorders>
            <w:shd w:val="clear" w:color="auto" w:fill="auto"/>
            <w:noWrap/>
            <w:vAlign w:val="center"/>
            <w:hideMark/>
          </w:tcPr>
          <w:p w14:paraId="5C1E8758" w14:textId="77777777" w:rsidR="0013173C" w:rsidRPr="00252D7B" w:rsidRDefault="0013173C" w:rsidP="00F6584E">
            <w:pPr>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1.258.801.719</w:t>
            </w:r>
          </w:p>
        </w:tc>
        <w:tc>
          <w:tcPr>
            <w:tcW w:w="1039" w:type="pct"/>
            <w:tcBorders>
              <w:top w:val="nil"/>
              <w:left w:val="nil"/>
              <w:bottom w:val="single" w:sz="8" w:space="0" w:color="auto"/>
              <w:right w:val="nil"/>
            </w:tcBorders>
            <w:shd w:val="clear" w:color="auto" w:fill="auto"/>
            <w:noWrap/>
            <w:vAlign w:val="center"/>
            <w:hideMark/>
          </w:tcPr>
          <w:p w14:paraId="1A3B21A0" w14:textId="77777777" w:rsidR="0013173C" w:rsidRPr="00252D7B" w:rsidRDefault="0013173C" w:rsidP="00F6584E">
            <w:pPr>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(53.369.519)</w:t>
            </w:r>
          </w:p>
        </w:tc>
        <w:tc>
          <w:tcPr>
            <w:tcW w:w="800" w:type="pct"/>
            <w:tcBorders>
              <w:top w:val="nil"/>
              <w:left w:val="nil"/>
              <w:bottom w:val="single" w:sz="8" w:space="0" w:color="auto"/>
              <w:right w:val="nil"/>
            </w:tcBorders>
            <w:shd w:val="clear" w:color="auto" w:fill="auto"/>
            <w:noWrap/>
            <w:vAlign w:val="center"/>
            <w:hideMark/>
          </w:tcPr>
          <w:p w14:paraId="6985A4C1" w14:textId="77777777" w:rsidR="0013173C" w:rsidRPr="00252D7B" w:rsidRDefault="0013173C" w:rsidP="00F6584E">
            <w:pPr>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1.971.562.919</w:t>
            </w:r>
          </w:p>
        </w:tc>
      </w:tr>
      <w:tr w:rsidR="0013173C" w:rsidRPr="00252D7B" w14:paraId="59C60209" w14:textId="77777777" w:rsidTr="00F6584E">
        <w:trPr>
          <w:trHeight w:val="227"/>
        </w:trPr>
        <w:tc>
          <w:tcPr>
            <w:tcW w:w="1517" w:type="pct"/>
            <w:tcBorders>
              <w:top w:val="nil"/>
              <w:left w:val="nil"/>
              <w:bottom w:val="single" w:sz="8" w:space="0" w:color="auto"/>
              <w:right w:val="nil"/>
            </w:tcBorders>
            <w:shd w:val="clear" w:color="auto" w:fill="auto"/>
            <w:noWrap/>
            <w:vAlign w:val="center"/>
            <w:hideMark/>
          </w:tcPr>
          <w:p w14:paraId="102CEE52" w14:textId="77777777" w:rsidR="0013173C" w:rsidRPr="00252D7B" w:rsidRDefault="0013173C" w:rsidP="00F6584E">
            <w:pPr>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w:t>
            </w:r>
          </w:p>
        </w:tc>
        <w:tc>
          <w:tcPr>
            <w:tcW w:w="670" w:type="pct"/>
            <w:tcBorders>
              <w:top w:val="nil"/>
              <w:left w:val="nil"/>
              <w:bottom w:val="single" w:sz="8" w:space="0" w:color="auto"/>
              <w:right w:val="nil"/>
            </w:tcBorders>
            <w:shd w:val="clear" w:color="auto" w:fill="auto"/>
            <w:noWrap/>
            <w:vAlign w:val="center"/>
            <w:hideMark/>
          </w:tcPr>
          <w:p w14:paraId="26BF70CB" w14:textId="77777777" w:rsidR="0013173C" w:rsidRPr="00252D7B" w:rsidRDefault="0013173C" w:rsidP="00F6584E">
            <w:pPr>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w:t>
            </w:r>
          </w:p>
        </w:tc>
        <w:tc>
          <w:tcPr>
            <w:tcW w:w="974" w:type="pct"/>
            <w:tcBorders>
              <w:top w:val="nil"/>
              <w:left w:val="nil"/>
              <w:bottom w:val="single" w:sz="8" w:space="0" w:color="auto"/>
              <w:right w:val="nil"/>
            </w:tcBorders>
            <w:shd w:val="clear" w:color="auto" w:fill="auto"/>
            <w:noWrap/>
            <w:vAlign w:val="center"/>
            <w:hideMark/>
          </w:tcPr>
          <w:p w14:paraId="1956EDA5" w14:textId="77777777" w:rsidR="0013173C" w:rsidRPr="00252D7B" w:rsidRDefault="0013173C" w:rsidP="00F6584E">
            <w:pPr>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w:t>
            </w:r>
          </w:p>
        </w:tc>
        <w:tc>
          <w:tcPr>
            <w:tcW w:w="1039" w:type="pct"/>
            <w:tcBorders>
              <w:top w:val="nil"/>
              <w:left w:val="nil"/>
              <w:bottom w:val="single" w:sz="8" w:space="0" w:color="auto"/>
              <w:right w:val="nil"/>
            </w:tcBorders>
            <w:shd w:val="clear" w:color="auto" w:fill="auto"/>
            <w:noWrap/>
            <w:vAlign w:val="center"/>
            <w:hideMark/>
          </w:tcPr>
          <w:p w14:paraId="36E79AE0" w14:textId="77777777" w:rsidR="0013173C" w:rsidRPr="00252D7B" w:rsidRDefault="0013173C" w:rsidP="00F6584E">
            <w:pPr>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w:t>
            </w:r>
          </w:p>
        </w:tc>
        <w:tc>
          <w:tcPr>
            <w:tcW w:w="800" w:type="pct"/>
            <w:tcBorders>
              <w:top w:val="nil"/>
              <w:left w:val="nil"/>
              <w:bottom w:val="single" w:sz="8" w:space="0" w:color="auto"/>
              <w:right w:val="nil"/>
            </w:tcBorders>
            <w:shd w:val="clear" w:color="auto" w:fill="auto"/>
            <w:noWrap/>
            <w:vAlign w:val="center"/>
            <w:hideMark/>
          </w:tcPr>
          <w:p w14:paraId="6E2D453C" w14:textId="77777777" w:rsidR="0013173C" w:rsidRPr="00252D7B" w:rsidRDefault="0013173C" w:rsidP="00F6584E">
            <w:pPr>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w:t>
            </w:r>
          </w:p>
        </w:tc>
      </w:tr>
      <w:tr w:rsidR="0013173C" w:rsidRPr="00252D7B" w14:paraId="0B212A57" w14:textId="77777777" w:rsidTr="00F6584E">
        <w:trPr>
          <w:trHeight w:val="227"/>
        </w:trPr>
        <w:tc>
          <w:tcPr>
            <w:tcW w:w="1517" w:type="pct"/>
            <w:tcBorders>
              <w:top w:val="nil"/>
              <w:left w:val="nil"/>
              <w:bottom w:val="single" w:sz="8" w:space="0" w:color="auto"/>
              <w:right w:val="nil"/>
            </w:tcBorders>
            <w:shd w:val="clear" w:color="auto" w:fill="auto"/>
            <w:noWrap/>
            <w:vAlign w:val="center"/>
            <w:hideMark/>
          </w:tcPr>
          <w:p w14:paraId="1C48FB33" w14:textId="77777777" w:rsidR="0013173C" w:rsidRPr="00252D7B" w:rsidRDefault="0013173C" w:rsidP="00F6584E">
            <w:pPr>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Curto Prazo</w:t>
            </w:r>
          </w:p>
        </w:tc>
        <w:tc>
          <w:tcPr>
            <w:tcW w:w="670" w:type="pct"/>
            <w:tcBorders>
              <w:top w:val="nil"/>
              <w:left w:val="nil"/>
              <w:bottom w:val="single" w:sz="8" w:space="0" w:color="auto"/>
              <w:right w:val="nil"/>
            </w:tcBorders>
            <w:shd w:val="clear" w:color="auto" w:fill="auto"/>
            <w:noWrap/>
            <w:vAlign w:val="center"/>
            <w:hideMark/>
          </w:tcPr>
          <w:p w14:paraId="36D98488" w14:textId="77777777" w:rsidR="0013173C" w:rsidRPr="00252D7B" w:rsidRDefault="0013173C" w:rsidP="00F6584E">
            <w:pPr>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290.971.766</w:t>
            </w:r>
          </w:p>
        </w:tc>
        <w:tc>
          <w:tcPr>
            <w:tcW w:w="974" w:type="pct"/>
            <w:tcBorders>
              <w:top w:val="nil"/>
              <w:left w:val="nil"/>
              <w:bottom w:val="single" w:sz="8" w:space="0" w:color="auto"/>
              <w:right w:val="nil"/>
            </w:tcBorders>
            <w:shd w:val="clear" w:color="auto" w:fill="auto"/>
            <w:noWrap/>
            <w:vAlign w:val="center"/>
            <w:hideMark/>
          </w:tcPr>
          <w:p w14:paraId="51BE274D" w14:textId="77777777" w:rsidR="0013173C" w:rsidRPr="00252D7B" w:rsidRDefault="0013173C" w:rsidP="00F6584E">
            <w:pPr>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22.582.960</w:t>
            </w:r>
          </w:p>
        </w:tc>
        <w:tc>
          <w:tcPr>
            <w:tcW w:w="1039" w:type="pct"/>
            <w:tcBorders>
              <w:top w:val="nil"/>
              <w:left w:val="nil"/>
              <w:bottom w:val="single" w:sz="8" w:space="0" w:color="auto"/>
              <w:right w:val="nil"/>
            </w:tcBorders>
            <w:shd w:val="clear" w:color="auto" w:fill="auto"/>
            <w:noWrap/>
            <w:vAlign w:val="center"/>
            <w:hideMark/>
          </w:tcPr>
          <w:p w14:paraId="06F6A345" w14:textId="77777777" w:rsidR="0013173C" w:rsidRPr="00252D7B" w:rsidRDefault="0013173C" w:rsidP="00F6584E">
            <w:pPr>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(234.357.496)</w:t>
            </w:r>
          </w:p>
        </w:tc>
        <w:tc>
          <w:tcPr>
            <w:tcW w:w="800" w:type="pct"/>
            <w:tcBorders>
              <w:top w:val="nil"/>
              <w:left w:val="nil"/>
              <w:bottom w:val="single" w:sz="8" w:space="0" w:color="auto"/>
              <w:right w:val="nil"/>
            </w:tcBorders>
            <w:shd w:val="clear" w:color="auto" w:fill="auto"/>
            <w:noWrap/>
            <w:vAlign w:val="center"/>
            <w:hideMark/>
          </w:tcPr>
          <w:p w14:paraId="3EE24FEE" w14:textId="77777777" w:rsidR="0013173C" w:rsidRPr="00252D7B" w:rsidRDefault="0013173C" w:rsidP="00F6584E">
            <w:pPr>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79.197.230</w:t>
            </w:r>
          </w:p>
        </w:tc>
      </w:tr>
      <w:tr w:rsidR="0013173C" w:rsidRPr="00252D7B" w14:paraId="2900E3C9" w14:textId="77777777" w:rsidTr="00F6584E">
        <w:trPr>
          <w:trHeight w:val="227"/>
        </w:trPr>
        <w:tc>
          <w:tcPr>
            <w:tcW w:w="1517" w:type="pct"/>
            <w:tcBorders>
              <w:top w:val="nil"/>
              <w:left w:val="nil"/>
              <w:bottom w:val="nil"/>
              <w:right w:val="nil"/>
            </w:tcBorders>
            <w:shd w:val="clear" w:color="auto" w:fill="auto"/>
            <w:noWrap/>
            <w:vAlign w:val="center"/>
            <w:hideMark/>
          </w:tcPr>
          <w:p w14:paraId="12620D05" w14:textId="77777777" w:rsidR="0013173C" w:rsidRPr="00252D7B" w:rsidRDefault="0013173C" w:rsidP="00F6584E">
            <w:pPr>
              <w:rPr>
                <w:rFonts w:asciiTheme="minorHAnsi" w:hAnsiTheme="minorHAnsi" w:cstheme="minorHAnsi"/>
                <w:color w:val="000000"/>
                <w:sz w:val="20"/>
                <w:szCs w:val="20"/>
              </w:rPr>
            </w:pPr>
            <w:r w:rsidRPr="00252D7B">
              <w:rPr>
                <w:rFonts w:asciiTheme="minorHAnsi" w:hAnsiTheme="minorHAnsi" w:cstheme="minorHAnsi"/>
                <w:color w:val="000000"/>
                <w:sz w:val="20"/>
                <w:szCs w:val="20"/>
              </w:rPr>
              <w:t>Desapropriações</w:t>
            </w:r>
          </w:p>
        </w:tc>
        <w:tc>
          <w:tcPr>
            <w:tcW w:w="670" w:type="pct"/>
            <w:tcBorders>
              <w:top w:val="nil"/>
              <w:left w:val="nil"/>
              <w:bottom w:val="nil"/>
              <w:right w:val="nil"/>
            </w:tcBorders>
            <w:shd w:val="clear" w:color="auto" w:fill="auto"/>
            <w:noWrap/>
            <w:vAlign w:val="center"/>
            <w:hideMark/>
          </w:tcPr>
          <w:p w14:paraId="569A423F"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974" w:type="pct"/>
            <w:tcBorders>
              <w:top w:val="nil"/>
              <w:left w:val="nil"/>
              <w:bottom w:val="nil"/>
              <w:right w:val="nil"/>
            </w:tcBorders>
            <w:shd w:val="clear" w:color="auto" w:fill="auto"/>
            <w:noWrap/>
            <w:vAlign w:val="center"/>
            <w:hideMark/>
          </w:tcPr>
          <w:p w14:paraId="76EC4506"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18.748.049</w:t>
            </w:r>
          </w:p>
        </w:tc>
        <w:tc>
          <w:tcPr>
            <w:tcW w:w="1039" w:type="pct"/>
            <w:tcBorders>
              <w:top w:val="nil"/>
              <w:left w:val="nil"/>
              <w:bottom w:val="nil"/>
              <w:right w:val="nil"/>
            </w:tcBorders>
            <w:shd w:val="clear" w:color="auto" w:fill="auto"/>
            <w:noWrap/>
            <w:vAlign w:val="center"/>
            <w:hideMark/>
          </w:tcPr>
          <w:p w14:paraId="6120E4B9"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800" w:type="pct"/>
            <w:tcBorders>
              <w:top w:val="nil"/>
              <w:left w:val="nil"/>
              <w:bottom w:val="nil"/>
              <w:right w:val="nil"/>
            </w:tcBorders>
            <w:shd w:val="clear" w:color="auto" w:fill="auto"/>
            <w:noWrap/>
            <w:vAlign w:val="center"/>
            <w:hideMark/>
          </w:tcPr>
          <w:p w14:paraId="45F37CA0"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18.748.049</w:t>
            </w:r>
          </w:p>
        </w:tc>
      </w:tr>
      <w:tr w:rsidR="0013173C" w:rsidRPr="00252D7B" w14:paraId="1756DF3F" w14:textId="77777777" w:rsidTr="00F6584E">
        <w:trPr>
          <w:trHeight w:val="227"/>
        </w:trPr>
        <w:tc>
          <w:tcPr>
            <w:tcW w:w="1517" w:type="pct"/>
            <w:tcBorders>
              <w:top w:val="nil"/>
              <w:left w:val="nil"/>
              <w:bottom w:val="nil"/>
              <w:right w:val="nil"/>
            </w:tcBorders>
            <w:shd w:val="clear" w:color="auto" w:fill="auto"/>
            <w:noWrap/>
            <w:vAlign w:val="center"/>
            <w:hideMark/>
          </w:tcPr>
          <w:p w14:paraId="222F71CF" w14:textId="77777777" w:rsidR="0013173C" w:rsidRPr="00252D7B" w:rsidRDefault="0013173C" w:rsidP="00F6584E">
            <w:pPr>
              <w:rPr>
                <w:rFonts w:asciiTheme="minorHAnsi" w:hAnsiTheme="minorHAnsi" w:cstheme="minorHAnsi"/>
                <w:color w:val="000000"/>
                <w:sz w:val="20"/>
                <w:szCs w:val="20"/>
              </w:rPr>
            </w:pPr>
            <w:r w:rsidRPr="00252D7B">
              <w:rPr>
                <w:rFonts w:asciiTheme="minorHAnsi" w:hAnsiTheme="minorHAnsi" w:cstheme="minorHAnsi"/>
                <w:color w:val="000000"/>
                <w:sz w:val="20"/>
                <w:szCs w:val="20"/>
              </w:rPr>
              <w:t>Trabalhistas</w:t>
            </w:r>
          </w:p>
        </w:tc>
        <w:tc>
          <w:tcPr>
            <w:tcW w:w="670" w:type="pct"/>
            <w:tcBorders>
              <w:top w:val="nil"/>
              <w:left w:val="nil"/>
              <w:bottom w:val="nil"/>
              <w:right w:val="nil"/>
            </w:tcBorders>
            <w:shd w:val="clear" w:color="auto" w:fill="auto"/>
            <w:noWrap/>
            <w:vAlign w:val="center"/>
            <w:hideMark/>
          </w:tcPr>
          <w:p w14:paraId="112DD93C"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40.917.233</w:t>
            </w:r>
          </w:p>
        </w:tc>
        <w:tc>
          <w:tcPr>
            <w:tcW w:w="974" w:type="pct"/>
            <w:tcBorders>
              <w:top w:val="nil"/>
              <w:left w:val="nil"/>
              <w:bottom w:val="nil"/>
              <w:right w:val="nil"/>
            </w:tcBorders>
            <w:shd w:val="clear" w:color="auto" w:fill="auto"/>
            <w:noWrap/>
            <w:vAlign w:val="center"/>
            <w:hideMark/>
          </w:tcPr>
          <w:p w14:paraId="26F38DC4"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3.834.911</w:t>
            </w:r>
          </w:p>
        </w:tc>
        <w:tc>
          <w:tcPr>
            <w:tcW w:w="1039" w:type="pct"/>
            <w:tcBorders>
              <w:top w:val="nil"/>
              <w:left w:val="nil"/>
              <w:bottom w:val="nil"/>
              <w:right w:val="nil"/>
            </w:tcBorders>
            <w:shd w:val="clear" w:color="auto" w:fill="auto"/>
            <w:noWrap/>
            <w:vAlign w:val="center"/>
            <w:hideMark/>
          </w:tcPr>
          <w:p w14:paraId="6892702B"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800" w:type="pct"/>
            <w:tcBorders>
              <w:top w:val="nil"/>
              <w:left w:val="nil"/>
              <w:bottom w:val="nil"/>
              <w:right w:val="nil"/>
            </w:tcBorders>
            <w:shd w:val="clear" w:color="auto" w:fill="auto"/>
            <w:noWrap/>
            <w:vAlign w:val="center"/>
            <w:hideMark/>
          </w:tcPr>
          <w:p w14:paraId="54E604E6"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44.752.144</w:t>
            </w:r>
          </w:p>
        </w:tc>
      </w:tr>
      <w:tr w:rsidR="0013173C" w:rsidRPr="00252D7B" w14:paraId="62BCB48B" w14:textId="77777777" w:rsidTr="00F6584E">
        <w:trPr>
          <w:trHeight w:val="227"/>
        </w:trPr>
        <w:tc>
          <w:tcPr>
            <w:tcW w:w="1517" w:type="pct"/>
            <w:tcBorders>
              <w:top w:val="nil"/>
              <w:left w:val="nil"/>
              <w:bottom w:val="nil"/>
              <w:right w:val="nil"/>
            </w:tcBorders>
            <w:shd w:val="clear" w:color="auto" w:fill="auto"/>
            <w:noWrap/>
            <w:vAlign w:val="center"/>
            <w:hideMark/>
          </w:tcPr>
          <w:p w14:paraId="7ABF38BE" w14:textId="77777777" w:rsidR="0013173C" w:rsidRPr="00252D7B" w:rsidRDefault="0013173C" w:rsidP="00F6584E">
            <w:pPr>
              <w:rPr>
                <w:rFonts w:asciiTheme="minorHAnsi" w:hAnsiTheme="minorHAnsi" w:cstheme="minorHAnsi"/>
                <w:color w:val="000000"/>
                <w:sz w:val="20"/>
                <w:szCs w:val="20"/>
              </w:rPr>
            </w:pPr>
            <w:r w:rsidRPr="00252D7B">
              <w:rPr>
                <w:rFonts w:asciiTheme="minorHAnsi" w:hAnsiTheme="minorHAnsi" w:cstheme="minorHAnsi"/>
                <w:color w:val="000000"/>
                <w:sz w:val="20"/>
                <w:szCs w:val="20"/>
              </w:rPr>
              <w:t>Cíveis</w:t>
            </w:r>
          </w:p>
        </w:tc>
        <w:tc>
          <w:tcPr>
            <w:tcW w:w="670" w:type="pct"/>
            <w:tcBorders>
              <w:top w:val="nil"/>
              <w:left w:val="nil"/>
              <w:bottom w:val="nil"/>
              <w:right w:val="nil"/>
            </w:tcBorders>
            <w:shd w:val="clear" w:color="auto" w:fill="auto"/>
            <w:noWrap/>
            <w:vAlign w:val="center"/>
            <w:hideMark/>
          </w:tcPr>
          <w:p w14:paraId="14F0CE75"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250.054.533</w:t>
            </w:r>
          </w:p>
        </w:tc>
        <w:tc>
          <w:tcPr>
            <w:tcW w:w="974" w:type="pct"/>
            <w:tcBorders>
              <w:top w:val="nil"/>
              <w:left w:val="nil"/>
              <w:bottom w:val="nil"/>
              <w:right w:val="nil"/>
            </w:tcBorders>
            <w:shd w:val="clear" w:color="auto" w:fill="auto"/>
            <w:noWrap/>
            <w:vAlign w:val="center"/>
            <w:hideMark/>
          </w:tcPr>
          <w:p w14:paraId="752D14AD"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1039" w:type="pct"/>
            <w:tcBorders>
              <w:top w:val="nil"/>
              <w:left w:val="nil"/>
              <w:bottom w:val="nil"/>
              <w:right w:val="nil"/>
            </w:tcBorders>
            <w:shd w:val="clear" w:color="auto" w:fill="auto"/>
            <w:noWrap/>
            <w:vAlign w:val="center"/>
            <w:hideMark/>
          </w:tcPr>
          <w:p w14:paraId="5D7F1733"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(234.357.496)</w:t>
            </w:r>
          </w:p>
        </w:tc>
        <w:tc>
          <w:tcPr>
            <w:tcW w:w="800" w:type="pct"/>
            <w:tcBorders>
              <w:top w:val="nil"/>
              <w:left w:val="nil"/>
              <w:bottom w:val="nil"/>
              <w:right w:val="nil"/>
            </w:tcBorders>
            <w:shd w:val="clear" w:color="auto" w:fill="auto"/>
            <w:noWrap/>
            <w:vAlign w:val="center"/>
            <w:hideMark/>
          </w:tcPr>
          <w:p w14:paraId="6FA9DE29"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15.697.037</w:t>
            </w:r>
          </w:p>
        </w:tc>
      </w:tr>
      <w:tr w:rsidR="0013173C" w:rsidRPr="00252D7B" w14:paraId="0543656B" w14:textId="77777777" w:rsidTr="00F6584E">
        <w:trPr>
          <w:trHeight w:val="227"/>
        </w:trPr>
        <w:tc>
          <w:tcPr>
            <w:tcW w:w="1517" w:type="pct"/>
            <w:tcBorders>
              <w:top w:val="nil"/>
              <w:left w:val="nil"/>
              <w:bottom w:val="nil"/>
              <w:right w:val="nil"/>
            </w:tcBorders>
            <w:shd w:val="clear" w:color="auto" w:fill="auto"/>
            <w:noWrap/>
            <w:vAlign w:val="center"/>
            <w:hideMark/>
          </w:tcPr>
          <w:p w14:paraId="7C6716D4" w14:textId="77777777" w:rsidR="0013173C" w:rsidRPr="00252D7B" w:rsidRDefault="0013173C" w:rsidP="00F6584E">
            <w:pPr>
              <w:rPr>
                <w:rFonts w:asciiTheme="minorHAnsi" w:hAnsiTheme="minorHAnsi" w:cstheme="minorHAnsi"/>
                <w:color w:val="000000"/>
                <w:sz w:val="20"/>
                <w:szCs w:val="20"/>
              </w:rPr>
            </w:pPr>
            <w:r w:rsidRPr="00252D7B">
              <w:rPr>
                <w:rFonts w:asciiTheme="minorHAnsi" w:hAnsiTheme="minorHAnsi" w:cstheme="minorHAnsi"/>
                <w:color w:val="000000"/>
                <w:sz w:val="20"/>
                <w:szCs w:val="20"/>
              </w:rPr>
              <w:t>Tributárias</w:t>
            </w:r>
          </w:p>
        </w:tc>
        <w:tc>
          <w:tcPr>
            <w:tcW w:w="670" w:type="pct"/>
            <w:tcBorders>
              <w:top w:val="nil"/>
              <w:left w:val="nil"/>
              <w:bottom w:val="nil"/>
              <w:right w:val="nil"/>
            </w:tcBorders>
            <w:shd w:val="clear" w:color="auto" w:fill="auto"/>
            <w:noWrap/>
            <w:vAlign w:val="center"/>
            <w:hideMark/>
          </w:tcPr>
          <w:p w14:paraId="19E3B728"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974" w:type="pct"/>
            <w:tcBorders>
              <w:top w:val="nil"/>
              <w:left w:val="nil"/>
              <w:bottom w:val="nil"/>
              <w:right w:val="nil"/>
            </w:tcBorders>
            <w:shd w:val="clear" w:color="auto" w:fill="auto"/>
            <w:noWrap/>
            <w:vAlign w:val="center"/>
            <w:hideMark/>
          </w:tcPr>
          <w:p w14:paraId="4FF641FC"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1039" w:type="pct"/>
            <w:tcBorders>
              <w:top w:val="nil"/>
              <w:left w:val="nil"/>
              <w:bottom w:val="nil"/>
              <w:right w:val="nil"/>
            </w:tcBorders>
            <w:shd w:val="clear" w:color="auto" w:fill="auto"/>
            <w:noWrap/>
            <w:vAlign w:val="center"/>
            <w:hideMark/>
          </w:tcPr>
          <w:p w14:paraId="354E5330"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800" w:type="pct"/>
            <w:tcBorders>
              <w:top w:val="nil"/>
              <w:left w:val="nil"/>
              <w:bottom w:val="nil"/>
              <w:right w:val="nil"/>
            </w:tcBorders>
            <w:shd w:val="clear" w:color="auto" w:fill="auto"/>
            <w:noWrap/>
            <w:vAlign w:val="center"/>
            <w:hideMark/>
          </w:tcPr>
          <w:p w14:paraId="18DA2ED5"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r>
      <w:tr w:rsidR="0013173C" w:rsidRPr="00252D7B" w14:paraId="2D4F8DA9" w14:textId="77777777" w:rsidTr="00F6584E">
        <w:trPr>
          <w:trHeight w:val="227"/>
        </w:trPr>
        <w:tc>
          <w:tcPr>
            <w:tcW w:w="1517" w:type="pct"/>
            <w:tcBorders>
              <w:top w:val="nil"/>
              <w:left w:val="nil"/>
              <w:bottom w:val="single" w:sz="8" w:space="0" w:color="auto"/>
              <w:right w:val="nil"/>
            </w:tcBorders>
            <w:shd w:val="clear" w:color="auto" w:fill="auto"/>
            <w:noWrap/>
            <w:vAlign w:val="center"/>
            <w:hideMark/>
          </w:tcPr>
          <w:p w14:paraId="05966AA7" w14:textId="77777777" w:rsidR="0013173C" w:rsidRPr="00252D7B" w:rsidRDefault="0013173C" w:rsidP="00F6584E">
            <w:pPr>
              <w:rPr>
                <w:rFonts w:asciiTheme="minorHAnsi" w:hAnsiTheme="minorHAnsi" w:cstheme="minorHAnsi"/>
                <w:color w:val="000000"/>
                <w:sz w:val="20"/>
                <w:szCs w:val="20"/>
              </w:rPr>
            </w:pPr>
            <w:r w:rsidRPr="00252D7B">
              <w:rPr>
                <w:rFonts w:asciiTheme="minorHAnsi" w:hAnsiTheme="minorHAnsi" w:cstheme="minorHAnsi"/>
                <w:color w:val="000000"/>
                <w:sz w:val="20"/>
                <w:szCs w:val="20"/>
              </w:rPr>
              <w:t>Previdenciárias</w:t>
            </w:r>
          </w:p>
        </w:tc>
        <w:tc>
          <w:tcPr>
            <w:tcW w:w="670" w:type="pct"/>
            <w:tcBorders>
              <w:top w:val="nil"/>
              <w:left w:val="nil"/>
              <w:bottom w:val="single" w:sz="8" w:space="0" w:color="auto"/>
              <w:right w:val="nil"/>
            </w:tcBorders>
            <w:shd w:val="clear" w:color="auto" w:fill="auto"/>
            <w:noWrap/>
            <w:vAlign w:val="center"/>
            <w:hideMark/>
          </w:tcPr>
          <w:p w14:paraId="768645A8"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974" w:type="pct"/>
            <w:tcBorders>
              <w:top w:val="nil"/>
              <w:left w:val="nil"/>
              <w:bottom w:val="single" w:sz="8" w:space="0" w:color="auto"/>
              <w:right w:val="nil"/>
            </w:tcBorders>
            <w:shd w:val="clear" w:color="auto" w:fill="auto"/>
            <w:noWrap/>
            <w:vAlign w:val="center"/>
            <w:hideMark/>
          </w:tcPr>
          <w:p w14:paraId="182B38B1"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1039" w:type="pct"/>
            <w:tcBorders>
              <w:top w:val="nil"/>
              <w:left w:val="nil"/>
              <w:bottom w:val="single" w:sz="8" w:space="0" w:color="auto"/>
              <w:right w:val="nil"/>
            </w:tcBorders>
            <w:shd w:val="clear" w:color="auto" w:fill="auto"/>
            <w:noWrap/>
            <w:vAlign w:val="center"/>
            <w:hideMark/>
          </w:tcPr>
          <w:p w14:paraId="4D2A9F1D"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800" w:type="pct"/>
            <w:tcBorders>
              <w:top w:val="nil"/>
              <w:left w:val="nil"/>
              <w:bottom w:val="single" w:sz="8" w:space="0" w:color="auto"/>
              <w:right w:val="nil"/>
            </w:tcBorders>
            <w:shd w:val="clear" w:color="auto" w:fill="auto"/>
            <w:noWrap/>
            <w:vAlign w:val="center"/>
            <w:hideMark/>
          </w:tcPr>
          <w:p w14:paraId="7726F9F1"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r>
      <w:tr w:rsidR="0013173C" w:rsidRPr="00252D7B" w14:paraId="60FD657F" w14:textId="77777777" w:rsidTr="00F6584E">
        <w:trPr>
          <w:trHeight w:val="227"/>
        </w:trPr>
        <w:tc>
          <w:tcPr>
            <w:tcW w:w="1517" w:type="pct"/>
            <w:tcBorders>
              <w:top w:val="nil"/>
              <w:left w:val="nil"/>
              <w:bottom w:val="single" w:sz="8" w:space="0" w:color="auto"/>
              <w:right w:val="nil"/>
            </w:tcBorders>
            <w:shd w:val="clear" w:color="auto" w:fill="auto"/>
            <w:noWrap/>
            <w:vAlign w:val="center"/>
            <w:hideMark/>
          </w:tcPr>
          <w:p w14:paraId="5FFA50A7" w14:textId="77777777" w:rsidR="0013173C" w:rsidRPr="00252D7B" w:rsidRDefault="0013173C" w:rsidP="00F6584E">
            <w:pPr>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Longo Prazo</w:t>
            </w:r>
          </w:p>
        </w:tc>
        <w:tc>
          <w:tcPr>
            <w:tcW w:w="670" w:type="pct"/>
            <w:tcBorders>
              <w:top w:val="nil"/>
              <w:left w:val="nil"/>
              <w:bottom w:val="single" w:sz="8" w:space="0" w:color="auto"/>
              <w:right w:val="nil"/>
            </w:tcBorders>
            <w:shd w:val="clear" w:color="auto" w:fill="auto"/>
            <w:noWrap/>
            <w:vAlign w:val="center"/>
            <w:hideMark/>
          </w:tcPr>
          <w:p w14:paraId="20F502B7" w14:textId="77777777" w:rsidR="0013173C" w:rsidRPr="00252D7B" w:rsidRDefault="0013173C" w:rsidP="00F6584E">
            <w:pPr>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475.158.953</w:t>
            </w:r>
          </w:p>
        </w:tc>
        <w:tc>
          <w:tcPr>
            <w:tcW w:w="974" w:type="pct"/>
            <w:tcBorders>
              <w:top w:val="nil"/>
              <w:left w:val="nil"/>
              <w:bottom w:val="single" w:sz="8" w:space="0" w:color="auto"/>
              <w:right w:val="nil"/>
            </w:tcBorders>
            <w:shd w:val="clear" w:color="auto" w:fill="auto"/>
            <w:noWrap/>
            <w:vAlign w:val="center"/>
            <w:hideMark/>
          </w:tcPr>
          <w:p w14:paraId="7275FD78" w14:textId="77777777" w:rsidR="0013173C" w:rsidRPr="00252D7B" w:rsidRDefault="0013173C" w:rsidP="00F6584E">
            <w:pPr>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1.474.411.166</w:t>
            </w:r>
          </w:p>
        </w:tc>
        <w:tc>
          <w:tcPr>
            <w:tcW w:w="1039" w:type="pct"/>
            <w:tcBorders>
              <w:top w:val="nil"/>
              <w:left w:val="nil"/>
              <w:bottom w:val="single" w:sz="8" w:space="0" w:color="auto"/>
              <w:right w:val="nil"/>
            </w:tcBorders>
            <w:shd w:val="clear" w:color="auto" w:fill="auto"/>
            <w:noWrap/>
            <w:vAlign w:val="center"/>
            <w:hideMark/>
          </w:tcPr>
          <w:p w14:paraId="3389E060" w14:textId="77777777" w:rsidR="0013173C" w:rsidRPr="00252D7B" w:rsidRDefault="0013173C" w:rsidP="00F6584E">
            <w:pPr>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(57.204.430)</w:t>
            </w:r>
          </w:p>
        </w:tc>
        <w:tc>
          <w:tcPr>
            <w:tcW w:w="800" w:type="pct"/>
            <w:tcBorders>
              <w:top w:val="nil"/>
              <w:left w:val="nil"/>
              <w:bottom w:val="single" w:sz="8" w:space="0" w:color="auto"/>
              <w:right w:val="nil"/>
            </w:tcBorders>
            <w:shd w:val="clear" w:color="auto" w:fill="auto"/>
            <w:noWrap/>
            <w:vAlign w:val="center"/>
            <w:hideMark/>
          </w:tcPr>
          <w:p w14:paraId="4B719F69" w14:textId="77777777" w:rsidR="0013173C" w:rsidRPr="00252D7B" w:rsidRDefault="0013173C" w:rsidP="00F6584E">
            <w:pPr>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1.892.365.689</w:t>
            </w:r>
          </w:p>
        </w:tc>
      </w:tr>
      <w:tr w:rsidR="0013173C" w:rsidRPr="00252D7B" w14:paraId="52589264" w14:textId="77777777" w:rsidTr="00F6584E">
        <w:trPr>
          <w:trHeight w:val="227"/>
        </w:trPr>
        <w:tc>
          <w:tcPr>
            <w:tcW w:w="1517" w:type="pct"/>
            <w:tcBorders>
              <w:top w:val="nil"/>
              <w:left w:val="nil"/>
              <w:bottom w:val="nil"/>
              <w:right w:val="nil"/>
            </w:tcBorders>
            <w:shd w:val="clear" w:color="auto" w:fill="auto"/>
            <w:noWrap/>
            <w:vAlign w:val="center"/>
            <w:hideMark/>
          </w:tcPr>
          <w:p w14:paraId="742B979E" w14:textId="77777777" w:rsidR="0013173C" w:rsidRPr="00252D7B" w:rsidRDefault="0013173C" w:rsidP="00F6584E">
            <w:pPr>
              <w:rPr>
                <w:rFonts w:asciiTheme="minorHAnsi" w:hAnsiTheme="minorHAnsi" w:cstheme="minorHAnsi"/>
                <w:color w:val="000000"/>
                <w:sz w:val="20"/>
                <w:szCs w:val="20"/>
              </w:rPr>
            </w:pPr>
            <w:r w:rsidRPr="00252D7B">
              <w:rPr>
                <w:rFonts w:asciiTheme="minorHAnsi" w:hAnsiTheme="minorHAnsi" w:cstheme="minorHAnsi"/>
                <w:color w:val="000000"/>
                <w:sz w:val="20"/>
                <w:szCs w:val="20"/>
              </w:rPr>
              <w:t>Desapropriações</w:t>
            </w:r>
          </w:p>
        </w:tc>
        <w:tc>
          <w:tcPr>
            <w:tcW w:w="670" w:type="pct"/>
            <w:tcBorders>
              <w:top w:val="nil"/>
              <w:left w:val="nil"/>
              <w:bottom w:val="nil"/>
              <w:right w:val="nil"/>
            </w:tcBorders>
            <w:shd w:val="clear" w:color="auto" w:fill="auto"/>
            <w:noWrap/>
            <w:vAlign w:val="center"/>
            <w:hideMark/>
          </w:tcPr>
          <w:p w14:paraId="47648A79"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974" w:type="pct"/>
            <w:tcBorders>
              <w:top w:val="nil"/>
              <w:left w:val="nil"/>
              <w:bottom w:val="nil"/>
              <w:right w:val="nil"/>
            </w:tcBorders>
            <w:shd w:val="clear" w:color="auto" w:fill="auto"/>
            <w:noWrap/>
            <w:vAlign w:val="center"/>
            <w:hideMark/>
          </w:tcPr>
          <w:p w14:paraId="77212A62"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43.361.582</w:t>
            </w:r>
          </w:p>
        </w:tc>
        <w:tc>
          <w:tcPr>
            <w:tcW w:w="1039" w:type="pct"/>
            <w:tcBorders>
              <w:top w:val="nil"/>
              <w:left w:val="nil"/>
              <w:bottom w:val="nil"/>
              <w:right w:val="nil"/>
            </w:tcBorders>
            <w:shd w:val="clear" w:color="auto" w:fill="auto"/>
            <w:noWrap/>
            <w:vAlign w:val="center"/>
            <w:hideMark/>
          </w:tcPr>
          <w:p w14:paraId="4E63D70E"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800" w:type="pct"/>
            <w:tcBorders>
              <w:top w:val="nil"/>
              <w:left w:val="nil"/>
              <w:bottom w:val="nil"/>
              <w:right w:val="nil"/>
            </w:tcBorders>
            <w:shd w:val="clear" w:color="auto" w:fill="auto"/>
            <w:noWrap/>
            <w:vAlign w:val="center"/>
            <w:hideMark/>
          </w:tcPr>
          <w:p w14:paraId="673E0BD3"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43.361.582</w:t>
            </w:r>
          </w:p>
        </w:tc>
      </w:tr>
      <w:tr w:rsidR="0013173C" w:rsidRPr="00252D7B" w14:paraId="2E1C8B00" w14:textId="77777777" w:rsidTr="00F6584E">
        <w:trPr>
          <w:trHeight w:val="227"/>
        </w:trPr>
        <w:tc>
          <w:tcPr>
            <w:tcW w:w="1517" w:type="pct"/>
            <w:tcBorders>
              <w:top w:val="nil"/>
              <w:left w:val="nil"/>
              <w:bottom w:val="nil"/>
              <w:right w:val="nil"/>
            </w:tcBorders>
            <w:shd w:val="clear" w:color="auto" w:fill="auto"/>
            <w:noWrap/>
            <w:vAlign w:val="center"/>
            <w:hideMark/>
          </w:tcPr>
          <w:p w14:paraId="2AF4E005" w14:textId="77777777" w:rsidR="0013173C" w:rsidRPr="00252D7B" w:rsidRDefault="0013173C" w:rsidP="00F6584E">
            <w:pPr>
              <w:rPr>
                <w:rFonts w:asciiTheme="minorHAnsi" w:hAnsiTheme="minorHAnsi" w:cstheme="minorHAnsi"/>
                <w:color w:val="000000"/>
                <w:sz w:val="20"/>
                <w:szCs w:val="20"/>
              </w:rPr>
            </w:pPr>
            <w:r w:rsidRPr="00252D7B">
              <w:rPr>
                <w:rFonts w:asciiTheme="minorHAnsi" w:hAnsiTheme="minorHAnsi" w:cstheme="minorHAnsi"/>
                <w:color w:val="000000"/>
                <w:sz w:val="20"/>
                <w:szCs w:val="20"/>
              </w:rPr>
              <w:t>Trabalhistas</w:t>
            </w:r>
          </w:p>
        </w:tc>
        <w:tc>
          <w:tcPr>
            <w:tcW w:w="670" w:type="pct"/>
            <w:tcBorders>
              <w:top w:val="nil"/>
              <w:left w:val="nil"/>
              <w:bottom w:val="nil"/>
              <w:right w:val="nil"/>
            </w:tcBorders>
            <w:shd w:val="clear" w:color="auto" w:fill="auto"/>
            <w:noWrap/>
            <w:vAlign w:val="center"/>
            <w:hideMark/>
          </w:tcPr>
          <w:p w14:paraId="0F42E38E"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60.267.858</w:t>
            </w:r>
          </w:p>
        </w:tc>
        <w:tc>
          <w:tcPr>
            <w:tcW w:w="974" w:type="pct"/>
            <w:tcBorders>
              <w:top w:val="nil"/>
              <w:left w:val="nil"/>
              <w:bottom w:val="nil"/>
              <w:right w:val="nil"/>
            </w:tcBorders>
            <w:shd w:val="clear" w:color="auto" w:fill="auto"/>
            <w:noWrap/>
            <w:vAlign w:val="center"/>
            <w:hideMark/>
          </w:tcPr>
          <w:p w14:paraId="142079DB"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1039" w:type="pct"/>
            <w:tcBorders>
              <w:top w:val="nil"/>
              <w:left w:val="nil"/>
              <w:bottom w:val="nil"/>
              <w:right w:val="nil"/>
            </w:tcBorders>
            <w:shd w:val="clear" w:color="auto" w:fill="auto"/>
            <w:noWrap/>
            <w:vAlign w:val="center"/>
            <w:hideMark/>
          </w:tcPr>
          <w:p w14:paraId="3CEF9409"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(57.204.430)</w:t>
            </w:r>
          </w:p>
        </w:tc>
        <w:tc>
          <w:tcPr>
            <w:tcW w:w="800" w:type="pct"/>
            <w:tcBorders>
              <w:top w:val="nil"/>
              <w:left w:val="nil"/>
              <w:bottom w:val="nil"/>
              <w:right w:val="nil"/>
            </w:tcBorders>
            <w:shd w:val="clear" w:color="auto" w:fill="auto"/>
            <w:noWrap/>
            <w:vAlign w:val="center"/>
            <w:hideMark/>
          </w:tcPr>
          <w:p w14:paraId="4E0EF011"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3.063.428</w:t>
            </w:r>
          </w:p>
        </w:tc>
      </w:tr>
      <w:tr w:rsidR="0013173C" w:rsidRPr="00252D7B" w14:paraId="59AAAEEF" w14:textId="77777777" w:rsidTr="00F6584E">
        <w:trPr>
          <w:trHeight w:val="227"/>
        </w:trPr>
        <w:tc>
          <w:tcPr>
            <w:tcW w:w="1517" w:type="pct"/>
            <w:tcBorders>
              <w:top w:val="nil"/>
              <w:left w:val="nil"/>
              <w:bottom w:val="nil"/>
              <w:right w:val="nil"/>
            </w:tcBorders>
            <w:shd w:val="clear" w:color="auto" w:fill="auto"/>
            <w:noWrap/>
            <w:vAlign w:val="center"/>
            <w:hideMark/>
          </w:tcPr>
          <w:p w14:paraId="180D5C23" w14:textId="77777777" w:rsidR="0013173C" w:rsidRPr="00252D7B" w:rsidRDefault="0013173C" w:rsidP="00F6584E">
            <w:pPr>
              <w:rPr>
                <w:rFonts w:asciiTheme="minorHAnsi" w:hAnsiTheme="minorHAnsi" w:cstheme="minorHAnsi"/>
                <w:color w:val="000000"/>
                <w:sz w:val="20"/>
                <w:szCs w:val="20"/>
              </w:rPr>
            </w:pPr>
            <w:r w:rsidRPr="00252D7B">
              <w:rPr>
                <w:rFonts w:asciiTheme="minorHAnsi" w:hAnsiTheme="minorHAnsi" w:cstheme="minorHAnsi"/>
                <w:color w:val="000000"/>
                <w:sz w:val="20"/>
                <w:szCs w:val="20"/>
              </w:rPr>
              <w:t>Cíveis</w:t>
            </w:r>
          </w:p>
        </w:tc>
        <w:tc>
          <w:tcPr>
            <w:tcW w:w="670" w:type="pct"/>
            <w:tcBorders>
              <w:top w:val="nil"/>
              <w:left w:val="nil"/>
              <w:bottom w:val="nil"/>
              <w:right w:val="nil"/>
            </w:tcBorders>
            <w:shd w:val="clear" w:color="auto" w:fill="auto"/>
            <w:noWrap/>
            <w:vAlign w:val="center"/>
            <w:hideMark/>
          </w:tcPr>
          <w:p w14:paraId="53947C16"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414.891.095</w:t>
            </w:r>
          </w:p>
        </w:tc>
        <w:tc>
          <w:tcPr>
            <w:tcW w:w="974" w:type="pct"/>
            <w:tcBorders>
              <w:top w:val="nil"/>
              <w:left w:val="nil"/>
              <w:bottom w:val="nil"/>
              <w:right w:val="nil"/>
            </w:tcBorders>
            <w:shd w:val="clear" w:color="auto" w:fill="auto"/>
            <w:noWrap/>
            <w:vAlign w:val="center"/>
            <w:hideMark/>
          </w:tcPr>
          <w:p w14:paraId="02693BE0"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1.430.356.659</w:t>
            </w:r>
          </w:p>
        </w:tc>
        <w:tc>
          <w:tcPr>
            <w:tcW w:w="1039" w:type="pct"/>
            <w:tcBorders>
              <w:top w:val="nil"/>
              <w:left w:val="nil"/>
              <w:bottom w:val="nil"/>
              <w:right w:val="nil"/>
            </w:tcBorders>
            <w:shd w:val="clear" w:color="auto" w:fill="auto"/>
            <w:noWrap/>
            <w:vAlign w:val="center"/>
            <w:hideMark/>
          </w:tcPr>
          <w:p w14:paraId="1A2AB8B9"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800" w:type="pct"/>
            <w:tcBorders>
              <w:top w:val="nil"/>
              <w:left w:val="nil"/>
              <w:bottom w:val="nil"/>
              <w:right w:val="nil"/>
            </w:tcBorders>
            <w:shd w:val="clear" w:color="auto" w:fill="auto"/>
            <w:noWrap/>
            <w:vAlign w:val="center"/>
            <w:hideMark/>
          </w:tcPr>
          <w:p w14:paraId="73FD5B76"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1.845.247.754</w:t>
            </w:r>
          </w:p>
        </w:tc>
      </w:tr>
      <w:tr w:rsidR="0013173C" w:rsidRPr="00252D7B" w14:paraId="57954599" w14:textId="77777777" w:rsidTr="00F6584E">
        <w:trPr>
          <w:trHeight w:val="227"/>
        </w:trPr>
        <w:tc>
          <w:tcPr>
            <w:tcW w:w="1517" w:type="pct"/>
            <w:tcBorders>
              <w:top w:val="nil"/>
              <w:left w:val="nil"/>
              <w:bottom w:val="nil"/>
              <w:right w:val="nil"/>
            </w:tcBorders>
            <w:shd w:val="clear" w:color="auto" w:fill="auto"/>
            <w:noWrap/>
            <w:vAlign w:val="center"/>
            <w:hideMark/>
          </w:tcPr>
          <w:p w14:paraId="0405E46A" w14:textId="77777777" w:rsidR="0013173C" w:rsidRPr="00252D7B" w:rsidRDefault="0013173C" w:rsidP="00F6584E">
            <w:pPr>
              <w:rPr>
                <w:rFonts w:asciiTheme="minorHAnsi" w:hAnsiTheme="minorHAnsi" w:cstheme="minorHAnsi"/>
                <w:color w:val="000000"/>
                <w:sz w:val="20"/>
                <w:szCs w:val="20"/>
              </w:rPr>
            </w:pPr>
            <w:r w:rsidRPr="00252D7B">
              <w:rPr>
                <w:rFonts w:asciiTheme="minorHAnsi" w:hAnsiTheme="minorHAnsi" w:cstheme="minorHAnsi"/>
                <w:color w:val="000000"/>
                <w:sz w:val="20"/>
                <w:szCs w:val="20"/>
              </w:rPr>
              <w:t>Tributárias</w:t>
            </w:r>
          </w:p>
        </w:tc>
        <w:tc>
          <w:tcPr>
            <w:tcW w:w="670" w:type="pct"/>
            <w:tcBorders>
              <w:top w:val="nil"/>
              <w:left w:val="nil"/>
              <w:bottom w:val="nil"/>
              <w:right w:val="nil"/>
            </w:tcBorders>
            <w:shd w:val="clear" w:color="auto" w:fill="auto"/>
            <w:noWrap/>
            <w:vAlign w:val="center"/>
            <w:hideMark/>
          </w:tcPr>
          <w:p w14:paraId="711864F6"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974" w:type="pct"/>
            <w:tcBorders>
              <w:top w:val="nil"/>
              <w:left w:val="nil"/>
              <w:bottom w:val="nil"/>
              <w:right w:val="nil"/>
            </w:tcBorders>
            <w:shd w:val="clear" w:color="auto" w:fill="auto"/>
            <w:noWrap/>
            <w:vAlign w:val="center"/>
            <w:hideMark/>
          </w:tcPr>
          <w:p w14:paraId="4FE622E2"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434.727</w:t>
            </w:r>
          </w:p>
        </w:tc>
        <w:tc>
          <w:tcPr>
            <w:tcW w:w="1039" w:type="pct"/>
            <w:tcBorders>
              <w:top w:val="nil"/>
              <w:left w:val="nil"/>
              <w:bottom w:val="nil"/>
              <w:right w:val="nil"/>
            </w:tcBorders>
            <w:shd w:val="clear" w:color="auto" w:fill="auto"/>
            <w:noWrap/>
            <w:vAlign w:val="center"/>
            <w:hideMark/>
          </w:tcPr>
          <w:p w14:paraId="4AD51922"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800" w:type="pct"/>
            <w:tcBorders>
              <w:top w:val="nil"/>
              <w:left w:val="nil"/>
              <w:bottom w:val="nil"/>
              <w:right w:val="nil"/>
            </w:tcBorders>
            <w:shd w:val="clear" w:color="auto" w:fill="auto"/>
            <w:noWrap/>
            <w:vAlign w:val="center"/>
            <w:hideMark/>
          </w:tcPr>
          <w:p w14:paraId="6C320FCE"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434.727</w:t>
            </w:r>
          </w:p>
        </w:tc>
      </w:tr>
      <w:tr w:rsidR="0013173C" w:rsidRPr="00252D7B" w14:paraId="1C33D47E" w14:textId="77777777" w:rsidTr="00F6584E">
        <w:trPr>
          <w:trHeight w:val="227"/>
        </w:trPr>
        <w:tc>
          <w:tcPr>
            <w:tcW w:w="1517" w:type="pct"/>
            <w:tcBorders>
              <w:top w:val="nil"/>
              <w:left w:val="nil"/>
              <w:bottom w:val="single" w:sz="8" w:space="0" w:color="auto"/>
              <w:right w:val="nil"/>
            </w:tcBorders>
            <w:shd w:val="clear" w:color="auto" w:fill="auto"/>
            <w:noWrap/>
            <w:vAlign w:val="center"/>
            <w:hideMark/>
          </w:tcPr>
          <w:p w14:paraId="149BF0DA" w14:textId="77777777" w:rsidR="0013173C" w:rsidRPr="00252D7B" w:rsidRDefault="0013173C" w:rsidP="00F6584E">
            <w:pPr>
              <w:rPr>
                <w:rFonts w:asciiTheme="minorHAnsi" w:hAnsiTheme="minorHAnsi" w:cstheme="minorHAnsi"/>
                <w:color w:val="000000"/>
                <w:sz w:val="20"/>
                <w:szCs w:val="20"/>
              </w:rPr>
            </w:pPr>
            <w:r w:rsidRPr="00252D7B">
              <w:rPr>
                <w:rFonts w:asciiTheme="minorHAnsi" w:hAnsiTheme="minorHAnsi" w:cstheme="minorHAnsi"/>
                <w:color w:val="000000"/>
                <w:sz w:val="20"/>
                <w:szCs w:val="20"/>
              </w:rPr>
              <w:t>Previdenciárias</w:t>
            </w:r>
          </w:p>
        </w:tc>
        <w:tc>
          <w:tcPr>
            <w:tcW w:w="670" w:type="pct"/>
            <w:tcBorders>
              <w:top w:val="nil"/>
              <w:left w:val="nil"/>
              <w:bottom w:val="single" w:sz="8" w:space="0" w:color="auto"/>
              <w:right w:val="nil"/>
            </w:tcBorders>
            <w:shd w:val="clear" w:color="auto" w:fill="auto"/>
            <w:noWrap/>
            <w:vAlign w:val="center"/>
            <w:hideMark/>
          </w:tcPr>
          <w:p w14:paraId="3D738EBF"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974" w:type="pct"/>
            <w:tcBorders>
              <w:top w:val="nil"/>
              <w:left w:val="nil"/>
              <w:bottom w:val="single" w:sz="8" w:space="0" w:color="auto"/>
              <w:right w:val="nil"/>
            </w:tcBorders>
            <w:shd w:val="clear" w:color="auto" w:fill="auto"/>
            <w:noWrap/>
            <w:vAlign w:val="center"/>
            <w:hideMark/>
          </w:tcPr>
          <w:p w14:paraId="15380E08"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258.198</w:t>
            </w:r>
          </w:p>
        </w:tc>
        <w:tc>
          <w:tcPr>
            <w:tcW w:w="1039" w:type="pct"/>
            <w:tcBorders>
              <w:top w:val="nil"/>
              <w:left w:val="nil"/>
              <w:bottom w:val="single" w:sz="8" w:space="0" w:color="auto"/>
              <w:right w:val="nil"/>
            </w:tcBorders>
            <w:shd w:val="clear" w:color="auto" w:fill="auto"/>
            <w:noWrap/>
            <w:vAlign w:val="center"/>
            <w:hideMark/>
          </w:tcPr>
          <w:p w14:paraId="227EF7D0"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800" w:type="pct"/>
            <w:tcBorders>
              <w:top w:val="nil"/>
              <w:left w:val="nil"/>
              <w:bottom w:val="single" w:sz="8" w:space="0" w:color="auto"/>
              <w:right w:val="nil"/>
            </w:tcBorders>
            <w:shd w:val="clear" w:color="auto" w:fill="auto"/>
            <w:noWrap/>
            <w:vAlign w:val="center"/>
            <w:hideMark/>
          </w:tcPr>
          <w:p w14:paraId="7BF5B529"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258.198</w:t>
            </w:r>
          </w:p>
        </w:tc>
      </w:tr>
    </w:tbl>
    <w:p w14:paraId="0B6B9D26" w14:textId="77777777" w:rsidR="0013173C" w:rsidRPr="00252D7B" w:rsidRDefault="0013173C" w:rsidP="0013173C">
      <w:pPr>
        <w:pStyle w:val="Textoembloco"/>
        <w:spacing w:after="120" w:line="240" w:lineRule="auto"/>
        <w:ind w:left="0" w:right="57"/>
        <w:rPr>
          <w:rFonts w:asciiTheme="minorHAnsi" w:hAnsiTheme="minorHAnsi" w:cstheme="minorHAnsi"/>
          <w:shd w:val="clear" w:color="auto" w:fill="FFFFFF"/>
        </w:rPr>
      </w:pPr>
    </w:p>
    <w:p w14:paraId="3A787733" w14:textId="77777777" w:rsidR="0013173C" w:rsidRPr="00252D7B" w:rsidRDefault="0013173C" w:rsidP="007A141F">
      <w:pPr>
        <w:widowControl/>
        <w:numPr>
          <w:ilvl w:val="0"/>
          <w:numId w:val="8"/>
        </w:numPr>
        <w:autoSpaceDE/>
        <w:autoSpaceDN/>
        <w:spacing w:before="120" w:after="120"/>
        <w:ind w:left="567" w:right="-142" w:hanging="567"/>
        <w:jc w:val="both"/>
        <w:rPr>
          <w:rFonts w:asciiTheme="minorHAnsi" w:hAnsiTheme="minorHAnsi" w:cstheme="minorHAnsi"/>
          <w:sz w:val="24"/>
          <w:szCs w:val="24"/>
          <w:u w:val="single"/>
        </w:rPr>
      </w:pPr>
      <w:r w:rsidRPr="00252D7B">
        <w:rPr>
          <w:rFonts w:asciiTheme="minorHAnsi" w:hAnsiTheme="minorHAnsi" w:cstheme="minorHAnsi"/>
          <w:sz w:val="24"/>
          <w:szCs w:val="24"/>
          <w:u w:val="single"/>
        </w:rPr>
        <w:t>Contingências de Ações Cíveis:</w:t>
      </w:r>
    </w:p>
    <w:p w14:paraId="3A81A270" w14:textId="77777777" w:rsidR="0013173C" w:rsidRPr="00252D7B" w:rsidRDefault="0013173C" w:rsidP="0013173C">
      <w:pPr>
        <w:spacing w:before="120" w:after="120"/>
        <w:ind w:right="57"/>
        <w:jc w:val="both"/>
        <w:rPr>
          <w:rFonts w:asciiTheme="minorHAnsi" w:hAnsiTheme="minorHAnsi" w:cstheme="minorHAnsi"/>
          <w:sz w:val="24"/>
          <w:szCs w:val="24"/>
        </w:rPr>
      </w:pPr>
      <w:r w:rsidRPr="00252D7B">
        <w:rPr>
          <w:rFonts w:asciiTheme="minorHAnsi" w:hAnsiTheme="minorHAnsi" w:cstheme="minorHAnsi"/>
          <w:sz w:val="24"/>
          <w:szCs w:val="24"/>
        </w:rPr>
        <w:t xml:space="preserve">Em relação aos processos cíveis, tem-se que as temáticas mais recorrentes são as de Ações Indenizatórias ou Ações de Cobrança, as quais dizem respeito, notadamente, no primeiro caso a indenizações por danos supostamente causados aos imóveis dos autores pela construção da ferrovia e quanto às de cobrança, às questões contratuais mais diversas, desde cobranças de medições de contratos, requerimento de valores supostamente não pagos em execuções contratuais, cobrança de reajustes, questionamentos de glosas e outros. </w:t>
      </w:r>
    </w:p>
    <w:p w14:paraId="1A418466" w14:textId="77777777" w:rsidR="0013173C" w:rsidRPr="00252D7B" w:rsidRDefault="0013173C" w:rsidP="0013173C">
      <w:pPr>
        <w:spacing w:before="120" w:after="120"/>
        <w:ind w:right="57"/>
        <w:jc w:val="both"/>
        <w:rPr>
          <w:rFonts w:asciiTheme="minorHAnsi" w:hAnsiTheme="minorHAnsi" w:cstheme="minorHAnsi"/>
          <w:sz w:val="24"/>
          <w:szCs w:val="24"/>
        </w:rPr>
      </w:pPr>
      <w:r w:rsidRPr="00252D7B">
        <w:rPr>
          <w:rFonts w:asciiTheme="minorHAnsi" w:hAnsiTheme="minorHAnsi" w:cstheme="minorHAnsi"/>
          <w:sz w:val="24"/>
          <w:szCs w:val="24"/>
        </w:rPr>
        <w:t>As principais ações com riscos de prováveis perdas são das varas cíveis, dentre as quais se destacam:</w:t>
      </w:r>
    </w:p>
    <w:p w14:paraId="5E80EB22" w14:textId="77777777" w:rsidR="0013173C" w:rsidRPr="00252D7B" w:rsidRDefault="0013173C" w:rsidP="007A141F">
      <w:pPr>
        <w:pStyle w:val="PargrafodaLista"/>
        <w:widowControl/>
        <w:numPr>
          <w:ilvl w:val="0"/>
          <w:numId w:val="10"/>
        </w:numPr>
        <w:autoSpaceDE/>
        <w:autoSpaceDN/>
        <w:spacing w:before="120" w:after="120"/>
        <w:ind w:right="57"/>
        <w:contextualSpacing w:val="0"/>
        <w:jc w:val="both"/>
        <w:rPr>
          <w:rFonts w:asciiTheme="minorHAnsi" w:hAnsiTheme="minorHAnsi" w:cstheme="minorHAnsi"/>
          <w:sz w:val="24"/>
          <w:szCs w:val="24"/>
        </w:rPr>
      </w:pPr>
      <w:r w:rsidRPr="00252D7B">
        <w:rPr>
          <w:rFonts w:asciiTheme="minorHAnsi" w:hAnsiTheme="minorHAnsi" w:cstheme="minorHAnsi"/>
          <w:sz w:val="24"/>
          <w:szCs w:val="24"/>
        </w:rPr>
        <w:t>0034224-66.2009.4.01.3400:  Trata-se de ação ajuizada em desfavor da Valec em que se pleiteia o reequilíbrio econômico-financeiro do Contrato 022/2006. Transcorridos alguns atos processuais, em fase instrutória houve deferimento de pedido para a realização de perícia judicial, cujo laudo, apresentado em 2016 com teor desfavorável à estatal, segue sendo objeto de impugnações. Pendem de julgamento a ação e diversos petitórios recursais.</w:t>
      </w:r>
    </w:p>
    <w:p w14:paraId="12C96C65" w14:textId="77777777" w:rsidR="0013173C" w:rsidRPr="00252D7B" w:rsidRDefault="0013173C" w:rsidP="007A141F">
      <w:pPr>
        <w:pStyle w:val="PargrafodaLista"/>
        <w:widowControl/>
        <w:numPr>
          <w:ilvl w:val="0"/>
          <w:numId w:val="10"/>
        </w:numPr>
        <w:autoSpaceDE/>
        <w:autoSpaceDN/>
        <w:spacing w:before="120" w:after="120"/>
        <w:ind w:right="57"/>
        <w:contextualSpacing w:val="0"/>
        <w:jc w:val="both"/>
        <w:rPr>
          <w:rFonts w:asciiTheme="minorHAnsi" w:hAnsiTheme="minorHAnsi" w:cstheme="minorHAnsi"/>
          <w:sz w:val="24"/>
          <w:szCs w:val="24"/>
        </w:rPr>
      </w:pPr>
      <w:r w:rsidRPr="00252D7B">
        <w:rPr>
          <w:rFonts w:asciiTheme="minorHAnsi" w:hAnsiTheme="minorHAnsi" w:cstheme="minorHAnsi"/>
          <w:sz w:val="24"/>
          <w:szCs w:val="24"/>
        </w:rPr>
        <w:t xml:space="preserve">0009921-41.2016.4.01.3400: Trata-se de ação ajuizada em desfavor da Valec em que se pleiteia o reequilíbrio econômico-financeiro do Contrato 054/2010. Deferida a realização de perícia judicial, cujo laudo desfavorável à Valec foi apresentado pelo perito em 2021 e objeto </w:t>
      </w:r>
      <w:r w:rsidRPr="00252D7B">
        <w:rPr>
          <w:rFonts w:asciiTheme="minorHAnsi" w:hAnsiTheme="minorHAnsi" w:cstheme="minorHAnsi"/>
          <w:sz w:val="24"/>
          <w:szCs w:val="24"/>
        </w:rPr>
        <w:lastRenderedPageBreak/>
        <w:t>de impugnações, o feito segue em fase de produção de provas e pendente de julgamento de primeiro grau.</w:t>
      </w:r>
    </w:p>
    <w:p w14:paraId="54500787" w14:textId="77777777" w:rsidR="0013173C" w:rsidRPr="00252D7B" w:rsidRDefault="0013173C" w:rsidP="007A141F">
      <w:pPr>
        <w:pStyle w:val="PargrafodaLista"/>
        <w:widowControl/>
        <w:numPr>
          <w:ilvl w:val="0"/>
          <w:numId w:val="10"/>
        </w:numPr>
        <w:autoSpaceDE/>
        <w:autoSpaceDN/>
        <w:spacing w:before="120" w:after="120"/>
        <w:ind w:right="57"/>
        <w:contextualSpacing w:val="0"/>
        <w:jc w:val="both"/>
        <w:rPr>
          <w:rFonts w:asciiTheme="minorHAnsi" w:hAnsiTheme="minorHAnsi" w:cstheme="minorHAnsi"/>
          <w:sz w:val="24"/>
          <w:szCs w:val="24"/>
        </w:rPr>
      </w:pPr>
      <w:r w:rsidRPr="00252D7B">
        <w:rPr>
          <w:rFonts w:asciiTheme="minorHAnsi" w:hAnsiTheme="minorHAnsi" w:cstheme="minorHAnsi"/>
          <w:sz w:val="24"/>
          <w:szCs w:val="24"/>
        </w:rPr>
        <w:t>1018694-24.2017.4.01.3400:  Trata-se de ação ajuizada em desfavor da Valec em que se pleiteia o reequilíbrio econômico-financeiro do Contrato 06/2014. Deferida a realização de perícia judicial, cujo laudo desfavorável à Valec foi apresentado pelo perito em 2021 e objeto de impugnações, o feito segue em fase de produção de provas e pendente de julgamento de primeiro grau.</w:t>
      </w:r>
    </w:p>
    <w:p w14:paraId="1D3D9FA9" w14:textId="77777777" w:rsidR="0013173C" w:rsidRPr="00252D7B" w:rsidRDefault="0013173C" w:rsidP="007A141F">
      <w:pPr>
        <w:pStyle w:val="PargrafodaLista"/>
        <w:widowControl/>
        <w:numPr>
          <w:ilvl w:val="0"/>
          <w:numId w:val="10"/>
        </w:numPr>
        <w:autoSpaceDE/>
        <w:autoSpaceDN/>
        <w:spacing w:before="120" w:after="120"/>
        <w:ind w:right="57"/>
        <w:contextualSpacing w:val="0"/>
        <w:jc w:val="both"/>
        <w:rPr>
          <w:rFonts w:asciiTheme="minorHAnsi" w:hAnsiTheme="minorHAnsi" w:cstheme="minorHAnsi"/>
          <w:sz w:val="24"/>
          <w:szCs w:val="24"/>
        </w:rPr>
      </w:pPr>
      <w:r w:rsidRPr="00252D7B">
        <w:rPr>
          <w:rFonts w:asciiTheme="minorHAnsi" w:hAnsiTheme="minorHAnsi" w:cstheme="minorHAnsi"/>
          <w:sz w:val="24"/>
          <w:szCs w:val="24"/>
        </w:rPr>
        <w:t>0074650-76.2016.4.01.3400: Trata-se de ação ajuizada em desfavor da Valec em que se pleiteia o reequilíbrio econômico-financeiro do Contrato 062/2010. Deferida a realização de perícia judicial, cujo laudo desfavorável à Valec foi apresentado pelo perito em 2021 e objeto de impugnações, o feito segue em fase de produção de provas e pendente de julgamento de primeiro grau.</w:t>
      </w:r>
    </w:p>
    <w:p w14:paraId="6022D329" w14:textId="77777777" w:rsidR="0013173C" w:rsidRPr="00252D7B" w:rsidRDefault="0013173C" w:rsidP="007A141F">
      <w:pPr>
        <w:widowControl/>
        <w:numPr>
          <w:ilvl w:val="0"/>
          <w:numId w:val="8"/>
        </w:numPr>
        <w:autoSpaceDE/>
        <w:autoSpaceDN/>
        <w:spacing w:before="120" w:after="120"/>
        <w:ind w:left="567" w:right="-142" w:hanging="567"/>
        <w:jc w:val="both"/>
        <w:rPr>
          <w:rFonts w:asciiTheme="minorHAnsi" w:hAnsiTheme="minorHAnsi" w:cstheme="minorHAnsi"/>
          <w:sz w:val="24"/>
          <w:szCs w:val="24"/>
          <w:u w:val="single"/>
        </w:rPr>
      </w:pPr>
      <w:r w:rsidRPr="00252D7B">
        <w:rPr>
          <w:rFonts w:asciiTheme="minorHAnsi" w:hAnsiTheme="minorHAnsi" w:cstheme="minorHAnsi"/>
          <w:sz w:val="24"/>
          <w:szCs w:val="24"/>
          <w:u w:val="single"/>
        </w:rPr>
        <w:t xml:space="preserve">Contingências de Ações Trabalhistas: </w:t>
      </w:r>
    </w:p>
    <w:p w14:paraId="330BB1A6" w14:textId="77777777" w:rsidR="0013173C" w:rsidRPr="00252D7B" w:rsidRDefault="0013173C" w:rsidP="0013173C">
      <w:pPr>
        <w:spacing w:before="120" w:after="120"/>
        <w:ind w:right="57"/>
        <w:jc w:val="both"/>
        <w:rPr>
          <w:rFonts w:asciiTheme="minorHAnsi" w:hAnsiTheme="minorHAnsi" w:cstheme="minorHAnsi"/>
          <w:sz w:val="24"/>
          <w:szCs w:val="24"/>
        </w:rPr>
      </w:pPr>
      <w:r w:rsidRPr="00252D7B">
        <w:rPr>
          <w:rFonts w:asciiTheme="minorHAnsi" w:hAnsiTheme="minorHAnsi" w:cstheme="minorHAnsi"/>
          <w:sz w:val="24"/>
          <w:szCs w:val="24"/>
        </w:rPr>
        <w:t>As ações judiciais denominadas de reclamações trabalhistas constituem controvérsias entre os sujeitos da relação de trabalho, frequentemente empregador e empregado, submetidas à resolução jurisdicional. No âmbito da Valec, esses processos são divididos em dois grandes grupos: o primeiro, formado por empregados efetivos que geralmente demandam o judiciário em razão de algum direito trabalhista específico ou supostos descumprimentos do Plano de Cargos e Salários a que se vinculam; e o segundo, por empregados das empresas que mantêm ou mantiveram contratos de fornecimento de mão de obra com a Valec. Nestes últimos, a Valec é demandada de forma subsidiária.</w:t>
      </w:r>
    </w:p>
    <w:p w14:paraId="62AAFA67" w14:textId="77777777" w:rsidR="0013173C" w:rsidRPr="00252D7B" w:rsidRDefault="0013173C" w:rsidP="0013173C">
      <w:pPr>
        <w:spacing w:before="120" w:after="120"/>
        <w:ind w:right="57"/>
        <w:jc w:val="both"/>
        <w:rPr>
          <w:rFonts w:asciiTheme="minorHAnsi" w:hAnsiTheme="minorHAnsi" w:cstheme="minorHAnsi"/>
          <w:sz w:val="24"/>
          <w:szCs w:val="24"/>
        </w:rPr>
      </w:pPr>
      <w:r w:rsidRPr="00252D7B">
        <w:rPr>
          <w:rFonts w:asciiTheme="minorHAnsi" w:hAnsiTheme="minorHAnsi" w:cstheme="minorHAnsi"/>
          <w:sz w:val="24"/>
          <w:szCs w:val="24"/>
        </w:rPr>
        <w:t>A temática de responsabilidade subsidiária trabalhista é a mais recorrente no universo quantitativo e diz respeito ao descumprimento, pelas Contratadas da Valec, das obrigações trabalhistas em face aos seus próprios empregados mobilizados para prestação de serviços em contratos firmados com a Estatal, implicando na inclusão da Valec como responsável subsidiariamente no polo passivo dessas demandas judiciais.</w:t>
      </w:r>
    </w:p>
    <w:p w14:paraId="54553E19" w14:textId="77777777" w:rsidR="0013173C" w:rsidRPr="00252D7B" w:rsidRDefault="0013173C" w:rsidP="0013173C">
      <w:pPr>
        <w:spacing w:before="120" w:after="120"/>
        <w:ind w:right="57"/>
        <w:jc w:val="both"/>
        <w:rPr>
          <w:rFonts w:asciiTheme="minorHAnsi" w:hAnsiTheme="minorHAnsi" w:cstheme="minorHAnsi"/>
          <w:sz w:val="24"/>
          <w:szCs w:val="24"/>
        </w:rPr>
      </w:pPr>
      <w:r w:rsidRPr="00252D7B">
        <w:rPr>
          <w:rFonts w:asciiTheme="minorHAnsi" w:hAnsiTheme="minorHAnsi" w:cstheme="minorHAnsi"/>
          <w:sz w:val="24"/>
          <w:szCs w:val="24"/>
        </w:rPr>
        <w:t>Além do quadro dito Valec, a Estatal sucedeu ao longo dos anos obrigações de empresas extintas, como GEIPOT e RFFSA, absorvendo o quadro de pessoal dessas empresas que passaram a compor, dentro das suas particularidades, também o seu quadro efetivo. Necessário explanar que, quando da extinção da Empresa Brasileira de Planejamento de Transportes (GEIPOT), a transferência dos seus empregados ao quadro especial da Valec ocorreu por força do artigo 26 da Lei nº 11.772/2008, que previu a vedação de comunicação aos planos de cargos e salários da Valec. Embora pacificada na legislação, a questão foi objeto de diversas judicializações face à Estatal, que se amparava nos ditames legais para lograr êxito no judiciário. Ademais, os empregados do extinto GEIPOT também ingressaram com outros pleitos, muitos deles já arquivados, dos quais destacam-se os de incorporação de gratificação, cessão de empregados, plano de saúde e cumprimento do Plano de Cargos e Salários.</w:t>
      </w:r>
    </w:p>
    <w:p w14:paraId="653C2883" w14:textId="77777777" w:rsidR="0013173C" w:rsidRPr="00252D7B" w:rsidRDefault="0013173C" w:rsidP="0013173C">
      <w:pPr>
        <w:spacing w:before="120" w:after="120"/>
        <w:ind w:right="57"/>
        <w:jc w:val="both"/>
        <w:rPr>
          <w:rFonts w:asciiTheme="minorHAnsi" w:hAnsiTheme="minorHAnsi" w:cstheme="minorHAnsi"/>
          <w:sz w:val="24"/>
          <w:szCs w:val="24"/>
        </w:rPr>
      </w:pPr>
      <w:r w:rsidRPr="00252D7B">
        <w:rPr>
          <w:rFonts w:asciiTheme="minorHAnsi" w:hAnsiTheme="minorHAnsi" w:cstheme="minorHAnsi"/>
          <w:sz w:val="24"/>
          <w:szCs w:val="24"/>
        </w:rPr>
        <w:t>Quanto à Rede Ferroviária Federal S/A (RFFSA), a alteração do contrato de trabalho com a sucessão trabalhista se deu por força da Lei nº 11.483/2007 e as principais judicializações dessa categoria contemplam pedidos para manutenção dos empregados nas cidades em que laboravam à época da Inventariança. Ademais, também foram propostas ações requerendo equiparação salarial aos empregados da Valec. De igual modo à legislação aplicada ao GEIPOT, há óbice nas demandas apresentadas em razão do disposto no §2º, art. 17 da Lei nº 11.483, de 31 de maio de 2007, que veda a comunicação dos Planos de Cargos e Salários da Valec. </w:t>
      </w:r>
    </w:p>
    <w:p w14:paraId="4FEB04DA" w14:textId="77777777" w:rsidR="0013173C" w:rsidRPr="00252D7B" w:rsidRDefault="0013173C" w:rsidP="007A141F">
      <w:pPr>
        <w:widowControl/>
        <w:numPr>
          <w:ilvl w:val="0"/>
          <w:numId w:val="8"/>
        </w:numPr>
        <w:autoSpaceDE/>
        <w:autoSpaceDN/>
        <w:spacing w:before="120" w:after="120"/>
        <w:ind w:left="567" w:right="-142" w:hanging="567"/>
        <w:jc w:val="both"/>
        <w:rPr>
          <w:rFonts w:asciiTheme="minorHAnsi" w:hAnsiTheme="minorHAnsi" w:cstheme="minorHAnsi"/>
          <w:sz w:val="24"/>
          <w:szCs w:val="24"/>
          <w:u w:val="single"/>
        </w:rPr>
      </w:pPr>
      <w:r w:rsidRPr="00252D7B">
        <w:rPr>
          <w:rFonts w:asciiTheme="minorHAnsi" w:hAnsiTheme="minorHAnsi" w:cstheme="minorHAnsi"/>
          <w:sz w:val="24"/>
          <w:szCs w:val="24"/>
          <w:u w:val="single"/>
        </w:rPr>
        <w:lastRenderedPageBreak/>
        <w:t xml:space="preserve">Contingências de Ações de Desapropriações: </w:t>
      </w:r>
    </w:p>
    <w:p w14:paraId="0626022E" w14:textId="77777777" w:rsidR="0013173C" w:rsidRPr="00252D7B" w:rsidRDefault="0013173C" w:rsidP="0013173C">
      <w:pPr>
        <w:spacing w:before="120" w:after="120"/>
        <w:ind w:right="57"/>
        <w:jc w:val="both"/>
        <w:rPr>
          <w:rFonts w:asciiTheme="minorHAnsi" w:hAnsiTheme="minorHAnsi" w:cstheme="minorHAnsi"/>
          <w:sz w:val="24"/>
          <w:szCs w:val="24"/>
        </w:rPr>
      </w:pPr>
      <w:r w:rsidRPr="00252D7B">
        <w:rPr>
          <w:rFonts w:asciiTheme="minorHAnsi" w:hAnsiTheme="minorHAnsi" w:cstheme="minorHAnsi"/>
          <w:sz w:val="24"/>
          <w:szCs w:val="24"/>
        </w:rPr>
        <w:t xml:space="preserve">Os processos de desapropriação são medidas judiciais necessárias à obtenção de imóveis para implantar infraestrutura ferroviária, objeto social da estatal Valec. Portanto, são parte da atividade fim da companhia. Regulamentada pelo Decreto Lei nº 3.365/1941, a desapropriação por utilidade pública se inicia como um processo administrativo e, a depender da concordância ou não do expropriado com o valor do bem avaliado, torna-se um processo judicial. A Administração avalia os imóveis que necessita expropriar para implantar a infraestrutura e oferece um valor indenizatório ao proprietário que, aceitando, lavra-se escritura e resta constituída a propriedade da Administração. </w:t>
      </w:r>
    </w:p>
    <w:p w14:paraId="7B2E5029" w14:textId="77777777" w:rsidR="0013173C" w:rsidRPr="00252D7B" w:rsidRDefault="0013173C" w:rsidP="0013173C">
      <w:pPr>
        <w:spacing w:before="120" w:after="120"/>
        <w:ind w:right="57"/>
        <w:jc w:val="both"/>
        <w:rPr>
          <w:rFonts w:asciiTheme="minorHAnsi" w:hAnsiTheme="minorHAnsi" w:cstheme="minorHAnsi"/>
          <w:sz w:val="24"/>
          <w:szCs w:val="24"/>
        </w:rPr>
      </w:pPr>
      <w:r w:rsidRPr="00252D7B">
        <w:rPr>
          <w:rFonts w:asciiTheme="minorHAnsi" w:hAnsiTheme="minorHAnsi" w:cstheme="minorHAnsi"/>
          <w:sz w:val="24"/>
          <w:szCs w:val="24"/>
        </w:rPr>
        <w:t xml:space="preserve">Negando-se o expropriado, a Administração ajuíza uma ação de desapropriação por utilidade pública. Na referida ação, a Administração pode depositar o valor que entende cabível e obter decisão judicial que, desde logo, defere a posse do imóvel. Esse depósito constitui pagamento definitivo, haja vista que o sucesso da Administração no processo se dá quando o juiz reconhece como justo o valor ofertado pelo bem, caso em que o depósito é recolhido para particular e a Administração nada mais tem a pagar. Noutro giro, acaso o Judiciário entenda que o valor do bem era superior ao montante avaliado, a Administração será condenada a pagar a diferença, acrescida de juros compensatórios. </w:t>
      </w:r>
    </w:p>
    <w:p w14:paraId="3AC6309A" w14:textId="77777777" w:rsidR="0013173C" w:rsidRPr="00252D7B" w:rsidRDefault="0013173C" w:rsidP="007A141F">
      <w:pPr>
        <w:widowControl/>
        <w:numPr>
          <w:ilvl w:val="0"/>
          <w:numId w:val="8"/>
        </w:numPr>
        <w:autoSpaceDE/>
        <w:autoSpaceDN/>
        <w:spacing w:before="120" w:after="120"/>
        <w:ind w:left="567" w:right="-142" w:hanging="567"/>
        <w:jc w:val="both"/>
        <w:rPr>
          <w:rFonts w:asciiTheme="minorHAnsi" w:hAnsiTheme="minorHAnsi" w:cstheme="minorHAnsi"/>
          <w:sz w:val="24"/>
          <w:szCs w:val="24"/>
          <w:u w:val="single"/>
        </w:rPr>
      </w:pPr>
      <w:r w:rsidRPr="00252D7B">
        <w:rPr>
          <w:rFonts w:asciiTheme="minorHAnsi" w:hAnsiTheme="minorHAnsi" w:cstheme="minorHAnsi"/>
          <w:sz w:val="24"/>
          <w:szCs w:val="24"/>
          <w:u w:val="single"/>
        </w:rPr>
        <w:t xml:space="preserve">Contingências de Ações Tributárias: </w:t>
      </w:r>
    </w:p>
    <w:p w14:paraId="60435996" w14:textId="77777777" w:rsidR="0013173C" w:rsidRPr="00252D7B" w:rsidRDefault="0013173C" w:rsidP="0013173C">
      <w:pPr>
        <w:spacing w:before="120" w:after="120"/>
        <w:ind w:right="57"/>
        <w:jc w:val="both"/>
        <w:rPr>
          <w:rFonts w:asciiTheme="minorHAnsi" w:hAnsiTheme="minorHAnsi" w:cstheme="minorHAnsi"/>
          <w:sz w:val="24"/>
          <w:szCs w:val="24"/>
        </w:rPr>
      </w:pPr>
      <w:r w:rsidRPr="00252D7B">
        <w:rPr>
          <w:rFonts w:asciiTheme="minorHAnsi" w:hAnsiTheme="minorHAnsi" w:cstheme="minorHAnsi"/>
          <w:sz w:val="24"/>
          <w:szCs w:val="24"/>
        </w:rPr>
        <w:t>As ações tributárias, essencialmente, versam sobre ações em que a Valec requer o reconhecimento da não incidência de determinado tributo a que é compelida a pagar, assim como a restituição de valores que entende terem sido pagos indevidamente. Por outro lado, quando figura como parte ré, em geral as ações versam sobre execuções fiscais para cobrança de créditos tributários referentes a um determinado tributo.</w:t>
      </w:r>
    </w:p>
    <w:p w14:paraId="12D0C0F0" w14:textId="77777777" w:rsidR="0013173C" w:rsidRPr="00252D7B" w:rsidRDefault="0013173C" w:rsidP="007A141F">
      <w:pPr>
        <w:widowControl/>
        <w:numPr>
          <w:ilvl w:val="0"/>
          <w:numId w:val="8"/>
        </w:numPr>
        <w:autoSpaceDE/>
        <w:autoSpaceDN/>
        <w:spacing w:before="120" w:after="120"/>
        <w:ind w:left="567" w:right="-142" w:hanging="567"/>
        <w:jc w:val="both"/>
        <w:rPr>
          <w:rFonts w:asciiTheme="minorHAnsi" w:hAnsiTheme="minorHAnsi" w:cstheme="minorHAnsi"/>
          <w:sz w:val="24"/>
          <w:szCs w:val="24"/>
          <w:u w:val="single"/>
        </w:rPr>
      </w:pPr>
      <w:r w:rsidRPr="00252D7B">
        <w:rPr>
          <w:rFonts w:asciiTheme="minorHAnsi" w:hAnsiTheme="minorHAnsi" w:cstheme="minorHAnsi"/>
          <w:sz w:val="24"/>
          <w:szCs w:val="24"/>
          <w:u w:val="single"/>
        </w:rPr>
        <w:t xml:space="preserve">Contingências de Ações Previdenciárias: </w:t>
      </w:r>
    </w:p>
    <w:p w14:paraId="6D866AD0" w14:textId="77777777" w:rsidR="0013173C" w:rsidRPr="00252D7B" w:rsidRDefault="0013173C" w:rsidP="0013173C">
      <w:pPr>
        <w:spacing w:before="120" w:after="120"/>
        <w:ind w:right="57"/>
        <w:jc w:val="both"/>
        <w:rPr>
          <w:rFonts w:asciiTheme="minorHAnsi" w:hAnsiTheme="minorHAnsi" w:cstheme="minorHAnsi"/>
          <w:sz w:val="24"/>
          <w:szCs w:val="24"/>
        </w:rPr>
      </w:pPr>
      <w:r w:rsidRPr="00252D7B">
        <w:rPr>
          <w:rFonts w:asciiTheme="minorHAnsi" w:hAnsiTheme="minorHAnsi" w:cstheme="minorHAnsi"/>
          <w:sz w:val="24"/>
          <w:szCs w:val="24"/>
        </w:rPr>
        <w:t>Nas ações de natureza previdenciária acompanhadas pela Valec a parte autora pleiteia, da União, a complementação dos vencimentos de aposentadoria (Lei nº 10.233/200) em relação aos valores atualmente pagos ao pessoal do quadro da Valec, estatal que absorveu os empregados ativos da extinta RFFSA (Lei nº 11.483/2007). Não obstante a responsável pela eventual complementação de aposentadoria seja a União, os pedidos direcionados à Valec resumem-se, basicamente, à apresentação de documentos relativos ao seu quadro de pessoal, como meio de confirmar e calcular esta possível complementação.</w:t>
      </w:r>
    </w:p>
    <w:p w14:paraId="58BC8D2B" w14:textId="77777777" w:rsidR="0013173C" w:rsidRPr="00252D7B" w:rsidRDefault="0013173C" w:rsidP="0013173C">
      <w:pPr>
        <w:spacing w:before="120" w:after="120"/>
        <w:ind w:right="57"/>
        <w:jc w:val="both"/>
        <w:rPr>
          <w:rFonts w:asciiTheme="minorHAnsi" w:hAnsiTheme="minorHAnsi" w:cstheme="minorHAnsi"/>
          <w:sz w:val="24"/>
          <w:szCs w:val="24"/>
        </w:rPr>
      </w:pPr>
    </w:p>
    <w:p w14:paraId="5480A221" w14:textId="77777777" w:rsidR="0013173C" w:rsidRPr="00252D7B" w:rsidRDefault="0013173C" w:rsidP="007A141F">
      <w:pPr>
        <w:pStyle w:val="PargrafodaLista"/>
        <w:numPr>
          <w:ilvl w:val="0"/>
          <w:numId w:val="12"/>
        </w:numPr>
        <w:spacing w:before="120" w:after="120"/>
        <w:ind w:right="57"/>
        <w:jc w:val="both"/>
        <w:rPr>
          <w:rFonts w:asciiTheme="minorHAnsi" w:hAnsiTheme="minorHAnsi" w:cstheme="minorHAnsi"/>
          <w:b/>
          <w:bCs/>
          <w:sz w:val="24"/>
          <w:szCs w:val="24"/>
        </w:rPr>
      </w:pPr>
      <w:r w:rsidRPr="00252D7B">
        <w:rPr>
          <w:rFonts w:asciiTheme="minorHAnsi" w:hAnsiTheme="minorHAnsi" w:cstheme="minorHAnsi"/>
          <w:b/>
          <w:bCs/>
          <w:sz w:val="24"/>
          <w:szCs w:val="24"/>
        </w:rPr>
        <w:t xml:space="preserve">Ações com Riscos de Perdas Possíveis: </w:t>
      </w:r>
    </w:p>
    <w:p w14:paraId="65D8C153" w14:textId="77777777" w:rsidR="0013173C" w:rsidRPr="00252D7B" w:rsidRDefault="0013173C" w:rsidP="0013173C">
      <w:pPr>
        <w:spacing w:before="120" w:after="120"/>
        <w:ind w:right="57"/>
        <w:jc w:val="both"/>
        <w:rPr>
          <w:rFonts w:asciiTheme="minorHAnsi" w:hAnsiTheme="minorHAnsi" w:cstheme="minorHAnsi"/>
          <w:sz w:val="24"/>
          <w:szCs w:val="24"/>
        </w:rPr>
      </w:pPr>
      <w:r w:rsidRPr="00252D7B">
        <w:rPr>
          <w:rFonts w:asciiTheme="minorHAnsi" w:hAnsiTheme="minorHAnsi" w:cstheme="minorHAnsi"/>
          <w:sz w:val="24"/>
          <w:szCs w:val="24"/>
        </w:rPr>
        <w:t>Conforme Item n° 86 do CPC 25 - Provisões, Passivos Contingentes e Ativos Contingentes; “a entidade deve divulgar para cada classe de passivo contingente na data do balanço, uma breve descrição da natureza do passivo contingente...”. Assim, os processos judiciais impetrados contra a Valec, a extinta RFFSA e o GEIPOT, classificados pela Assessoria Jurídica como obrigações “possíveis”, não foram contabilizados, apenas divulgados em Nota Explicativa.</w:t>
      </w:r>
    </w:p>
    <w:p w14:paraId="477D783A" w14:textId="77777777" w:rsidR="0013173C" w:rsidRPr="00252D7B" w:rsidRDefault="0013173C" w:rsidP="0013173C">
      <w:pPr>
        <w:spacing w:before="120" w:after="120"/>
        <w:ind w:right="57"/>
        <w:jc w:val="both"/>
        <w:rPr>
          <w:rFonts w:asciiTheme="minorHAnsi" w:hAnsiTheme="minorHAnsi" w:cstheme="minorHAnsi"/>
          <w:sz w:val="24"/>
          <w:szCs w:val="24"/>
        </w:rPr>
      </w:pPr>
      <w:r w:rsidRPr="00252D7B">
        <w:rPr>
          <w:rFonts w:asciiTheme="minorHAnsi" w:hAnsiTheme="minorHAnsi" w:cstheme="minorHAnsi"/>
          <w:sz w:val="24"/>
          <w:szCs w:val="24"/>
        </w:rPr>
        <w:t>Os processos judiciais classificados com “possível” risco de perda, apresentaram os seguintes saldos em 31 de dezembro de 2021 (Tabela 69).</w:t>
      </w:r>
    </w:p>
    <w:p w14:paraId="337A1234" w14:textId="77777777" w:rsidR="0013173C" w:rsidRPr="00252D7B" w:rsidRDefault="0013173C" w:rsidP="0013173C">
      <w:pPr>
        <w:widowControl/>
        <w:autoSpaceDE/>
        <w:autoSpaceDN/>
        <w:spacing w:after="160" w:line="259" w:lineRule="auto"/>
        <w:rPr>
          <w:rFonts w:asciiTheme="minorHAnsi" w:hAnsiTheme="minorHAnsi" w:cstheme="minorHAnsi"/>
          <w:sz w:val="24"/>
          <w:szCs w:val="24"/>
        </w:rPr>
      </w:pPr>
      <w:r w:rsidRPr="00252D7B">
        <w:rPr>
          <w:rFonts w:asciiTheme="minorHAnsi" w:hAnsiTheme="minorHAnsi" w:cstheme="minorHAnsi"/>
          <w:sz w:val="24"/>
          <w:szCs w:val="24"/>
        </w:rPr>
        <w:br w:type="page"/>
      </w:r>
    </w:p>
    <w:p w14:paraId="6D191327" w14:textId="2DC9362E" w:rsidR="0013173C" w:rsidRPr="005059B1" w:rsidRDefault="0013173C" w:rsidP="005059B1">
      <w:pPr>
        <w:pStyle w:val="Legenda"/>
        <w:jc w:val="center"/>
        <w:rPr>
          <w:rFonts w:asciiTheme="minorHAnsi" w:hAnsiTheme="minorHAnsi" w:cstheme="minorHAnsi"/>
          <w:sz w:val="20"/>
          <w:szCs w:val="20"/>
        </w:rPr>
      </w:pPr>
      <w:bookmarkStart w:id="680" w:name="_Toc97918920"/>
      <w:bookmarkStart w:id="681" w:name="_Toc103680706"/>
      <w:r w:rsidRPr="00252D7B">
        <w:rPr>
          <w:rFonts w:asciiTheme="minorHAnsi" w:hAnsiTheme="minorHAnsi" w:cstheme="minorHAnsi"/>
          <w:sz w:val="20"/>
          <w:szCs w:val="20"/>
        </w:rPr>
        <w:lastRenderedPageBreak/>
        <w:t xml:space="preserve">Tabela </w:t>
      </w:r>
      <w:r w:rsidRPr="005059B1">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Tabela \* ARABIC </w:instrText>
      </w:r>
      <w:r w:rsidRPr="005059B1">
        <w:rPr>
          <w:rFonts w:asciiTheme="minorHAnsi" w:hAnsiTheme="minorHAnsi" w:cstheme="minorHAnsi"/>
          <w:sz w:val="20"/>
          <w:szCs w:val="20"/>
        </w:rPr>
        <w:fldChar w:fldCharType="separate"/>
      </w:r>
      <w:r w:rsidR="00C12888">
        <w:rPr>
          <w:rFonts w:asciiTheme="minorHAnsi" w:hAnsiTheme="minorHAnsi" w:cstheme="minorHAnsi"/>
          <w:noProof/>
          <w:sz w:val="20"/>
          <w:szCs w:val="20"/>
        </w:rPr>
        <w:t>44</w:t>
      </w:r>
      <w:r w:rsidRPr="005059B1">
        <w:rPr>
          <w:rFonts w:asciiTheme="minorHAnsi" w:hAnsiTheme="minorHAnsi" w:cstheme="minorHAnsi"/>
          <w:sz w:val="20"/>
          <w:szCs w:val="20"/>
        </w:rPr>
        <w:fldChar w:fldCharType="end"/>
      </w:r>
      <w:r w:rsidRPr="00252D7B">
        <w:rPr>
          <w:rFonts w:asciiTheme="minorHAnsi" w:hAnsiTheme="minorHAnsi" w:cstheme="minorHAnsi"/>
          <w:sz w:val="20"/>
          <w:szCs w:val="20"/>
        </w:rPr>
        <w:t xml:space="preserve"> – Ações com riscos de perdas possíveis</w:t>
      </w:r>
      <w:bookmarkEnd w:id="680"/>
      <w:bookmarkEnd w:id="681"/>
    </w:p>
    <w:tbl>
      <w:tblPr>
        <w:tblW w:w="5001" w:type="pct"/>
        <w:tblCellMar>
          <w:left w:w="70" w:type="dxa"/>
          <w:right w:w="70" w:type="dxa"/>
        </w:tblCellMar>
        <w:tblLook w:val="04A0" w:firstRow="1" w:lastRow="0" w:firstColumn="1" w:lastColumn="0" w:noHBand="0" w:noVBand="1"/>
      </w:tblPr>
      <w:tblGrid>
        <w:gridCol w:w="2178"/>
        <w:gridCol w:w="4158"/>
        <w:gridCol w:w="1716"/>
        <w:gridCol w:w="1696"/>
      </w:tblGrid>
      <w:tr w:rsidR="0013173C" w:rsidRPr="00252D7B" w14:paraId="7BF668D9" w14:textId="77777777" w:rsidTr="00F6584E">
        <w:trPr>
          <w:trHeight w:hRule="exact" w:val="227"/>
        </w:trPr>
        <w:tc>
          <w:tcPr>
            <w:tcW w:w="1117" w:type="pct"/>
            <w:tcBorders>
              <w:top w:val="nil"/>
              <w:left w:val="nil"/>
              <w:bottom w:val="single" w:sz="8" w:space="0" w:color="auto"/>
              <w:right w:val="nil"/>
            </w:tcBorders>
            <w:shd w:val="clear" w:color="auto" w:fill="auto"/>
            <w:noWrap/>
            <w:vAlign w:val="bottom"/>
            <w:hideMark/>
          </w:tcPr>
          <w:p w14:paraId="7600BD32" w14:textId="77777777" w:rsidR="0013173C" w:rsidRPr="00252D7B" w:rsidRDefault="0013173C" w:rsidP="00F6584E">
            <w:pPr>
              <w:spacing w:after="120"/>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AÇÕES</w:t>
            </w:r>
          </w:p>
        </w:tc>
        <w:tc>
          <w:tcPr>
            <w:tcW w:w="2133" w:type="pct"/>
            <w:tcBorders>
              <w:top w:val="nil"/>
              <w:left w:val="nil"/>
              <w:bottom w:val="single" w:sz="8" w:space="0" w:color="auto"/>
              <w:right w:val="nil"/>
            </w:tcBorders>
            <w:shd w:val="clear" w:color="auto" w:fill="auto"/>
            <w:vAlign w:val="bottom"/>
          </w:tcPr>
          <w:p w14:paraId="15671516" w14:textId="77777777" w:rsidR="0013173C" w:rsidRPr="00252D7B" w:rsidRDefault="0013173C" w:rsidP="00F6584E">
            <w:pPr>
              <w:spacing w:after="120"/>
              <w:jc w:val="right"/>
              <w:rPr>
                <w:rFonts w:asciiTheme="minorHAnsi" w:hAnsiTheme="minorHAnsi" w:cstheme="minorHAnsi"/>
                <w:b/>
                <w:bCs/>
                <w:color w:val="000000"/>
                <w:sz w:val="20"/>
                <w:szCs w:val="20"/>
              </w:rPr>
            </w:pPr>
          </w:p>
        </w:tc>
        <w:tc>
          <w:tcPr>
            <w:tcW w:w="880" w:type="pct"/>
            <w:tcBorders>
              <w:top w:val="nil"/>
              <w:left w:val="nil"/>
              <w:bottom w:val="single" w:sz="8" w:space="0" w:color="auto"/>
              <w:right w:val="nil"/>
            </w:tcBorders>
            <w:shd w:val="clear" w:color="auto" w:fill="auto"/>
            <w:vAlign w:val="bottom"/>
          </w:tcPr>
          <w:p w14:paraId="2EA0B274" w14:textId="77777777" w:rsidR="0013173C" w:rsidRPr="00252D7B" w:rsidRDefault="0013173C" w:rsidP="00F6584E">
            <w:pPr>
              <w:spacing w:after="120"/>
              <w:jc w:val="right"/>
              <w:rPr>
                <w:rFonts w:asciiTheme="minorHAnsi" w:hAnsiTheme="minorHAnsi" w:cstheme="minorHAnsi"/>
                <w:b/>
                <w:bCs/>
                <w:color w:val="000000"/>
                <w:sz w:val="20"/>
                <w:szCs w:val="20"/>
              </w:rPr>
            </w:pPr>
          </w:p>
        </w:tc>
        <w:tc>
          <w:tcPr>
            <w:tcW w:w="870" w:type="pct"/>
            <w:tcBorders>
              <w:top w:val="nil"/>
              <w:left w:val="nil"/>
              <w:bottom w:val="single" w:sz="8" w:space="0" w:color="auto"/>
              <w:right w:val="nil"/>
            </w:tcBorders>
            <w:vAlign w:val="bottom"/>
          </w:tcPr>
          <w:p w14:paraId="65EACE3A"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31/12/2021</w:t>
            </w:r>
          </w:p>
        </w:tc>
      </w:tr>
      <w:tr w:rsidR="0013173C" w:rsidRPr="00252D7B" w14:paraId="11547CCC" w14:textId="77777777" w:rsidTr="00F6584E">
        <w:trPr>
          <w:trHeight w:hRule="exact" w:val="227"/>
        </w:trPr>
        <w:tc>
          <w:tcPr>
            <w:tcW w:w="1117" w:type="pct"/>
            <w:tcBorders>
              <w:top w:val="nil"/>
              <w:left w:val="nil"/>
              <w:bottom w:val="nil"/>
              <w:right w:val="nil"/>
            </w:tcBorders>
            <w:shd w:val="clear" w:color="auto" w:fill="auto"/>
            <w:noWrap/>
            <w:vAlign w:val="center"/>
            <w:hideMark/>
          </w:tcPr>
          <w:p w14:paraId="37214E9C"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Desapropriações</w:t>
            </w:r>
          </w:p>
        </w:tc>
        <w:tc>
          <w:tcPr>
            <w:tcW w:w="2133" w:type="pct"/>
            <w:tcBorders>
              <w:top w:val="nil"/>
              <w:left w:val="nil"/>
              <w:bottom w:val="nil"/>
              <w:right w:val="nil"/>
            </w:tcBorders>
            <w:shd w:val="clear" w:color="auto" w:fill="auto"/>
            <w:noWrap/>
            <w:vAlign w:val="center"/>
          </w:tcPr>
          <w:p w14:paraId="13D1813B" w14:textId="77777777" w:rsidR="0013173C" w:rsidRPr="00252D7B" w:rsidRDefault="0013173C" w:rsidP="00F6584E">
            <w:pPr>
              <w:spacing w:after="120"/>
              <w:jc w:val="right"/>
              <w:rPr>
                <w:rFonts w:asciiTheme="minorHAnsi" w:hAnsiTheme="minorHAnsi" w:cstheme="minorHAnsi"/>
                <w:color w:val="000000"/>
                <w:sz w:val="20"/>
                <w:szCs w:val="20"/>
              </w:rPr>
            </w:pPr>
          </w:p>
        </w:tc>
        <w:tc>
          <w:tcPr>
            <w:tcW w:w="880" w:type="pct"/>
            <w:tcBorders>
              <w:top w:val="nil"/>
              <w:left w:val="nil"/>
              <w:bottom w:val="nil"/>
              <w:right w:val="nil"/>
            </w:tcBorders>
            <w:shd w:val="clear" w:color="auto" w:fill="auto"/>
            <w:vAlign w:val="center"/>
          </w:tcPr>
          <w:p w14:paraId="67575DA4" w14:textId="77777777" w:rsidR="0013173C" w:rsidRPr="00252D7B" w:rsidRDefault="0013173C" w:rsidP="00F6584E">
            <w:pPr>
              <w:spacing w:after="120"/>
              <w:jc w:val="right"/>
              <w:rPr>
                <w:rFonts w:asciiTheme="minorHAnsi" w:hAnsiTheme="minorHAnsi" w:cstheme="minorHAnsi"/>
                <w:color w:val="000000"/>
                <w:sz w:val="20"/>
                <w:szCs w:val="20"/>
              </w:rPr>
            </w:pPr>
          </w:p>
        </w:tc>
        <w:tc>
          <w:tcPr>
            <w:tcW w:w="870" w:type="pct"/>
            <w:tcBorders>
              <w:top w:val="nil"/>
              <w:left w:val="nil"/>
              <w:bottom w:val="nil"/>
              <w:right w:val="nil"/>
            </w:tcBorders>
            <w:vAlign w:val="center"/>
          </w:tcPr>
          <w:p w14:paraId="1DB05909"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3.550.340</w:t>
            </w:r>
          </w:p>
        </w:tc>
      </w:tr>
      <w:tr w:rsidR="0013173C" w:rsidRPr="00252D7B" w14:paraId="43D5E3D6" w14:textId="77777777" w:rsidTr="00F6584E">
        <w:trPr>
          <w:trHeight w:hRule="exact" w:val="227"/>
        </w:trPr>
        <w:tc>
          <w:tcPr>
            <w:tcW w:w="1117" w:type="pct"/>
            <w:tcBorders>
              <w:top w:val="nil"/>
              <w:left w:val="nil"/>
              <w:bottom w:val="nil"/>
              <w:right w:val="nil"/>
            </w:tcBorders>
            <w:shd w:val="clear" w:color="auto" w:fill="auto"/>
            <w:noWrap/>
            <w:vAlign w:val="center"/>
          </w:tcPr>
          <w:p w14:paraId="71445F5F"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Trabalhistas</w:t>
            </w:r>
          </w:p>
        </w:tc>
        <w:tc>
          <w:tcPr>
            <w:tcW w:w="2133" w:type="pct"/>
            <w:tcBorders>
              <w:top w:val="nil"/>
              <w:left w:val="nil"/>
              <w:bottom w:val="nil"/>
              <w:right w:val="nil"/>
            </w:tcBorders>
            <w:shd w:val="clear" w:color="auto" w:fill="auto"/>
            <w:noWrap/>
            <w:vAlign w:val="center"/>
          </w:tcPr>
          <w:p w14:paraId="670BA15E" w14:textId="77777777" w:rsidR="0013173C" w:rsidRPr="00252D7B" w:rsidRDefault="0013173C" w:rsidP="00F6584E">
            <w:pPr>
              <w:spacing w:after="120"/>
              <w:jc w:val="right"/>
              <w:rPr>
                <w:rFonts w:asciiTheme="minorHAnsi" w:hAnsiTheme="minorHAnsi" w:cstheme="minorHAnsi"/>
                <w:color w:val="000000"/>
                <w:sz w:val="20"/>
                <w:szCs w:val="20"/>
              </w:rPr>
            </w:pPr>
          </w:p>
        </w:tc>
        <w:tc>
          <w:tcPr>
            <w:tcW w:w="880" w:type="pct"/>
            <w:tcBorders>
              <w:top w:val="nil"/>
              <w:left w:val="nil"/>
              <w:bottom w:val="nil"/>
              <w:right w:val="nil"/>
            </w:tcBorders>
            <w:shd w:val="clear" w:color="auto" w:fill="auto"/>
            <w:vAlign w:val="center"/>
          </w:tcPr>
          <w:p w14:paraId="443A75AE" w14:textId="77777777" w:rsidR="0013173C" w:rsidRPr="00252D7B" w:rsidRDefault="0013173C" w:rsidP="00F6584E">
            <w:pPr>
              <w:spacing w:after="120"/>
              <w:jc w:val="right"/>
              <w:rPr>
                <w:rFonts w:asciiTheme="minorHAnsi" w:hAnsiTheme="minorHAnsi" w:cstheme="minorHAnsi"/>
                <w:color w:val="000000"/>
                <w:sz w:val="20"/>
                <w:szCs w:val="20"/>
              </w:rPr>
            </w:pPr>
          </w:p>
        </w:tc>
        <w:tc>
          <w:tcPr>
            <w:tcW w:w="870" w:type="pct"/>
            <w:tcBorders>
              <w:top w:val="nil"/>
              <w:left w:val="nil"/>
              <w:bottom w:val="nil"/>
              <w:right w:val="nil"/>
            </w:tcBorders>
            <w:vAlign w:val="center"/>
          </w:tcPr>
          <w:p w14:paraId="11C16895"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71.978.874</w:t>
            </w:r>
          </w:p>
        </w:tc>
      </w:tr>
      <w:tr w:rsidR="0013173C" w:rsidRPr="00252D7B" w14:paraId="6F3DF621" w14:textId="77777777" w:rsidTr="00F6584E">
        <w:trPr>
          <w:trHeight w:hRule="exact" w:val="227"/>
        </w:trPr>
        <w:tc>
          <w:tcPr>
            <w:tcW w:w="1117" w:type="pct"/>
            <w:tcBorders>
              <w:top w:val="nil"/>
              <w:left w:val="nil"/>
              <w:bottom w:val="nil"/>
              <w:right w:val="nil"/>
            </w:tcBorders>
            <w:shd w:val="clear" w:color="auto" w:fill="auto"/>
            <w:noWrap/>
            <w:vAlign w:val="center"/>
          </w:tcPr>
          <w:p w14:paraId="7F925C0F"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Cíveis</w:t>
            </w:r>
          </w:p>
        </w:tc>
        <w:tc>
          <w:tcPr>
            <w:tcW w:w="2133" w:type="pct"/>
            <w:tcBorders>
              <w:top w:val="nil"/>
              <w:left w:val="nil"/>
              <w:bottom w:val="nil"/>
              <w:right w:val="nil"/>
            </w:tcBorders>
            <w:shd w:val="clear" w:color="auto" w:fill="auto"/>
            <w:noWrap/>
            <w:vAlign w:val="center"/>
          </w:tcPr>
          <w:p w14:paraId="2CE2AB0E" w14:textId="77777777" w:rsidR="0013173C" w:rsidRPr="00252D7B" w:rsidRDefault="0013173C" w:rsidP="00F6584E">
            <w:pPr>
              <w:spacing w:after="120"/>
              <w:jc w:val="right"/>
              <w:rPr>
                <w:rFonts w:asciiTheme="minorHAnsi" w:hAnsiTheme="minorHAnsi" w:cstheme="minorHAnsi"/>
                <w:color w:val="000000"/>
                <w:sz w:val="20"/>
                <w:szCs w:val="20"/>
              </w:rPr>
            </w:pPr>
          </w:p>
        </w:tc>
        <w:tc>
          <w:tcPr>
            <w:tcW w:w="880" w:type="pct"/>
            <w:tcBorders>
              <w:top w:val="nil"/>
              <w:left w:val="nil"/>
              <w:bottom w:val="nil"/>
              <w:right w:val="nil"/>
            </w:tcBorders>
            <w:shd w:val="clear" w:color="auto" w:fill="auto"/>
            <w:vAlign w:val="center"/>
          </w:tcPr>
          <w:p w14:paraId="0EC8F874" w14:textId="77777777" w:rsidR="0013173C" w:rsidRPr="00252D7B" w:rsidRDefault="0013173C" w:rsidP="00F6584E">
            <w:pPr>
              <w:spacing w:after="120"/>
              <w:jc w:val="right"/>
              <w:rPr>
                <w:rFonts w:asciiTheme="minorHAnsi" w:hAnsiTheme="minorHAnsi" w:cstheme="minorHAnsi"/>
                <w:color w:val="000000"/>
                <w:sz w:val="20"/>
                <w:szCs w:val="20"/>
              </w:rPr>
            </w:pPr>
          </w:p>
        </w:tc>
        <w:tc>
          <w:tcPr>
            <w:tcW w:w="870" w:type="pct"/>
            <w:tcBorders>
              <w:top w:val="nil"/>
              <w:left w:val="nil"/>
              <w:bottom w:val="nil"/>
              <w:right w:val="nil"/>
            </w:tcBorders>
            <w:vAlign w:val="center"/>
          </w:tcPr>
          <w:p w14:paraId="4EF02EBD"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1.000.577.431</w:t>
            </w:r>
          </w:p>
        </w:tc>
      </w:tr>
      <w:tr w:rsidR="0013173C" w:rsidRPr="00252D7B" w14:paraId="57A51F11" w14:textId="77777777" w:rsidTr="00F6584E">
        <w:trPr>
          <w:trHeight w:hRule="exact" w:val="227"/>
        </w:trPr>
        <w:tc>
          <w:tcPr>
            <w:tcW w:w="1117" w:type="pct"/>
            <w:tcBorders>
              <w:top w:val="nil"/>
              <w:left w:val="nil"/>
              <w:bottom w:val="nil"/>
              <w:right w:val="nil"/>
            </w:tcBorders>
            <w:shd w:val="clear" w:color="auto" w:fill="auto"/>
            <w:noWrap/>
            <w:vAlign w:val="center"/>
          </w:tcPr>
          <w:p w14:paraId="3718384A"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Tributárias</w:t>
            </w:r>
          </w:p>
        </w:tc>
        <w:tc>
          <w:tcPr>
            <w:tcW w:w="2133" w:type="pct"/>
            <w:tcBorders>
              <w:top w:val="nil"/>
              <w:left w:val="nil"/>
              <w:bottom w:val="nil"/>
              <w:right w:val="nil"/>
            </w:tcBorders>
            <w:shd w:val="clear" w:color="auto" w:fill="auto"/>
            <w:noWrap/>
            <w:vAlign w:val="center"/>
          </w:tcPr>
          <w:p w14:paraId="373442BA" w14:textId="77777777" w:rsidR="0013173C" w:rsidRPr="00252D7B" w:rsidRDefault="0013173C" w:rsidP="00F6584E">
            <w:pPr>
              <w:spacing w:after="120"/>
              <w:jc w:val="right"/>
              <w:rPr>
                <w:rFonts w:asciiTheme="minorHAnsi" w:hAnsiTheme="minorHAnsi" w:cstheme="minorHAnsi"/>
                <w:color w:val="000000"/>
                <w:sz w:val="20"/>
                <w:szCs w:val="20"/>
              </w:rPr>
            </w:pPr>
          </w:p>
        </w:tc>
        <w:tc>
          <w:tcPr>
            <w:tcW w:w="880" w:type="pct"/>
            <w:tcBorders>
              <w:top w:val="nil"/>
              <w:left w:val="nil"/>
              <w:bottom w:val="nil"/>
              <w:right w:val="nil"/>
            </w:tcBorders>
            <w:shd w:val="clear" w:color="auto" w:fill="auto"/>
            <w:vAlign w:val="center"/>
          </w:tcPr>
          <w:p w14:paraId="6AF0BD39" w14:textId="77777777" w:rsidR="0013173C" w:rsidRPr="00252D7B" w:rsidRDefault="0013173C" w:rsidP="00F6584E">
            <w:pPr>
              <w:spacing w:after="120"/>
              <w:jc w:val="right"/>
              <w:rPr>
                <w:rFonts w:asciiTheme="minorHAnsi" w:hAnsiTheme="minorHAnsi" w:cstheme="minorHAnsi"/>
                <w:color w:val="000000"/>
                <w:sz w:val="20"/>
                <w:szCs w:val="20"/>
              </w:rPr>
            </w:pPr>
          </w:p>
        </w:tc>
        <w:tc>
          <w:tcPr>
            <w:tcW w:w="870" w:type="pct"/>
            <w:tcBorders>
              <w:top w:val="nil"/>
              <w:left w:val="nil"/>
              <w:bottom w:val="nil"/>
              <w:right w:val="nil"/>
            </w:tcBorders>
            <w:vAlign w:val="center"/>
          </w:tcPr>
          <w:p w14:paraId="309823E0"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6.036.397</w:t>
            </w:r>
          </w:p>
        </w:tc>
      </w:tr>
      <w:tr w:rsidR="0013173C" w:rsidRPr="00252D7B" w14:paraId="0C3E75BF" w14:textId="77777777" w:rsidTr="00F6584E">
        <w:trPr>
          <w:trHeight w:hRule="exact" w:val="227"/>
        </w:trPr>
        <w:tc>
          <w:tcPr>
            <w:tcW w:w="1117" w:type="pct"/>
            <w:tcBorders>
              <w:top w:val="nil"/>
              <w:left w:val="nil"/>
              <w:bottom w:val="nil"/>
              <w:right w:val="nil"/>
            </w:tcBorders>
            <w:shd w:val="clear" w:color="auto" w:fill="auto"/>
            <w:noWrap/>
            <w:vAlign w:val="center"/>
            <w:hideMark/>
          </w:tcPr>
          <w:p w14:paraId="74A5AF15"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Previdenciárias</w:t>
            </w:r>
          </w:p>
        </w:tc>
        <w:tc>
          <w:tcPr>
            <w:tcW w:w="2133" w:type="pct"/>
            <w:tcBorders>
              <w:top w:val="nil"/>
              <w:left w:val="nil"/>
              <w:bottom w:val="nil"/>
              <w:right w:val="nil"/>
            </w:tcBorders>
            <w:shd w:val="clear" w:color="auto" w:fill="auto"/>
            <w:noWrap/>
            <w:vAlign w:val="center"/>
          </w:tcPr>
          <w:p w14:paraId="133AA5A7" w14:textId="77777777" w:rsidR="0013173C" w:rsidRPr="00252D7B" w:rsidRDefault="0013173C" w:rsidP="00F6584E">
            <w:pPr>
              <w:spacing w:after="120"/>
              <w:jc w:val="right"/>
              <w:rPr>
                <w:rFonts w:asciiTheme="minorHAnsi" w:hAnsiTheme="minorHAnsi" w:cstheme="minorHAnsi"/>
                <w:color w:val="000000"/>
                <w:sz w:val="20"/>
                <w:szCs w:val="20"/>
              </w:rPr>
            </w:pPr>
          </w:p>
        </w:tc>
        <w:tc>
          <w:tcPr>
            <w:tcW w:w="880" w:type="pct"/>
            <w:tcBorders>
              <w:top w:val="nil"/>
              <w:left w:val="nil"/>
              <w:bottom w:val="nil"/>
              <w:right w:val="nil"/>
            </w:tcBorders>
            <w:shd w:val="clear" w:color="auto" w:fill="auto"/>
            <w:vAlign w:val="center"/>
          </w:tcPr>
          <w:p w14:paraId="4BF1B63C" w14:textId="77777777" w:rsidR="0013173C" w:rsidRPr="00252D7B" w:rsidRDefault="0013173C" w:rsidP="00F6584E">
            <w:pPr>
              <w:spacing w:after="120"/>
              <w:jc w:val="right"/>
              <w:rPr>
                <w:rFonts w:asciiTheme="minorHAnsi" w:hAnsiTheme="minorHAnsi" w:cstheme="minorHAnsi"/>
                <w:color w:val="000000"/>
                <w:sz w:val="20"/>
                <w:szCs w:val="20"/>
              </w:rPr>
            </w:pPr>
          </w:p>
        </w:tc>
        <w:tc>
          <w:tcPr>
            <w:tcW w:w="870" w:type="pct"/>
            <w:tcBorders>
              <w:top w:val="nil"/>
              <w:left w:val="nil"/>
              <w:bottom w:val="nil"/>
              <w:right w:val="nil"/>
            </w:tcBorders>
            <w:vAlign w:val="center"/>
          </w:tcPr>
          <w:p w14:paraId="12E8E8FA"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7.980.439</w:t>
            </w:r>
          </w:p>
        </w:tc>
      </w:tr>
      <w:tr w:rsidR="0013173C" w:rsidRPr="00252D7B" w14:paraId="0D239B10" w14:textId="77777777" w:rsidTr="00F6584E">
        <w:trPr>
          <w:trHeight w:hRule="exact" w:val="227"/>
        </w:trPr>
        <w:tc>
          <w:tcPr>
            <w:tcW w:w="1117" w:type="pct"/>
            <w:tcBorders>
              <w:top w:val="single" w:sz="8" w:space="0" w:color="auto"/>
              <w:left w:val="nil"/>
              <w:bottom w:val="single" w:sz="8" w:space="0" w:color="auto"/>
              <w:right w:val="nil"/>
            </w:tcBorders>
            <w:shd w:val="clear" w:color="auto" w:fill="auto"/>
            <w:noWrap/>
            <w:vAlign w:val="center"/>
            <w:hideMark/>
          </w:tcPr>
          <w:p w14:paraId="5337D955" w14:textId="77777777" w:rsidR="0013173C" w:rsidRPr="00252D7B" w:rsidRDefault="0013173C" w:rsidP="00F6584E">
            <w:pPr>
              <w:spacing w:after="120"/>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SALDO</w:t>
            </w:r>
          </w:p>
        </w:tc>
        <w:tc>
          <w:tcPr>
            <w:tcW w:w="2133" w:type="pct"/>
            <w:tcBorders>
              <w:top w:val="single" w:sz="8" w:space="0" w:color="auto"/>
              <w:left w:val="nil"/>
              <w:bottom w:val="single" w:sz="8" w:space="0" w:color="auto"/>
              <w:right w:val="nil"/>
            </w:tcBorders>
            <w:shd w:val="clear" w:color="auto" w:fill="auto"/>
            <w:noWrap/>
            <w:vAlign w:val="center"/>
          </w:tcPr>
          <w:p w14:paraId="20996D85" w14:textId="77777777" w:rsidR="0013173C" w:rsidRPr="00252D7B" w:rsidRDefault="0013173C" w:rsidP="00F6584E">
            <w:pPr>
              <w:spacing w:after="120"/>
              <w:jc w:val="right"/>
              <w:rPr>
                <w:rFonts w:asciiTheme="minorHAnsi" w:hAnsiTheme="minorHAnsi" w:cstheme="minorHAnsi"/>
                <w:b/>
                <w:bCs/>
                <w:color w:val="000000"/>
                <w:sz w:val="20"/>
                <w:szCs w:val="20"/>
              </w:rPr>
            </w:pPr>
          </w:p>
        </w:tc>
        <w:tc>
          <w:tcPr>
            <w:tcW w:w="880" w:type="pct"/>
            <w:tcBorders>
              <w:top w:val="single" w:sz="8" w:space="0" w:color="auto"/>
              <w:left w:val="nil"/>
              <w:bottom w:val="single" w:sz="8" w:space="0" w:color="auto"/>
              <w:right w:val="nil"/>
            </w:tcBorders>
            <w:shd w:val="clear" w:color="auto" w:fill="auto"/>
            <w:vAlign w:val="center"/>
          </w:tcPr>
          <w:p w14:paraId="390B406A" w14:textId="77777777" w:rsidR="0013173C" w:rsidRPr="00252D7B" w:rsidRDefault="0013173C" w:rsidP="00F6584E">
            <w:pPr>
              <w:spacing w:after="120"/>
              <w:jc w:val="right"/>
              <w:rPr>
                <w:rFonts w:asciiTheme="minorHAnsi" w:hAnsiTheme="minorHAnsi" w:cstheme="minorHAnsi"/>
                <w:b/>
                <w:bCs/>
                <w:color w:val="000000"/>
                <w:sz w:val="20"/>
                <w:szCs w:val="20"/>
              </w:rPr>
            </w:pPr>
          </w:p>
        </w:tc>
        <w:tc>
          <w:tcPr>
            <w:tcW w:w="870" w:type="pct"/>
            <w:tcBorders>
              <w:top w:val="single" w:sz="8" w:space="0" w:color="auto"/>
              <w:left w:val="nil"/>
              <w:bottom w:val="single" w:sz="8" w:space="0" w:color="auto"/>
              <w:right w:val="nil"/>
            </w:tcBorders>
            <w:vAlign w:val="center"/>
          </w:tcPr>
          <w:p w14:paraId="7FB2E5B7"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1.090.123.481</w:t>
            </w:r>
          </w:p>
        </w:tc>
      </w:tr>
    </w:tbl>
    <w:p w14:paraId="2A0078C6" w14:textId="77777777" w:rsidR="0013173C" w:rsidRPr="00252D7B" w:rsidRDefault="0013173C" w:rsidP="0013173C">
      <w:pPr>
        <w:spacing w:before="120" w:after="120"/>
        <w:ind w:right="57"/>
        <w:jc w:val="both"/>
        <w:rPr>
          <w:rFonts w:asciiTheme="minorHAnsi" w:hAnsiTheme="minorHAnsi" w:cstheme="minorHAnsi"/>
          <w:sz w:val="24"/>
          <w:szCs w:val="24"/>
        </w:rPr>
      </w:pPr>
    </w:p>
    <w:p w14:paraId="6F26141A" w14:textId="77777777" w:rsidR="0013173C" w:rsidRPr="00252D7B" w:rsidRDefault="0013173C" w:rsidP="0013173C">
      <w:pPr>
        <w:spacing w:before="120" w:after="120"/>
        <w:ind w:right="57"/>
        <w:jc w:val="both"/>
        <w:rPr>
          <w:rFonts w:asciiTheme="minorHAnsi" w:hAnsiTheme="minorHAnsi" w:cstheme="minorHAnsi"/>
          <w:sz w:val="24"/>
          <w:szCs w:val="24"/>
        </w:rPr>
      </w:pPr>
      <w:r w:rsidRPr="00252D7B">
        <w:rPr>
          <w:rFonts w:asciiTheme="minorHAnsi" w:hAnsiTheme="minorHAnsi" w:cstheme="minorHAnsi"/>
          <w:sz w:val="24"/>
          <w:szCs w:val="24"/>
        </w:rPr>
        <w:t>Os valores classificados como possíveis “superfaturamentos” ou “sobrepreços” levantados por Tomadas de Contas Especiais do Tribunal de Contas da União, divulgados nas notas explicativas de anos anteriores, foram desconsiderados para fins de divulgação nestas Notas, devido ao reconhecimento da perda pelo valor recuperável após a subconcessão da Ferrovia Norte Sul.</w:t>
      </w:r>
    </w:p>
    <w:p w14:paraId="22DE10EC" w14:textId="77777777" w:rsidR="0013173C" w:rsidRPr="00252D7B" w:rsidRDefault="0013173C" w:rsidP="0013173C">
      <w:pPr>
        <w:spacing w:before="120" w:after="120"/>
        <w:rPr>
          <w:rFonts w:asciiTheme="minorHAnsi" w:hAnsiTheme="minorHAnsi" w:cstheme="minorHAnsi"/>
        </w:rPr>
      </w:pPr>
    </w:p>
    <w:p w14:paraId="3C3C01BB" w14:textId="77777777" w:rsidR="0013173C" w:rsidRPr="00252D7B" w:rsidRDefault="0013173C" w:rsidP="004E2193">
      <w:pPr>
        <w:pStyle w:val="Ttulo3"/>
        <w:spacing w:before="120" w:after="120"/>
        <w:rPr>
          <w:rFonts w:asciiTheme="minorHAnsi" w:hAnsiTheme="minorHAnsi" w:cstheme="minorHAnsi"/>
        </w:rPr>
      </w:pPr>
      <w:bookmarkStart w:id="682" w:name="_Toc97918842"/>
      <w:bookmarkStart w:id="683" w:name="_Toc103680644"/>
      <w:r w:rsidRPr="00252D7B">
        <w:rPr>
          <w:rFonts w:asciiTheme="minorHAnsi" w:hAnsiTheme="minorHAnsi" w:cstheme="minorHAnsi"/>
        </w:rPr>
        <w:t>Receita a diferir</w:t>
      </w:r>
      <w:bookmarkEnd w:id="682"/>
      <w:bookmarkEnd w:id="683"/>
      <w:r w:rsidRPr="00252D7B">
        <w:rPr>
          <w:rFonts w:asciiTheme="minorHAnsi" w:hAnsiTheme="minorHAnsi" w:cstheme="minorHAnsi"/>
        </w:rPr>
        <w:t xml:space="preserve"> </w:t>
      </w:r>
    </w:p>
    <w:p w14:paraId="651B2E29" w14:textId="77777777" w:rsidR="0013173C" w:rsidRPr="004E2193" w:rsidRDefault="0013173C" w:rsidP="004E2193">
      <w:pPr>
        <w:pStyle w:val="Ttulo4"/>
        <w:rPr>
          <w:rFonts w:asciiTheme="minorHAnsi" w:hAnsiTheme="minorHAnsi" w:cstheme="minorHAnsi"/>
        </w:rPr>
      </w:pPr>
      <w:bookmarkStart w:id="684" w:name="_Toc97918843"/>
      <w:bookmarkStart w:id="685" w:name="_Toc103680645"/>
      <w:r w:rsidRPr="004E2193">
        <w:rPr>
          <w:rFonts w:asciiTheme="minorHAnsi" w:hAnsiTheme="minorHAnsi" w:cstheme="minorHAnsi"/>
        </w:rPr>
        <w:t>Receita a diferir – pátios e terminais</w:t>
      </w:r>
      <w:bookmarkEnd w:id="684"/>
      <w:bookmarkEnd w:id="685"/>
    </w:p>
    <w:p w14:paraId="5EC6C2D2" w14:textId="77777777" w:rsidR="0013173C" w:rsidRPr="00252D7B" w:rsidRDefault="0013173C" w:rsidP="0013173C">
      <w:pPr>
        <w:spacing w:before="120" w:after="120"/>
        <w:ind w:right="57"/>
        <w:jc w:val="both"/>
        <w:rPr>
          <w:rFonts w:asciiTheme="minorHAnsi" w:hAnsiTheme="minorHAnsi" w:cstheme="minorHAnsi"/>
          <w:sz w:val="24"/>
          <w:szCs w:val="24"/>
        </w:rPr>
      </w:pPr>
      <w:r w:rsidRPr="00252D7B">
        <w:rPr>
          <w:rFonts w:asciiTheme="minorHAnsi" w:hAnsiTheme="minorHAnsi" w:cstheme="minorHAnsi"/>
          <w:sz w:val="24"/>
          <w:szCs w:val="24"/>
        </w:rPr>
        <w:t xml:space="preserve">A conta Receita a Diferir – Pátios e Terminais expressa os valores contratados, conforme contratos de Permissão para Uso dos Pátios e Terminais da Valec. Como são de longo prazo (15 anos), em atendimento ao regime de competência, os contratos são reconhecidos como Receita a Diferir, no passivo, para diferimento mensal no resultado (receita operacional) conforme o prazo contratual. </w:t>
      </w:r>
    </w:p>
    <w:p w14:paraId="0A2CC9A9" w14:textId="77777777" w:rsidR="0013173C" w:rsidRPr="00252D7B" w:rsidRDefault="0013173C" w:rsidP="0013173C">
      <w:pPr>
        <w:spacing w:before="120" w:after="120"/>
        <w:ind w:right="57"/>
        <w:jc w:val="both"/>
        <w:rPr>
          <w:rFonts w:asciiTheme="minorHAnsi" w:hAnsiTheme="minorHAnsi" w:cstheme="minorHAnsi"/>
          <w:sz w:val="24"/>
          <w:szCs w:val="24"/>
        </w:rPr>
      </w:pPr>
      <w:r w:rsidRPr="00252D7B">
        <w:rPr>
          <w:rFonts w:asciiTheme="minorHAnsi" w:hAnsiTheme="minorHAnsi" w:cstheme="minorHAnsi"/>
          <w:sz w:val="24"/>
          <w:szCs w:val="24"/>
        </w:rPr>
        <w:t>No exercício de 2021, as contas de Receita a Diferir – Pátios e Terminais, de curto e longo prazo, apresentaram os seguintes movimentos (Tabela 70).</w:t>
      </w:r>
    </w:p>
    <w:p w14:paraId="734103ED" w14:textId="77777777" w:rsidR="0013173C" w:rsidRPr="00252D7B" w:rsidRDefault="0013173C" w:rsidP="0013173C">
      <w:pPr>
        <w:widowControl/>
        <w:autoSpaceDE/>
        <w:autoSpaceDN/>
        <w:spacing w:after="160" w:line="259" w:lineRule="auto"/>
        <w:rPr>
          <w:rFonts w:asciiTheme="minorHAnsi" w:hAnsiTheme="minorHAnsi" w:cstheme="minorHAnsi"/>
          <w:sz w:val="24"/>
          <w:szCs w:val="24"/>
        </w:rPr>
      </w:pPr>
      <w:r w:rsidRPr="00252D7B">
        <w:rPr>
          <w:rFonts w:asciiTheme="minorHAnsi" w:hAnsiTheme="minorHAnsi" w:cstheme="minorHAnsi"/>
          <w:sz w:val="24"/>
          <w:szCs w:val="24"/>
        </w:rPr>
        <w:br w:type="page"/>
      </w:r>
    </w:p>
    <w:p w14:paraId="20408965" w14:textId="16C03C04" w:rsidR="0013173C" w:rsidRPr="005059B1" w:rsidRDefault="0013173C" w:rsidP="005059B1">
      <w:pPr>
        <w:pStyle w:val="Legenda"/>
        <w:jc w:val="center"/>
        <w:rPr>
          <w:rFonts w:asciiTheme="minorHAnsi" w:hAnsiTheme="minorHAnsi" w:cstheme="minorHAnsi"/>
          <w:sz w:val="20"/>
          <w:szCs w:val="20"/>
        </w:rPr>
      </w:pPr>
      <w:bookmarkStart w:id="686" w:name="_Toc97918921"/>
      <w:bookmarkStart w:id="687" w:name="_Toc103680707"/>
      <w:r w:rsidRPr="00252D7B">
        <w:rPr>
          <w:rFonts w:asciiTheme="minorHAnsi" w:hAnsiTheme="minorHAnsi" w:cstheme="minorHAnsi"/>
          <w:sz w:val="20"/>
          <w:szCs w:val="20"/>
        </w:rPr>
        <w:lastRenderedPageBreak/>
        <w:t xml:space="preserve">Tabela </w:t>
      </w:r>
      <w:r w:rsidRPr="005059B1">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Tabela \* ARABIC </w:instrText>
      </w:r>
      <w:r w:rsidRPr="005059B1">
        <w:rPr>
          <w:rFonts w:asciiTheme="minorHAnsi" w:hAnsiTheme="minorHAnsi" w:cstheme="minorHAnsi"/>
          <w:sz w:val="20"/>
          <w:szCs w:val="20"/>
        </w:rPr>
        <w:fldChar w:fldCharType="separate"/>
      </w:r>
      <w:r w:rsidR="00C12888">
        <w:rPr>
          <w:rFonts w:asciiTheme="minorHAnsi" w:hAnsiTheme="minorHAnsi" w:cstheme="minorHAnsi"/>
          <w:noProof/>
          <w:sz w:val="20"/>
          <w:szCs w:val="20"/>
        </w:rPr>
        <w:t>45</w:t>
      </w:r>
      <w:r w:rsidRPr="005059B1">
        <w:rPr>
          <w:rFonts w:asciiTheme="minorHAnsi" w:hAnsiTheme="minorHAnsi" w:cstheme="minorHAnsi"/>
          <w:sz w:val="20"/>
          <w:szCs w:val="20"/>
        </w:rPr>
        <w:fldChar w:fldCharType="end"/>
      </w:r>
      <w:r w:rsidRPr="00252D7B">
        <w:rPr>
          <w:rFonts w:asciiTheme="minorHAnsi" w:hAnsiTheme="minorHAnsi" w:cstheme="minorHAnsi"/>
          <w:sz w:val="20"/>
          <w:szCs w:val="20"/>
        </w:rPr>
        <w:t xml:space="preserve"> – Receita a diferir – pátios e terminais</w:t>
      </w:r>
      <w:bookmarkEnd w:id="686"/>
      <w:bookmarkEnd w:id="687"/>
    </w:p>
    <w:tbl>
      <w:tblPr>
        <w:tblW w:w="5000" w:type="pct"/>
        <w:tblCellMar>
          <w:left w:w="70" w:type="dxa"/>
          <w:right w:w="70" w:type="dxa"/>
        </w:tblCellMar>
        <w:tblLook w:val="04A0" w:firstRow="1" w:lastRow="0" w:firstColumn="1" w:lastColumn="0" w:noHBand="0" w:noVBand="1"/>
      </w:tblPr>
      <w:tblGrid>
        <w:gridCol w:w="5365"/>
        <w:gridCol w:w="2213"/>
        <w:gridCol w:w="1084"/>
        <w:gridCol w:w="1084"/>
      </w:tblGrid>
      <w:tr w:rsidR="0013173C" w:rsidRPr="00252D7B" w14:paraId="0B860260" w14:textId="77777777" w:rsidTr="00F6584E">
        <w:trPr>
          <w:trHeight w:hRule="exact" w:val="315"/>
        </w:trPr>
        <w:tc>
          <w:tcPr>
            <w:tcW w:w="3888" w:type="pct"/>
            <w:gridSpan w:val="2"/>
            <w:tcBorders>
              <w:top w:val="single" w:sz="8" w:space="0" w:color="auto"/>
              <w:left w:val="nil"/>
              <w:bottom w:val="single" w:sz="8" w:space="0" w:color="auto"/>
              <w:right w:val="nil"/>
            </w:tcBorders>
            <w:shd w:val="clear" w:color="auto" w:fill="auto"/>
            <w:noWrap/>
            <w:vAlign w:val="center"/>
            <w:hideMark/>
          </w:tcPr>
          <w:p w14:paraId="66E3A98D" w14:textId="77777777" w:rsidR="0013173C" w:rsidRPr="00252D7B" w:rsidRDefault="0013173C" w:rsidP="00F6584E">
            <w:pPr>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xml:space="preserve">RECEITA A DIFERIR – PÁTIOS E TERMINAIS </w:t>
            </w:r>
          </w:p>
        </w:tc>
        <w:tc>
          <w:tcPr>
            <w:tcW w:w="556" w:type="pct"/>
            <w:tcBorders>
              <w:top w:val="single" w:sz="8" w:space="0" w:color="auto"/>
              <w:left w:val="nil"/>
              <w:bottom w:val="single" w:sz="8" w:space="0" w:color="auto"/>
              <w:right w:val="nil"/>
            </w:tcBorders>
            <w:shd w:val="clear" w:color="auto" w:fill="auto"/>
            <w:noWrap/>
            <w:vAlign w:val="center"/>
            <w:hideMark/>
          </w:tcPr>
          <w:p w14:paraId="46EC7976" w14:textId="77777777" w:rsidR="0013173C" w:rsidRPr="00252D7B" w:rsidRDefault="0013173C" w:rsidP="00F6584E">
            <w:pPr>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31/12/2021</w:t>
            </w:r>
          </w:p>
        </w:tc>
        <w:tc>
          <w:tcPr>
            <w:tcW w:w="556" w:type="pct"/>
            <w:tcBorders>
              <w:top w:val="single" w:sz="8" w:space="0" w:color="auto"/>
              <w:left w:val="nil"/>
              <w:bottom w:val="single" w:sz="8" w:space="0" w:color="auto"/>
              <w:right w:val="nil"/>
            </w:tcBorders>
            <w:shd w:val="clear" w:color="auto" w:fill="auto"/>
            <w:vAlign w:val="center"/>
            <w:hideMark/>
          </w:tcPr>
          <w:p w14:paraId="78FC8BA4" w14:textId="77777777" w:rsidR="0013173C" w:rsidRPr="00252D7B" w:rsidRDefault="0013173C" w:rsidP="00F6584E">
            <w:pPr>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31/12/2020</w:t>
            </w:r>
          </w:p>
        </w:tc>
      </w:tr>
      <w:tr w:rsidR="0013173C" w:rsidRPr="00252D7B" w14:paraId="1ABDDB86" w14:textId="77777777" w:rsidTr="00F6584E">
        <w:trPr>
          <w:trHeight w:hRule="exact" w:val="300"/>
        </w:trPr>
        <w:tc>
          <w:tcPr>
            <w:tcW w:w="2752" w:type="pct"/>
            <w:tcBorders>
              <w:top w:val="nil"/>
              <w:left w:val="nil"/>
              <w:bottom w:val="nil"/>
              <w:right w:val="nil"/>
            </w:tcBorders>
            <w:shd w:val="clear" w:color="auto" w:fill="auto"/>
            <w:noWrap/>
            <w:vAlign w:val="center"/>
            <w:hideMark/>
          </w:tcPr>
          <w:p w14:paraId="2F15D0A7" w14:textId="77777777" w:rsidR="0013173C" w:rsidRPr="00252D7B" w:rsidRDefault="0013173C" w:rsidP="00F6584E">
            <w:pPr>
              <w:rPr>
                <w:rFonts w:asciiTheme="minorHAnsi" w:hAnsiTheme="minorHAnsi" w:cstheme="minorHAnsi"/>
                <w:color w:val="000000"/>
                <w:sz w:val="20"/>
                <w:szCs w:val="20"/>
              </w:rPr>
            </w:pPr>
            <w:r w:rsidRPr="00252D7B">
              <w:rPr>
                <w:rFonts w:asciiTheme="minorHAnsi" w:hAnsiTheme="minorHAnsi" w:cstheme="minorHAnsi"/>
                <w:color w:val="000000"/>
                <w:sz w:val="20"/>
                <w:szCs w:val="20"/>
              </w:rPr>
              <w:t xml:space="preserve">Saldo anterior </w:t>
            </w:r>
          </w:p>
        </w:tc>
        <w:tc>
          <w:tcPr>
            <w:tcW w:w="1135" w:type="pct"/>
            <w:tcBorders>
              <w:top w:val="nil"/>
              <w:left w:val="nil"/>
              <w:bottom w:val="nil"/>
              <w:right w:val="nil"/>
            </w:tcBorders>
            <w:shd w:val="clear" w:color="auto" w:fill="auto"/>
            <w:noWrap/>
            <w:vAlign w:val="center"/>
            <w:hideMark/>
          </w:tcPr>
          <w:p w14:paraId="72F25DD9" w14:textId="77777777" w:rsidR="0013173C" w:rsidRPr="00252D7B" w:rsidRDefault="0013173C" w:rsidP="00F6584E">
            <w:pPr>
              <w:rPr>
                <w:rFonts w:asciiTheme="minorHAnsi" w:hAnsiTheme="minorHAnsi" w:cstheme="minorHAnsi"/>
                <w:color w:val="000000"/>
                <w:sz w:val="20"/>
                <w:szCs w:val="20"/>
              </w:rPr>
            </w:pPr>
          </w:p>
        </w:tc>
        <w:tc>
          <w:tcPr>
            <w:tcW w:w="556" w:type="pct"/>
            <w:tcBorders>
              <w:top w:val="nil"/>
              <w:left w:val="nil"/>
              <w:bottom w:val="nil"/>
              <w:right w:val="nil"/>
            </w:tcBorders>
            <w:shd w:val="clear" w:color="auto" w:fill="auto"/>
            <w:noWrap/>
            <w:vAlign w:val="center"/>
            <w:hideMark/>
          </w:tcPr>
          <w:p w14:paraId="57073D19"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25.642.834</w:t>
            </w:r>
          </w:p>
        </w:tc>
        <w:tc>
          <w:tcPr>
            <w:tcW w:w="556" w:type="pct"/>
            <w:tcBorders>
              <w:top w:val="nil"/>
              <w:left w:val="nil"/>
              <w:bottom w:val="nil"/>
              <w:right w:val="nil"/>
            </w:tcBorders>
            <w:shd w:val="clear" w:color="auto" w:fill="auto"/>
            <w:vAlign w:val="center"/>
            <w:hideMark/>
          </w:tcPr>
          <w:p w14:paraId="4BBFDE3E"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26.556.382</w:t>
            </w:r>
          </w:p>
        </w:tc>
      </w:tr>
      <w:tr w:rsidR="0013173C" w:rsidRPr="00252D7B" w14:paraId="6D143EE3" w14:textId="77777777" w:rsidTr="00F6584E">
        <w:trPr>
          <w:trHeight w:hRule="exact" w:val="300"/>
        </w:trPr>
        <w:tc>
          <w:tcPr>
            <w:tcW w:w="2752" w:type="pct"/>
            <w:tcBorders>
              <w:top w:val="nil"/>
              <w:left w:val="nil"/>
              <w:bottom w:val="nil"/>
              <w:right w:val="nil"/>
            </w:tcBorders>
            <w:shd w:val="clear" w:color="auto" w:fill="auto"/>
            <w:noWrap/>
            <w:vAlign w:val="center"/>
            <w:hideMark/>
          </w:tcPr>
          <w:p w14:paraId="009B65D8" w14:textId="77777777" w:rsidR="0013173C" w:rsidRPr="00252D7B" w:rsidRDefault="0013173C" w:rsidP="00F6584E">
            <w:pPr>
              <w:rPr>
                <w:rFonts w:asciiTheme="minorHAnsi" w:hAnsiTheme="minorHAnsi" w:cstheme="minorHAnsi"/>
                <w:color w:val="000000"/>
                <w:sz w:val="20"/>
                <w:szCs w:val="20"/>
              </w:rPr>
            </w:pPr>
            <w:r w:rsidRPr="00252D7B">
              <w:rPr>
                <w:rFonts w:asciiTheme="minorHAnsi" w:hAnsiTheme="minorHAnsi" w:cstheme="minorHAnsi"/>
                <w:color w:val="000000"/>
                <w:sz w:val="20"/>
                <w:szCs w:val="20"/>
              </w:rPr>
              <w:t>Novas permissões</w:t>
            </w:r>
          </w:p>
        </w:tc>
        <w:tc>
          <w:tcPr>
            <w:tcW w:w="1135" w:type="pct"/>
            <w:tcBorders>
              <w:top w:val="nil"/>
              <w:left w:val="nil"/>
              <w:bottom w:val="nil"/>
              <w:right w:val="nil"/>
            </w:tcBorders>
            <w:shd w:val="clear" w:color="auto" w:fill="auto"/>
            <w:noWrap/>
            <w:vAlign w:val="center"/>
            <w:hideMark/>
          </w:tcPr>
          <w:p w14:paraId="649ED1DA" w14:textId="77777777" w:rsidR="0013173C" w:rsidRPr="00252D7B" w:rsidRDefault="0013173C" w:rsidP="00F6584E">
            <w:pPr>
              <w:rPr>
                <w:rFonts w:asciiTheme="minorHAnsi" w:hAnsiTheme="minorHAnsi" w:cstheme="minorHAnsi"/>
                <w:color w:val="000000"/>
                <w:sz w:val="20"/>
                <w:szCs w:val="20"/>
              </w:rPr>
            </w:pPr>
          </w:p>
        </w:tc>
        <w:tc>
          <w:tcPr>
            <w:tcW w:w="556" w:type="pct"/>
            <w:tcBorders>
              <w:top w:val="nil"/>
              <w:left w:val="nil"/>
              <w:bottom w:val="nil"/>
              <w:right w:val="nil"/>
            </w:tcBorders>
            <w:shd w:val="clear" w:color="auto" w:fill="auto"/>
            <w:noWrap/>
            <w:vAlign w:val="center"/>
            <w:hideMark/>
          </w:tcPr>
          <w:p w14:paraId="3BE595DA"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13.410.002</w:t>
            </w:r>
          </w:p>
        </w:tc>
        <w:tc>
          <w:tcPr>
            <w:tcW w:w="556" w:type="pct"/>
            <w:tcBorders>
              <w:top w:val="nil"/>
              <w:left w:val="nil"/>
              <w:bottom w:val="nil"/>
              <w:right w:val="nil"/>
            </w:tcBorders>
            <w:shd w:val="clear" w:color="auto" w:fill="auto"/>
            <w:vAlign w:val="center"/>
            <w:hideMark/>
          </w:tcPr>
          <w:p w14:paraId="71B2A296"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1.050.000</w:t>
            </w:r>
          </w:p>
        </w:tc>
      </w:tr>
      <w:tr w:rsidR="0013173C" w:rsidRPr="00252D7B" w14:paraId="416B5839" w14:textId="77777777" w:rsidTr="00F6584E">
        <w:trPr>
          <w:trHeight w:hRule="exact" w:val="300"/>
        </w:trPr>
        <w:tc>
          <w:tcPr>
            <w:tcW w:w="2752" w:type="pct"/>
            <w:tcBorders>
              <w:top w:val="nil"/>
              <w:left w:val="nil"/>
              <w:bottom w:val="nil"/>
              <w:right w:val="nil"/>
            </w:tcBorders>
            <w:shd w:val="clear" w:color="auto" w:fill="auto"/>
            <w:noWrap/>
            <w:vAlign w:val="center"/>
            <w:hideMark/>
          </w:tcPr>
          <w:p w14:paraId="3CBD87F8" w14:textId="77777777" w:rsidR="0013173C" w:rsidRPr="00252D7B" w:rsidRDefault="0013173C" w:rsidP="00F6584E">
            <w:pPr>
              <w:rPr>
                <w:rFonts w:asciiTheme="minorHAnsi" w:hAnsiTheme="minorHAnsi" w:cstheme="minorHAnsi"/>
                <w:color w:val="000000"/>
                <w:sz w:val="20"/>
                <w:szCs w:val="20"/>
              </w:rPr>
            </w:pPr>
            <w:r w:rsidRPr="00252D7B">
              <w:rPr>
                <w:rFonts w:asciiTheme="minorHAnsi" w:hAnsiTheme="minorHAnsi" w:cstheme="minorHAnsi"/>
                <w:color w:val="000000"/>
                <w:sz w:val="20"/>
                <w:szCs w:val="20"/>
              </w:rPr>
              <w:t>Reconhecimento da receita</w:t>
            </w:r>
          </w:p>
        </w:tc>
        <w:tc>
          <w:tcPr>
            <w:tcW w:w="1135" w:type="pct"/>
            <w:tcBorders>
              <w:top w:val="nil"/>
              <w:left w:val="nil"/>
              <w:bottom w:val="nil"/>
              <w:right w:val="nil"/>
            </w:tcBorders>
            <w:shd w:val="clear" w:color="auto" w:fill="auto"/>
            <w:noWrap/>
            <w:vAlign w:val="center"/>
            <w:hideMark/>
          </w:tcPr>
          <w:p w14:paraId="4E161886" w14:textId="77777777" w:rsidR="0013173C" w:rsidRPr="00252D7B" w:rsidRDefault="0013173C" w:rsidP="00F6584E">
            <w:pPr>
              <w:rPr>
                <w:rFonts w:asciiTheme="minorHAnsi" w:hAnsiTheme="minorHAnsi" w:cstheme="minorHAnsi"/>
                <w:color w:val="000000"/>
                <w:sz w:val="20"/>
                <w:szCs w:val="20"/>
              </w:rPr>
            </w:pPr>
          </w:p>
        </w:tc>
        <w:tc>
          <w:tcPr>
            <w:tcW w:w="556" w:type="pct"/>
            <w:tcBorders>
              <w:top w:val="nil"/>
              <w:left w:val="nil"/>
              <w:bottom w:val="nil"/>
              <w:right w:val="nil"/>
            </w:tcBorders>
            <w:shd w:val="clear" w:color="auto" w:fill="auto"/>
            <w:noWrap/>
            <w:vAlign w:val="center"/>
            <w:hideMark/>
          </w:tcPr>
          <w:p w14:paraId="40B7A7F1"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-2.689.734</w:t>
            </w:r>
          </w:p>
        </w:tc>
        <w:tc>
          <w:tcPr>
            <w:tcW w:w="556" w:type="pct"/>
            <w:tcBorders>
              <w:top w:val="nil"/>
              <w:left w:val="nil"/>
              <w:bottom w:val="nil"/>
              <w:right w:val="nil"/>
            </w:tcBorders>
            <w:shd w:val="clear" w:color="auto" w:fill="auto"/>
            <w:vAlign w:val="center"/>
            <w:hideMark/>
          </w:tcPr>
          <w:p w14:paraId="60B2AB88"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-1.963.548</w:t>
            </w:r>
          </w:p>
        </w:tc>
      </w:tr>
      <w:tr w:rsidR="0013173C" w:rsidRPr="00252D7B" w14:paraId="770DB6DA" w14:textId="77777777" w:rsidTr="00F6584E">
        <w:trPr>
          <w:trHeight w:hRule="exact" w:val="315"/>
        </w:trPr>
        <w:tc>
          <w:tcPr>
            <w:tcW w:w="2752" w:type="pct"/>
            <w:tcBorders>
              <w:top w:val="nil"/>
              <w:left w:val="nil"/>
              <w:bottom w:val="single" w:sz="8" w:space="0" w:color="auto"/>
              <w:right w:val="nil"/>
            </w:tcBorders>
            <w:shd w:val="clear" w:color="auto" w:fill="auto"/>
            <w:noWrap/>
            <w:vAlign w:val="center"/>
            <w:hideMark/>
          </w:tcPr>
          <w:p w14:paraId="4E24580D" w14:textId="77777777" w:rsidR="0013173C" w:rsidRPr="00252D7B" w:rsidRDefault="0013173C" w:rsidP="00F6584E">
            <w:pPr>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xml:space="preserve"> TOTAL </w:t>
            </w:r>
          </w:p>
        </w:tc>
        <w:tc>
          <w:tcPr>
            <w:tcW w:w="1135" w:type="pct"/>
            <w:tcBorders>
              <w:top w:val="nil"/>
              <w:left w:val="nil"/>
              <w:bottom w:val="single" w:sz="8" w:space="0" w:color="auto"/>
              <w:right w:val="nil"/>
            </w:tcBorders>
            <w:shd w:val="clear" w:color="auto" w:fill="auto"/>
            <w:noWrap/>
            <w:vAlign w:val="center"/>
            <w:hideMark/>
          </w:tcPr>
          <w:p w14:paraId="6352C04A" w14:textId="77777777" w:rsidR="0013173C" w:rsidRPr="00252D7B" w:rsidRDefault="0013173C" w:rsidP="00F6584E">
            <w:pPr>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w:t>
            </w:r>
          </w:p>
        </w:tc>
        <w:tc>
          <w:tcPr>
            <w:tcW w:w="556" w:type="pct"/>
            <w:tcBorders>
              <w:top w:val="nil"/>
              <w:left w:val="nil"/>
              <w:bottom w:val="single" w:sz="8" w:space="0" w:color="auto"/>
              <w:right w:val="nil"/>
            </w:tcBorders>
            <w:shd w:val="clear" w:color="auto" w:fill="auto"/>
            <w:noWrap/>
            <w:vAlign w:val="center"/>
            <w:hideMark/>
          </w:tcPr>
          <w:p w14:paraId="78A7C15A" w14:textId="77777777" w:rsidR="0013173C" w:rsidRPr="00252D7B" w:rsidRDefault="0013173C" w:rsidP="00F6584E">
            <w:pPr>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36.363.102</w:t>
            </w:r>
          </w:p>
        </w:tc>
        <w:tc>
          <w:tcPr>
            <w:tcW w:w="556" w:type="pct"/>
            <w:tcBorders>
              <w:top w:val="nil"/>
              <w:left w:val="nil"/>
              <w:bottom w:val="single" w:sz="8" w:space="0" w:color="auto"/>
              <w:right w:val="nil"/>
            </w:tcBorders>
            <w:shd w:val="clear" w:color="auto" w:fill="auto"/>
            <w:vAlign w:val="center"/>
            <w:hideMark/>
          </w:tcPr>
          <w:p w14:paraId="56B19E2B" w14:textId="77777777" w:rsidR="0013173C" w:rsidRPr="00252D7B" w:rsidRDefault="0013173C" w:rsidP="00F6584E">
            <w:pPr>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25.642.834</w:t>
            </w:r>
          </w:p>
        </w:tc>
      </w:tr>
      <w:tr w:rsidR="0013173C" w:rsidRPr="00252D7B" w14:paraId="08721063" w14:textId="77777777" w:rsidTr="00F6584E">
        <w:trPr>
          <w:trHeight w:hRule="exact" w:val="315"/>
        </w:trPr>
        <w:tc>
          <w:tcPr>
            <w:tcW w:w="3888" w:type="pct"/>
            <w:gridSpan w:val="2"/>
            <w:tcBorders>
              <w:top w:val="single" w:sz="8" w:space="0" w:color="auto"/>
              <w:left w:val="nil"/>
              <w:bottom w:val="single" w:sz="8" w:space="0" w:color="auto"/>
              <w:right w:val="nil"/>
            </w:tcBorders>
            <w:shd w:val="clear" w:color="auto" w:fill="auto"/>
            <w:noWrap/>
            <w:vAlign w:val="center"/>
            <w:hideMark/>
          </w:tcPr>
          <w:p w14:paraId="642CC43A" w14:textId="77777777" w:rsidR="0013173C" w:rsidRPr="00252D7B" w:rsidRDefault="0013173C" w:rsidP="00F6584E">
            <w:pPr>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Receita a Diferir Pátios e Terminais – Circulante</w:t>
            </w:r>
          </w:p>
        </w:tc>
        <w:tc>
          <w:tcPr>
            <w:tcW w:w="556" w:type="pct"/>
            <w:tcBorders>
              <w:top w:val="nil"/>
              <w:left w:val="nil"/>
              <w:bottom w:val="single" w:sz="8" w:space="0" w:color="auto"/>
              <w:right w:val="nil"/>
            </w:tcBorders>
            <w:shd w:val="clear" w:color="auto" w:fill="auto"/>
            <w:noWrap/>
            <w:vAlign w:val="center"/>
            <w:hideMark/>
          </w:tcPr>
          <w:p w14:paraId="2470C8CD" w14:textId="77777777" w:rsidR="0013173C" w:rsidRPr="00252D7B" w:rsidRDefault="0013173C" w:rsidP="00F6584E">
            <w:pPr>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3.031.892</w:t>
            </w:r>
          </w:p>
        </w:tc>
        <w:tc>
          <w:tcPr>
            <w:tcW w:w="556" w:type="pct"/>
            <w:tcBorders>
              <w:top w:val="nil"/>
              <w:left w:val="nil"/>
              <w:bottom w:val="single" w:sz="8" w:space="0" w:color="auto"/>
              <w:right w:val="nil"/>
            </w:tcBorders>
            <w:shd w:val="clear" w:color="auto" w:fill="auto"/>
            <w:vAlign w:val="center"/>
            <w:hideMark/>
          </w:tcPr>
          <w:p w14:paraId="15D43140" w14:textId="77777777" w:rsidR="0013173C" w:rsidRPr="00252D7B" w:rsidRDefault="0013173C" w:rsidP="00F6584E">
            <w:pPr>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2.271.695</w:t>
            </w:r>
          </w:p>
        </w:tc>
      </w:tr>
      <w:tr w:rsidR="0013173C" w:rsidRPr="00252D7B" w14:paraId="27B31164" w14:textId="77777777" w:rsidTr="00F6584E">
        <w:trPr>
          <w:trHeight w:hRule="exact" w:val="315"/>
        </w:trPr>
        <w:tc>
          <w:tcPr>
            <w:tcW w:w="3888" w:type="pct"/>
            <w:gridSpan w:val="2"/>
            <w:tcBorders>
              <w:top w:val="single" w:sz="8" w:space="0" w:color="auto"/>
              <w:left w:val="nil"/>
              <w:bottom w:val="single" w:sz="8" w:space="0" w:color="auto"/>
              <w:right w:val="nil"/>
            </w:tcBorders>
            <w:shd w:val="clear" w:color="auto" w:fill="auto"/>
            <w:noWrap/>
            <w:vAlign w:val="center"/>
            <w:hideMark/>
          </w:tcPr>
          <w:p w14:paraId="1AEB58EB" w14:textId="77777777" w:rsidR="0013173C" w:rsidRPr="00252D7B" w:rsidRDefault="0013173C" w:rsidP="00F6584E">
            <w:pPr>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Receita a Diferir Pátios e Terminais – Não Circulante</w:t>
            </w:r>
          </w:p>
        </w:tc>
        <w:tc>
          <w:tcPr>
            <w:tcW w:w="556" w:type="pct"/>
            <w:tcBorders>
              <w:top w:val="nil"/>
              <w:left w:val="nil"/>
              <w:bottom w:val="single" w:sz="8" w:space="0" w:color="auto"/>
              <w:right w:val="nil"/>
            </w:tcBorders>
            <w:shd w:val="clear" w:color="auto" w:fill="auto"/>
            <w:noWrap/>
            <w:vAlign w:val="center"/>
            <w:hideMark/>
          </w:tcPr>
          <w:p w14:paraId="51BEF6A1" w14:textId="77777777" w:rsidR="0013173C" w:rsidRPr="00252D7B" w:rsidRDefault="0013173C" w:rsidP="00F6584E">
            <w:pPr>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33.331.210</w:t>
            </w:r>
          </w:p>
        </w:tc>
        <w:tc>
          <w:tcPr>
            <w:tcW w:w="556" w:type="pct"/>
            <w:tcBorders>
              <w:top w:val="nil"/>
              <w:left w:val="nil"/>
              <w:bottom w:val="single" w:sz="8" w:space="0" w:color="auto"/>
              <w:right w:val="nil"/>
            </w:tcBorders>
            <w:shd w:val="clear" w:color="auto" w:fill="auto"/>
            <w:vAlign w:val="center"/>
            <w:hideMark/>
          </w:tcPr>
          <w:p w14:paraId="26084E5D" w14:textId="77777777" w:rsidR="0013173C" w:rsidRPr="00252D7B" w:rsidRDefault="0013173C" w:rsidP="00F6584E">
            <w:pPr>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23.371.139</w:t>
            </w:r>
          </w:p>
        </w:tc>
      </w:tr>
      <w:tr w:rsidR="0013173C" w:rsidRPr="00252D7B" w14:paraId="0C4413E9" w14:textId="77777777" w:rsidTr="00F6584E">
        <w:trPr>
          <w:trHeight w:hRule="exact" w:val="315"/>
        </w:trPr>
        <w:tc>
          <w:tcPr>
            <w:tcW w:w="2752" w:type="pct"/>
            <w:tcBorders>
              <w:top w:val="nil"/>
              <w:left w:val="nil"/>
              <w:bottom w:val="single" w:sz="8" w:space="0" w:color="auto"/>
              <w:right w:val="nil"/>
            </w:tcBorders>
            <w:shd w:val="clear" w:color="auto" w:fill="auto"/>
            <w:noWrap/>
            <w:vAlign w:val="center"/>
            <w:hideMark/>
          </w:tcPr>
          <w:p w14:paraId="1BAEE75F" w14:textId="77777777" w:rsidR="0013173C" w:rsidRPr="00252D7B" w:rsidRDefault="0013173C" w:rsidP="00F6584E">
            <w:pPr>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SALDO DE RECEITA A DIFERIR POR CONTRATOS</w:t>
            </w:r>
          </w:p>
        </w:tc>
        <w:tc>
          <w:tcPr>
            <w:tcW w:w="1135" w:type="pct"/>
            <w:tcBorders>
              <w:top w:val="nil"/>
              <w:left w:val="nil"/>
              <w:bottom w:val="single" w:sz="8" w:space="0" w:color="auto"/>
              <w:right w:val="nil"/>
            </w:tcBorders>
            <w:shd w:val="clear" w:color="auto" w:fill="auto"/>
            <w:noWrap/>
            <w:vAlign w:val="center"/>
            <w:hideMark/>
          </w:tcPr>
          <w:p w14:paraId="1FEEEA46" w14:textId="77777777" w:rsidR="0013173C" w:rsidRPr="00252D7B" w:rsidRDefault="0013173C" w:rsidP="00F6584E">
            <w:pPr>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PRAZO A DIFERIR (MESES)</w:t>
            </w:r>
          </w:p>
        </w:tc>
        <w:tc>
          <w:tcPr>
            <w:tcW w:w="556" w:type="pct"/>
            <w:tcBorders>
              <w:top w:val="nil"/>
              <w:left w:val="nil"/>
              <w:bottom w:val="single" w:sz="8" w:space="0" w:color="auto"/>
              <w:right w:val="nil"/>
            </w:tcBorders>
            <w:shd w:val="clear" w:color="auto" w:fill="auto"/>
            <w:noWrap/>
            <w:vAlign w:val="center"/>
            <w:hideMark/>
          </w:tcPr>
          <w:p w14:paraId="2B9E5333" w14:textId="77777777" w:rsidR="0013173C" w:rsidRPr="00252D7B" w:rsidRDefault="0013173C" w:rsidP="00F6584E">
            <w:pPr>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31/12/2021</w:t>
            </w:r>
          </w:p>
        </w:tc>
        <w:tc>
          <w:tcPr>
            <w:tcW w:w="556" w:type="pct"/>
            <w:tcBorders>
              <w:top w:val="nil"/>
              <w:left w:val="nil"/>
              <w:bottom w:val="single" w:sz="8" w:space="0" w:color="auto"/>
              <w:right w:val="nil"/>
            </w:tcBorders>
            <w:shd w:val="clear" w:color="auto" w:fill="auto"/>
            <w:vAlign w:val="center"/>
            <w:hideMark/>
          </w:tcPr>
          <w:p w14:paraId="73EAA836" w14:textId="77777777" w:rsidR="0013173C" w:rsidRPr="00252D7B" w:rsidRDefault="0013173C" w:rsidP="00F6584E">
            <w:pPr>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31/12/2020</w:t>
            </w:r>
          </w:p>
        </w:tc>
      </w:tr>
      <w:tr w:rsidR="0013173C" w:rsidRPr="00252D7B" w14:paraId="3B04144C" w14:textId="77777777" w:rsidTr="00F6584E">
        <w:trPr>
          <w:trHeight w:hRule="exact" w:val="300"/>
        </w:trPr>
        <w:tc>
          <w:tcPr>
            <w:tcW w:w="2752" w:type="pct"/>
            <w:tcBorders>
              <w:top w:val="nil"/>
              <w:left w:val="nil"/>
              <w:bottom w:val="nil"/>
              <w:right w:val="nil"/>
            </w:tcBorders>
            <w:shd w:val="clear" w:color="auto" w:fill="auto"/>
            <w:noWrap/>
            <w:vAlign w:val="center"/>
            <w:hideMark/>
          </w:tcPr>
          <w:p w14:paraId="2ABC8186" w14:textId="77777777" w:rsidR="0013173C" w:rsidRPr="00252D7B" w:rsidRDefault="0013173C" w:rsidP="00F6584E">
            <w:pPr>
              <w:rPr>
                <w:rFonts w:asciiTheme="minorHAnsi" w:hAnsiTheme="minorHAnsi" w:cstheme="minorHAnsi"/>
                <w:color w:val="000000"/>
                <w:sz w:val="20"/>
                <w:szCs w:val="20"/>
              </w:rPr>
            </w:pPr>
            <w:r w:rsidRPr="00252D7B">
              <w:rPr>
                <w:rFonts w:asciiTheme="minorHAnsi" w:hAnsiTheme="minorHAnsi" w:cstheme="minorHAnsi"/>
                <w:color w:val="000000"/>
                <w:sz w:val="20"/>
                <w:szCs w:val="20"/>
              </w:rPr>
              <w:t>Agrex do Brasil S.A. 26/2012</w:t>
            </w:r>
          </w:p>
        </w:tc>
        <w:tc>
          <w:tcPr>
            <w:tcW w:w="1135" w:type="pct"/>
            <w:tcBorders>
              <w:top w:val="nil"/>
              <w:left w:val="nil"/>
              <w:bottom w:val="nil"/>
              <w:right w:val="nil"/>
            </w:tcBorders>
            <w:shd w:val="clear" w:color="auto" w:fill="auto"/>
            <w:noWrap/>
            <w:vAlign w:val="center"/>
            <w:hideMark/>
          </w:tcPr>
          <w:p w14:paraId="1CC1CE25" w14:textId="77777777" w:rsidR="0013173C" w:rsidRPr="00252D7B" w:rsidRDefault="0013173C" w:rsidP="00F6584E">
            <w:pPr>
              <w:jc w:val="center"/>
              <w:rPr>
                <w:rFonts w:asciiTheme="minorHAnsi" w:hAnsiTheme="minorHAnsi" w:cstheme="minorHAnsi"/>
                <w:color w:val="000000"/>
                <w:sz w:val="20"/>
                <w:szCs w:val="20"/>
              </w:rPr>
            </w:pPr>
            <w:r w:rsidRPr="00252D7B">
              <w:rPr>
                <w:rFonts w:asciiTheme="minorHAnsi" w:hAnsiTheme="minorHAnsi" w:cstheme="minorHAnsi"/>
                <w:color w:val="000000"/>
                <w:sz w:val="20"/>
                <w:szCs w:val="20"/>
              </w:rPr>
              <w:t>69</w:t>
            </w:r>
          </w:p>
        </w:tc>
        <w:tc>
          <w:tcPr>
            <w:tcW w:w="556" w:type="pct"/>
            <w:tcBorders>
              <w:top w:val="nil"/>
              <w:left w:val="nil"/>
              <w:bottom w:val="nil"/>
              <w:right w:val="nil"/>
            </w:tcBorders>
            <w:shd w:val="clear" w:color="auto" w:fill="auto"/>
            <w:noWrap/>
            <w:vAlign w:val="center"/>
            <w:hideMark/>
          </w:tcPr>
          <w:p w14:paraId="520E1A76"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1.475.444</w:t>
            </w:r>
          </w:p>
        </w:tc>
        <w:tc>
          <w:tcPr>
            <w:tcW w:w="556" w:type="pct"/>
            <w:tcBorders>
              <w:top w:val="nil"/>
              <w:left w:val="nil"/>
              <w:bottom w:val="nil"/>
              <w:right w:val="nil"/>
            </w:tcBorders>
            <w:shd w:val="clear" w:color="auto" w:fill="auto"/>
            <w:vAlign w:val="center"/>
            <w:hideMark/>
          </w:tcPr>
          <w:p w14:paraId="021A037A"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1.728.378</w:t>
            </w:r>
          </w:p>
        </w:tc>
      </w:tr>
      <w:tr w:rsidR="0013173C" w:rsidRPr="00252D7B" w14:paraId="2D189465" w14:textId="77777777" w:rsidTr="00F6584E">
        <w:trPr>
          <w:trHeight w:val="300"/>
        </w:trPr>
        <w:tc>
          <w:tcPr>
            <w:tcW w:w="2752" w:type="pct"/>
            <w:tcBorders>
              <w:top w:val="nil"/>
              <w:left w:val="nil"/>
              <w:bottom w:val="nil"/>
              <w:right w:val="nil"/>
            </w:tcBorders>
            <w:shd w:val="clear" w:color="auto" w:fill="auto"/>
            <w:noWrap/>
            <w:vAlign w:val="center"/>
            <w:hideMark/>
          </w:tcPr>
          <w:p w14:paraId="268B6B33" w14:textId="77777777" w:rsidR="0013173C" w:rsidRPr="00252D7B" w:rsidRDefault="0013173C" w:rsidP="00F6584E">
            <w:pPr>
              <w:rPr>
                <w:rFonts w:asciiTheme="minorHAnsi" w:hAnsiTheme="minorHAnsi" w:cstheme="minorHAnsi"/>
                <w:color w:val="000000"/>
                <w:sz w:val="20"/>
                <w:szCs w:val="20"/>
              </w:rPr>
            </w:pPr>
            <w:r w:rsidRPr="00252D7B">
              <w:rPr>
                <w:rFonts w:asciiTheme="minorHAnsi" w:hAnsiTheme="minorHAnsi" w:cstheme="minorHAnsi"/>
                <w:color w:val="000000"/>
                <w:sz w:val="20"/>
                <w:szCs w:val="20"/>
              </w:rPr>
              <w:t>Agrex do Brasil S.A. 16/2005</w:t>
            </w:r>
          </w:p>
        </w:tc>
        <w:tc>
          <w:tcPr>
            <w:tcW w:w="1135" w:type="pct"/>
            <w:tcBorders>
              <w:top w:val="nil"/>
              <w:left w:val="nil"/>
              <w:bottom w:val="nil"/>
              <w:right w:val="nil"/>
            </w:tcBorders>
            <w:shd w:val="clear" w:color="auto" w:fill="auto"/>
            <w:noWrap/>
            <w:vAlign w:val="center"/>
            <w:hideMark/>
          </w:tcPr>
          <w:p w14:paraId="4D9C47DD" w14:textId="77777777" w:rsidR="0013173C" w:rsidRPr="00252D7B" w:rsidRDefault="0013173C" w:rsidP="00F6584E">
            <w:pPr>
              <w:jc w:val="center"/>
              <w:rPr>
                <w:rFonts w:asciiTheme="minorHAnsi" w:hAnsiTheme="minorHAnsi" w:cstheme="minorHAnsi"/>
                <w:color w:val="000000"/>
                <w:sz w:val="20"/>
                <w:szCs w:val="20"/>
              </w:rPr>
            </w:pPr>
            <w:r w:rsidRPr="00252D7B">
              <w:rPr>
                <w:rFonts w:asciiTheme="minorHAnsi" w:hAnsiTheme="minorHAnsi" w:cstheme="minorHAnsi"/>
                <w:color w:val="000000"/>
                <w:sz w:val="20"/>
                <w:szCs w:val="20"/>
              </w:rPr>
              <w:t>10</w:t>
            </w:r>
          </w:p>
        </w:tc>
        <w:tc>
          <w:tcPr>
            <w:tcW w:w="556" w:type="pct"/>
            <w:tcBorders>
              <w:top w:val="nil"/>
              <w:left w:val="nil"/>
              <w:bottom w:val="nil"/>
              <w:right w:val="nil"/>
            </w:tcBorders>
            <w:shd w:val="clear" w:color="auto" w:fill="auto"/>
            <w:noWrap/>
            <w:vAlign w:val="center"/>
            <w:hideMark/>
          </w:tcPr>
          <w:p w14:paraId="7F7DB5EF"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427.778</w:t>
            </w:r>
          </w:p>
        </w:tc>
        <w:tc>
          <w:tcPr>
            <w:tcW w:w="556" w:type="pct"/>
            <w:tcBorders>
              <w:top w:val="nil"/>
              <w:left w:val="nil"/>
              <w:bottom w:val="nil"/>
              <w:right w:val="nil"/>
            </w:tcBorders>
            <w:shd w:val="clear" w:color="auto" w:fill="auto"/>
            <w:vAlign w:val="center"/>
            <w:hideMark/>
          </w:tcPr>
          <w:p w14:paraId="14B98B10"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894.444</w:t>
            </w:r>
          </w:p>
        </w:tc>
      </w:tr>
      <w:tr w:rsidR="0013173C" w:rsidRPr="00252D7B" w14:paraId="447DB261" w14:textId="77777777" w:rsidTr="00F6584E">
        <w:trPr>
          <w:trHeight w:val="300"/>
        </w:trPr>
        <w:tc>
          <w:tcPr>
            <w:tcW w:w="2752" w:type="pct"/>
            <w:tcBorders>
              <w:top w:val="nil"/>
              <w:left w:val="nil"/>
              <w:bottom w:val="nil"/>
              <w:right w:val="nil"/>
            </w:tcBorders>
            <w:shd w:val="clear" w:color="auto" w:fill="auto"/>
            <w:noWrap/>
            <w:vAlign w:val="center"/>
            <w:hideMark/>
          </w:tcPr>
          <w:p w14:paraId="2301A748" w14:textId="77777777" w:rsidR="0013173C" w:rsidRPr="00252D7B" w:rsidRDefault="0013173C" w:rsidP="00F6584E">
            <w:pPr>
              <w:rPr>
                <w:rFonts w:asciiTheme="minorHAnsi" w:hAnsiTheme="minorHAnsi" w:cstheme="minorHAnsi"/>
                <w:color w:val="000000"/>
                <w:sz w:val="20"/>
                <w:szCs w:val="20"/>
              </w:rPr>
            </w:pPr>
            <w:r w:rsidRPr="00252D7B">
              <w:rPr>
                <w:rFonts w:asciiTheme="minorHAnsi" w:hAnsiTheme="minorHAnsi" w:cstheme="minorHAnsi"/>
                <w:color w:val="000000"/>
                <w:sz w:val="20"/>
                <w:szCs w:val="20"/>
              </w:rPr>
              <w:t>Bunge Alimentos S.A. 12/1999</w:t>
            </w:r>
          </w:p>
        </w:tc>
        <w:tc>
          <w:tcPr>
            <w:tcW w:w="1135" w:type="pct"/>
            <w:tcBorders>
              <w:top w:val="nil"/>
              <w:left w:val="nil"/>
              <w:bottom w:val="nil"/>
              <w:right w:val="nil"/>
            </w:tcBorders>
            <w:shd w:val="clear" w:color="auto" w:fill="auto"/>
            <w:noWrap/>
            <w:vAlign w:val="center"/>
            <w:hideMark/>
          </w:tcPr>
          <w:p w14:paraId="117B3EAA" w14:textId="77777777" w:rsidR="0013173C" w:rsidRPr="00252D7B" w:rsidRDefault="0013173C" w:rsidP="00F6584E">
            <w:pPr>
              <w:jc w:val="center"/>
              <w:rPr>
                <w:rFonts w:asciiTheme="minorHAnsi" w:hAnsiTheme="minorHAnsi" w:cstheme="minorHAnsi"/>
                <w:color w:val="000000"/>
                <w:sz w:val="20"/>
                <w:szCs w:val="20"/>
              </w:rPr>
            </w:pPr>
            <w:r w:rsidRPr="00252D7B">
              <w:rPr>
                <w:rFonts w:asciiTheme="minorHAnsi" w:hAnsiTheme="minorHAnsi" w:cstheme="minorHAnsi"/>
                <w:color w:val="000000"/>
                <w:sz w:val="20"/>
                <w:szCs w:val="20"/>
              </w:rPr>
              <w:t>96</w:t>
            </w:r>
          </w:p>
        </w:tc>
        <w:tc>
          <w:tcPr>
            <w:tcW w:w="556" w:type="pct"/>
            <w:tcBorders>
              <w:top w:val="nil"/>
              <w:left w:val="nil"/>
              <w:bottom w:val="nil"/>
              <w:right w:val="nil"/>
            </w:tcBorders>
            <w:shd w:val="clear" w:color="auto" w:fill="auto"/>
            <w:noWrap/>
            <w:vAlign w:val="center"/>
            <w:hideMark/>
          </w:tcPr>
          <w:p w14:paraId="401FBA80"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1.755.762</w:t>
            </w:r>
          </w:p>
        </w:tc>
        <w:tc>
          <w:tcPr>
            <w:tcW w:w="556" w:type="pct"/>
            <w:tcBorders>
              <w:top w:val="nil"/>
              <w:left w:val="nil"/>
              <w:bottom w:val="nil"/>
              <w:right w:val="nil"/>
            </w:tcBorders>
            <w:shd w:val="clear" w:color="auto" w:fill="auto"/>
            <w:vAlign w:val="center"/>
            <w:hideMark/>
          </w:tcPr>
          <w:p w14:paraId="1C42A9ED"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1.975.232</w:t>
            </w:r>
          </w:p>
        </w:tc>
      </w:tr>
      <w:tr w:rsidR="0013173C" w:rsidRPr="00252D7B" w14:paraId="0FC9EB06" w14:textId="77777777" w:rsidTr="00F6584E">
        <w:trPr>
          <w:trHeight w:val="300"/>
        </w:trPr>
        <w:tc>
          <w:tcPr>
            <w:tcW w:w="2752" w:type="pct"/>
            <w:tcBorders>
              <w:top w:val="nil"/>
              <w:left w:val="nil"/>
              <w:bottom w:val="nil"/>
              <w:right w:val="nil"/>
            </w:tcBorders>
            <w:shd w:val="clear" w:color="auto" w:fill="auto"/>
            <w:noWrap/>
            <w:vAlign w:val="center"/>
            <w:hideMark/>
          </w:tcPr>
          <w:p w14:paraId="2530FF71" w14:textId="77777777" w:rsidR="0013173C" w:rsidRPr="00252D7B" w:rsidRDefault="0013173C" w:rsidP="00F6584E">
            <w:pPr>
              <w:rPr>
                <w:rFonts w:asciiTheme="minorHAnsi" w:hAnsiTheme="minorHAnsi" w:cstheme="minorHAnsi"/>
                <w:color w:val="000000"/>
                <w:sz w:val="20"/>
                <w:szCs w:val="20"/>
              </w:rPr>
            </w:pPr>
            <w:r w:rsidRPr="00252D7B">
              <w:rPr>
                <w:rFonts w:asciiTheme="minorHAnsi" w:hAnsiTheme="minorHAnsi" w:cstheme="minorHAnsi"/>
                <w:color w:val="000000"/>
                <w:sz w:val="20"/>
                <w:szCs w:val="20"/>
              </w:rPr>
              <w:t>Cargill Agrícola S.A. 01/2000</w:t>
            </w:r>
          </w:p>
        </w:tc>
        <w:tc>
          <w:tcPr>
            <w:tcW w:w="1135" w:type="pct"/>
            <w:tcBorders>
              <w:top w:val="nil"/>
              <w:left w:val="nil"/>
              <w:bottom w:val="nil"/>
              <w:right w:val="nil"/>
            </w:tcBorders>
            <w:shd w:val="clear" w:color="auto" w:fill="auto"/>
            <w:noWrap/>
            <w:vAlign w:val="center"/>
            <w:hideMark/>
          </w:tcPr>
          <w:p w14:paraId="63C46179" w14:textId="77777777" w:rsidR="0013173C" w:rsidRPr="00252D7B" w:rsidRDefault="0013173C" w:rsidP="00F6584E">
            <w:pPr>
              <w:jc w:val="center"/>
              <w:rPr>
                <w:rFonts w:asciiTheme="minorHAnsi" w:hAnsiTheme="minorHAnsi" w:cstheme="minorHAnsi"/>
                <w:color w:val="000000"/>
                <w:sz w:val="20"/>
                <w:szCs w:val="20"/>
              </w:rPr>
            </w:pPr>
            <w:r w:rsidRPr="00252D7B">
              <w:rPr>
                <w:rFonts w:asciiTheme="minorHAnsi" w:hAnsiTheme="minorHAnsi" w:cstheme="minorHAnsi"/>
                <w:color w:val="000000"/>
                <w:sz w:val="20"/>
                <w:szCs w:val="20"/>
              </w:rPr>
              <w:t>98</w:t>
            </w:r>
          </w:p>
        </w:tc>
        <w:tc>
          <w:tcPr>
            <w:tcW w:w="556" w:type="pct"/>
            <w:tcBorders>
              <w:top w:val="nil"/>
              <w:left w:val="nil"/>
              <w:bottom w:val="nil"/>
              <w:right w:val="nil"/>
            </w:tcBorders>
            <w:shd w:val="clear" w:color="auto" w:fill="auto"/>
            <w:noWrap/>
            <w:vAlign w:val="center"/>
            <w:hideMark/>
          </w:tcPr>
          <w:p w14:paraId="7FDC4D79"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1.713.173</w:t>
            </w:r>
          </w:p>
        </w:tc>
        <w:tc>
          <w:tcPr>
            <w:tcW w:w="556" w:type="pct"/>
            <w:tcBorders>
              <w:top w:val="nil"/>
              <w:left w:val="nil"/>
              <w:bottom w:val="nil"/>
              <w:right w:val="nil"/>
            </w:tcBorders>
            <w:shd w:val="clear" w:color="auto" w:fill="auto"/>
            <w:vAlign w:val="center"/>
            <w:hideMark/>
          </w:tcPr>
          <w:p w14:paraId="41951816"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1.922.950</w:t>
            </w:r>
          </w:p>
        </w:tc>
      </w:tr>
      <w:tr w:rsidR="0013173C" w:rsidRPr="00252D7B" w14:paraId="5C3ABECE" w14:textId="77777777" w:rsidTr="00F6584E">
        <w:trPr>
          <w:trHeight w:val="300"/>
        </w:trPr>
        <w:tc>
          <w:tcPr>
            <w:tcW w:w="2752" w:type="pct"/>
            <w:tcBorders>
              <w:top w:val="nil"/>
              <w:left w:val="nil"/>
              <w:bottom w:val="nil"/>
              <w:right w:val="nil"/>
            </w:tcBorders>
            <w:shd w:val="clear" w:color="auto" w:fill="auto"/>
            <w:noWrap/>
            <w:vAlign w:val="center"/>
            <w:hideMark/>
          </w:tcPr>
          <w:p w14:paraId="5049EF4A" w14:textId="77777777" w:rsidR="0013173C" w:rsidRPr="00252D7B" w:rsidRDefault="0013173C" w:rsidP="00F6584E">
            <w:pPr>
              <w:rPr>
                <w:rFonts w:asciiTheme="minorHAnsi" w:hAnsiTheme="minorHAnsi" w:cstheme="minorHAnsi"/>
                <w:color w:val="000000"/>
                <w:sz w:val="20"/>
                <w:szCs w:val="20"/>
              </w:rPr>
            </w:pPr>
            <w:r w:rsidRPr="00252D7B">
              <w:rPr>
                <w:rFonts w:asciiTheme="minorHAnsi" w:hAnsiTheme="minorHAnsi" w:cstheme="minorHAnsi"/>
                <w:color w:val="000000"/>
                <w:sz w:val="20"/>
                <w:szCs w:val="20"/>
              </w:rPr>
              <w:t>Norship Participações e Representações Comerciais LTDA 11/2011</w:t>
            </w:r>
          </w:p>
        </w:tc>
        <w:tc>
          <w:tcPr>
            <w:tcW w:w="1135" w:type="pct"/>
            <w:tcBorders>
              <w:top w:val="nil"/>
              <w:left w:val="nil"/>
              <w:bottom w:val="nil"/>
              <w:right w:val="nil"/>
            </w:tcBorders>
            <w:shd w:val="clear" w:color="auto" w:fill="auto"/>
            <w:noWrap/>
            <w:vAlign w:val="center"/>
            <w:hideMark/>
          </w:tcPr>
          <w:p w14:paraId="3F6DC6DF" w14:textId="77777777" w:rsidR="0013173C" w:rsidRPr="00252D7B" w:rsidRDefault="0013173C" w:rsidP="00F6584E">
            <w:pPr>
              <w:jc w:val="center"/>
              <w:rPr>
                <w:rFonts w:asciiTheme="minorHAnsi" w:hAnsiTheme="minorHAnsi" w:cstheme="minorHAnsi"/>
                <w:color w:val="000000"/>
                <w:sz w:val="20"/>
                <w:szCs w:val="20"/>
              </w:rPr>
            </w:pPr>
            <w:r w:rsidRPr="00252D7B">
              <w:rPr>
                <w:rFonts w:asciiTheme="minorHAnsi" w:hAnsiTheme="minorHAnsi" w:cstheme="minorHAnsi"/>
                <w:color w:val="000000"/>
                <w:sz w:val="20"/>
                <w:szCs w:val="20"/>
              </w:rPr>
              <w:t>51</w:t>
            </w:r>
          </w:p>
        </w:tc>
        <w:tc>
          <w:tcPr>
            <w:tcW w:w="556" w:type="pct"/>
            <w:tcBorders>
              <w:top w:val="nil"/>
              <w:left w:val="nil"/>
              <w:bottom w:val="nil"/>
              <w:right w:val="nil"/>
            </w:tcBorders>
            <w:shd w:val="clear" w:color="auto" w:fill="auto"/>
            <w:noWrap/>
            <w:vAlign w:val="center"/>
            <w:hideMark/>
          </w:tcPr>
          <w:p w14:paraId="71731C72"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131.873</w:t>
            </w:r>
          </w:p>
        </w:tc>
        <w:tc>
          <w:tcPr>
            <w:tcW w:w="556" w:type="pct"/>
            <w:tcBorders>
              <w:top w:val="nil"/>
              <w:left w:val="nil"/>
              <w:bottom w:val="nil"/>
              <w:right w:val="nil"/>
            </w:tcBorders>
            <w:shd w:val="clear" w:color="auto" w:fill="auto"/>
            <w:vAlign w:val="center"/>
            <w:hideMark/>
          </w:tcPr>
          <w:p w14:paraId="68172D89"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162.902</w:t>
            </w:r>
          </w:p>
        </w:tc>
      </w:tr>
      <w:tr w:rsidR="0013173C" w:rsidRPr="00252D7B" w14:paraId="292BF5A7" w14:textId="77777777" w:rsidTr="00F6584E">
        <w:trPr>
          <w:trHeight w:val="300"/>
        </w:trPr>
        <w:tc>
          <w:tcPr>
            <w:tcW w:w="2752" w:type="pct"/>
            <w:tcBorders>
              <w:top w:val="nil"/>
              <w:left w:val="nil"/>
              <w:bottom w:val="nil"/>
              <w:right w:val="nil"/>
            </w:tcBorders>
            <w:shd w:val="clear" w:color="auto" w:fill="auto"/>
            <w:noWrap/>
            <w:vAlign w:val="center"/>
            <w:hideMark/>
          </w:tcPr>
          <w:p w14:paraId="54B6BD1A" w14:textId="77777777" w:rsidR="0013173C" w:rsidRPr="00252D7B" w:rsidRDefault="0013173C" w:rsidP="00F6584E">
            <w:pPr>
              <w:rPr>
                <w:rFonts w:asciiTheme="minorHAnsi" w:hAnsiTheme="minorHAnsi" w:cstheme="minorHAnsi"/>
                <w:color w:val="000000"/>
                <w:sz w:val="20"/>
                <w:szCs w:val="20"/>
              </w:rPr>
            </w:pPr>
            <w:r w:rsidRPr="00252D7B">
              <w:rPr>
                <w:rFonts w:asciiTheme="minorHAnsi" w:hAnsiTheme="minorHAnsi" w:cstheme="minorHAnsi"/>
                <w:color w:val="000000"/>
                <w:sz w:val="20"/>
                <w:szCs w:val="20"/>
              </w:rPr>
              <w:t>Nova Agri - Estrutura de Armazenagem e Escoamento S.A. 40/2008</w:t>
            </w:r>
          </w:p>
        </w:tc>
        <w:tc>
          <w:tcPr>
            <w:tcW w:w="1135" w:type="pct"/>
            <w:tcBorders>
              <w:top w:val="nil"/>
              <w:left w:val="nil"/>
              <w:bottom w:val="nil"/>
              <w:right w:val="nil"/>
            </w:tcBorders>
            <w:shd w:val="clear" w:color="auto" w:fill="auto"/>
            <w:noWrap/>
            <w:vAlign w:val="center"/>
            <w:hideMark/>
          </w:tcPr>
          <w:p w14:paraId="0181673D" w14:textId="77777777" w:rsidR="0013173C" w:rsidRPr="00252D7B" w:rsidRDefault="0013173C" w:rsidP="00F6584E">
            <w:pPr>
              <w:jc w:val="center"/>
              <w:rPr>
                <w:rFonts w:asciiTheme="minorHAnsi" w:hAnsiTheme="minorHAnsi" w:cstheme="minorHAnsi"/>
                <w:color w:val="000000"/>
                <w:sz w:val="20"/>
                <w:szCs w:val="20"/>
              </w:rPr>
            </w:pPr>
            <w:r w:rsidRPr="00252D7B">
              <w:rPr>
                <w:rFonts w:asciiTheme="minorHAnsi" w:hAnsiTheme="minorHAnsi" w:cstheme="minorHAnsi"/>
                <w:color w:val="000000"/>
                <w:sz w:val="20"/>
                <w:szCs w:val="20"/>
              </w:rPr>
              <w:t>30</w:t>
            </w:r>
          </w:p>
        </w:tc>
        <w:tc>
          <w:tcPr>
            <w:tcW w:w="556" w:type="pct"/>
            <w:tcBorders>
              <w:top w:val="nil"/>
              <w:left w:val="nil"/>
              <w:bottom w:val="nil"/>
              <w:right w:val="nil"/>
            </w:tcBorders>
            <w:shd w:val="clear" w:color="auto" w:fill="auto"/>
            <w:noWrap/>
            <w:vAlign w:val="center"/>
            <w:hideMark/>
          </w:tcPr>
          <w:p w14:paraId="5C624C00"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55.938</w:t>
            </w:r>
          </w:p>
        </w:tc>
        <w:tc>
          <w:tcPr>
            <w:tcW w:w="556" w:type="pct"/>
            <w:tcBorders>
              <w:top w:val="nil"/>
              <w:left w:val="nil"/>
              <w:bottom w:val="nil"/>
              <w:right w:val="nil"/>
            </w:tcBorders>
            <w:shd w:val="clear" w:color="auto" w:fill="auto"/>
            <w:vAlign w:val="center"/>
            <w:hideMark/>
          </w:tcPr>
          <w:p w14:paraId="420A88B9"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78.314</w:t>
            </w:r>
          </w:p>
        </w:tc>
      </w:tr>
      <w:tr w:rsidR="0013173C" w:rsidRPr="00252D7B" w14:paraId="18D55DDA" w14:textId="77777777" w:rsidTr="00F6584E">
        <w:trPr>
          <w:trHeight w:val="300"/>
        </w:trPr>
        <w:tc>
          <w:tcPr>
            <w:tcW w:w="2752" w:type="pct"/>
            <w:tcBorders>
              <w:top w:val="nil"/>
              <w:left w:val="nil"/>
              <w:bottom w:val="nil"/>
              <w:right w:val="nil"/>
            </w:tcBorders>
            <w:shd w:val="clear" w:color="auto" w:fill="auto"/>
            <w:noWrap/>
            <w:vAlign w:val="center"/>
            <w:hideMark/>
          </w:tcPr>
          <w:p w14:paraId="167BD658" w14:textId="77777777" w:rsidR="0013173C" w:rsidRPr="00252D7B" w:rsidRDefault="0013173C" w:rsidP="00F6584E">
            <w:pPr>
              <w:rPr>
                <w:rFonts w:asciiTheme="minorHAnsi" w:hAnsiTheme="minorHAnsi" w:cstheme="minorHAnsi"/>
                <w:color w:val="000000"/>
                <w:sz w:val="20"/>
                <w:szCs w:val="20"/>
              </w:rPr>
            </w:pPr>
            <w:r w:rsidRPr="00252D7B">
              <w:rPr>
                <w:rFonts w:asciiTheme="minorHAnsi" w:hAnsiTheme="minorHAnsi" w:cstheme="minorHAnsi"/>
                <w:color w:val="000000"/>
                <w:sz w:val="20"/>
                <w:szCs w:val="20"/>
              </w:rPr>
              <w:t>Nova Agri - Estrutura de Armazenagem e Escoamento S.A. 07/2011</w:t>
            </w:r>
          </w:p>
        </w:tc>
        <w:tc>
          <w:tcPr>
            <w:tcW w:w="1135" w:type="pct"/>
            <w:tcBorders>
              <w:top w:val="nil"/>
              <w:left w:val="nil"/>
              <w:bottom w:val="nil"/>
              <w:right w:val="nil"/>
            </w:tcBorders>
            <w:shd w:val="clear" w:color="auto" w:fill="auto"/>
            <w:noWrap/>
            <w:vAlign w:val="center"/>
            <w:hideMark/>
          </w:tcPr>
          <w:p w14:paraId="27DABD2B" w14:textId="77777777" w:rsidR="0013173C" w:rsidRPr="00252D7B" w:rsidRDefault="0013173C" w:rsidP="00F6584E">
            <w:pPr>
              <w:jc w:val="center"/>
              <w:rPr>
                <w:rFonts w:asciiTheme="minorHAnsi" w:hAnsiTheme="minorHAnsi" w:cstheme="minorHAnsi"/>
                <w:color w:val="000000"/>
                <w:sz w:val="20"/>
                <w:szCs w:val="20"/>
              </w:rPr>
            </w:pPr>
            <w:r w:rsidRPr="00252D7B">
              <w:rPr>
                <w:rFonts w:asciiTheme="minorHAnsi" w:hAnsiTheme="minorHAnsi" w:cstheme="minorHAnsi"/>
                <w:color w:val="000000"/>
                <w:sz w:val="20"/>
                <w:szCs w:val="20"/>
              </w:rPr>
              <w:t>52</w:t>
            </w:r>
          </w:p>
        </w:tc>
        <w:tc>
          <w:tcPr>
            <w:tcW w:w="556" w:type="pct"/>
            <w:tcBorders>
              <w:top w:val="nil"/>
              <w:left w:val="nil"/>
              <w:bottom w:val="nil"/>
              <w:right w:val="nil"/>
            </w:tcBorders>
            <w:shd w:val="clear" w:color="auto" w:fill="auto"/>
            <w:noWrap/>
            <w:vAlign w:val="center"/>
            <w:hideMark/>
          </w:tcPr>
          <w:p w14:paraId="0D97F43D"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150.427</w:t>
            </w:r>
          </w:p>
        </w:tc>
        <w:tc>
          <w:tcPr>
            <w:tcW w:w="556" w:type="pct"/>
            <w:tcBorders>
              <w:top w:val="nil"/>
              <w:left w:val="nil"/>
              <w:bottom w:val="nil"/>
              <w:right w:val="nil"/>
            </w:tcBorders>
            <w:shd w:val="clear" w:color="auto" w:fill="auto"/>
            <w:vAlign w:val="center"/>
            <w:hideMark/>
          </w:tcPr>
          <w:p w14:paraId="198184EE"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185.142</w:t>
            </w:r>
          </w:p>
        </w:tc>
      </w:tr>
      <w:tr w:rsidR="0013173C" w:rsidRPr="00252D7B" w14:paraId="1BA89E52" w14:textId="77777777" w:rsidTr="00F6584E">
        <w:trPr>
          <w:trHeight w:val="300"/>
        </w:trPr>
        <w:tc>
          <w:tcPr>
            <w:tcW w:w="2752" w:type="pct"/>
            <w:tcBorders>
              <w:top w:val="nil"/>
              <w:left w:val="nil"/>
              <w:bottom w:val="nil"/>
              <w:right w:val="nil"/>
            </w:tcBorders>
            <w:shd w:val="clear" w:color="auto" w:fill="auto"/>
            <w:noWrap/>
            <w:vAlign w:val="center"/>
            <w:hideMark/>
          </w:tcPr>
          <w:p w14:paraId="4C7E414C" w14:textId="77777777" w:rsidR="0013173C" w:rsidRPr="00252D7B" w:rsidRDefault="0013173C" w:rsidP="00F6584E">
            <w:pPr>
              <w:rPr>
                <w:rFonts w:asciiTheme="minorHAnsi" w:hAnsiTheme="minorHAnsi" w:cstheme="minorHAnsi"/>
                <w:color w:val="000000"/>
                <w:sz w:val="20"/>
                <w:szCs w:val="20"/>
              </w:rPr>
            </w:pPr>
            <w:r w:rsidRPr="00252D7B">
              <w:rPr>
                <w:rFonts w:asciiTheme="minorHAnsi" w:hAnsiTheme="minorHAnsi" w:cstheme="minorHAnsi"/>
                <w:color w:val="000000"/>
                <w:sz w:val="20"/>
                <w:szCs w:val="20"/>
              </w:rPr>
              <w:t>Nova Agri - Estrutura de Armazenagem e Escoamento S.A. 25/2012</w:t>
            </w:r>
          </w:p>
        </w:tc>
        <w:tc>
          <w:tcPr>
            <w:tcW w:w="1135" w:type="pct"/>
            <w:tcBorders>
              <w:top w:val="nil"/>
              <w:left w:val="nil"/>
              <w:bottom w:val="nil"/>
              <w:right w:val="nil"/>
            </w:tcBorders>
            <w:shd w:val="clear" w:color="auto" w:fill="auto"/>
            <w:noWrap/>
            <w:vAlign w:val="center"/>
            <w:hideMark/>
          </w:tcPr>
          <w:p w14:paraId="229BD6EE" w14:textId="77777777" w:rsidR="0013173C" w:rsidRPr="00252D7B" w:rsidRDefault="0013173C" w:rsidP="00F6584E">
            <w:pPr>
              <w:jc w:val="center"/>
              <w:rPr>
                <w:rFonts w:asciiTheme="minorHAnsi" w:hAnsiTheme="minorHAnsi" w:cstheme="minorHAnsi"/>
                <w:color w:val="000000"/>
                <w:sz w:val="20"/>
                <w:szCs w:val="20"/>
              </w:rPr>
            </w:pPr>
            <w:r w:rsidRPr="00252D7B">
              <w:rPr>
                <w:rFonts w:asciiTheme="minorHAnsi" w:hAnsiTheme="minorHAnsi" w:cstheme="minorHAnsi"/>
                <w:color w:val="000000"/>
                <w:sz w:val="20"/>
                <w:szCs w:val="20"/>
              </w:rPr>
              <w:t>69</w:t>
            </w:r>
          </w:p>
        </w:tc>
        <w:tc>
          <w:tcPr>
            <w:tcW w:w="556" w:type="pct"/>
            <w:tcBorders>
              <w:top w:val="nil"/>
              <w:left w:val="nil"/>
              <w:bottom w:val="nil"/>
              <w:right w:val="nil"/>
            </w:tcBorders>
            <w:shd w:val="clear" w:color="auto" w:fill="auto"/>
            <w:noWrap/>
            <w:vAlign w:val="center"/>
            <w:hideMark/>
          </w:tcPr>
          <w:p w14:paraId="4F912587"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766.669</w:t>
            </w:r>
          </w:p>
        </w:tc>
        <w:tc>
          <w:tcPr>
            <w:tcW w:w="556" w:type="pct"/>
            <w:tcBorders>
              <w:top w:val="nil"/>
              <w:left w:val="nil"/>
              <w:bottom w:val="nil"/>
              <w:right w:val="nil"/>
            </w:tcBorders>
            <w:shd w:val="clear" w:color="auto" w:fill="auto"/>
            <w:vAlign w:val="center"/>
            <w:hideMark/>
          </w:tcPr>
          <w:p w14:paraId="0E59874F"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900.003</w:t>
            </w:r>
          </w:p>
        </w:tc>
      </w:tr>
      <w:tr w:rsidR="0013173C" w:rsidRPr="00252D7B" w14:paraId="184CFE41" w14:textId="77777777" w:rsidTr="00F6584E">
        <w:trPr>
          <w:trHeight w:val="300"/>
        </w:trPr>
        <w:tc>
          <w:tcPr>
            <w:tcW w:w="2752" w:type="pct"/>
            <w:tcBorders>
              <w:top w:val="nil"/>
              <w:left w:val="nil"/>
              <w:bottom w:val="nil"/>
              <w:right w:val="nil"/>
            </w:tcBorders>
            <w:shd w:val="clear" w:color="auto" w:fill="auto"/>
            <w:noWrap/>
            <w:vAlign w:val="center"/>
            <w:hideMark/>
          </w:tcPr>
          <w:p w14:paraId="2ECE613E" w14:textId="77777777" w:rsidR="0013173C" w:rsidRPr="00252D7B" w:rsidRDefault="0013173C" w:rsidP="00F6584E">
            <w:pPr>
              <w:rPr>
                <w:rFonts w:asciiTheme="minorHAnsi" w:hAnsiTheme="minorHAnsi" w:cstheme="minorHAnsi"/>
                <w:color w:val="000000"/>
                <w:sz w:val="20"/>
                <w:szCs w:val="20"/>
              </w:rPr>
            </w:pPr>
            <w:r w:rsidRPr="00252D7B">
              <w:rPr>
                <w:rFonts w:asciiTheme="minorHAnsi" w:hAnsiTheme="minorHAnsi" w:cstheme="minorHAnsi"/>
                <w:color w:val="000000"/>
                <w:sz w:val="20"/>
                <w:szCs w:val="20"/>
              </w:rPr>
              <w:t>Consórcio Pedro Afonso – Bunge S.A. 38/2010</w:t>
            </w:r>
          </w:p>
        </w:tc>
        <w:tc>
          <w:tcPr>
            <w:tcW w:w="1135" w:type="pct"/>
            <w:tcBorders>
              <w:top w:val="nil"/>
              <w:left w:val="nil"/>
              <w:bottom w:val="nil"/>
              <w:right w:val="nil"/>
            </w:tcBorders>
            <w:shd w:val="clear" w:color="auto" w:fill="auto"/>
            <w:noWrap/>
            <w:vAlign w:val="center"/>
            <w:hideMark/>
          </w:tcPr>
          <w:p w14:paraId="3E755CDE" w14:textId="77777777" w:rsidR="0013173C" w:rsidRPr="00252D7B" w:rsidRDefault="0013173C" w:rsidP="00F6584E">
            <w:pPr>
              <w:jc w:val="center"/>
              <w:rPr>
                <w:rFonts w:asciiTheme="minorHAnsi" w:hAnsiTheme="minorHAnsi" w:cstheme="minorHAnsi"/>
                <w:color w:val="000000"/>
                <w:sz w:val="20"/>
                <w:szCs w:val="20"/>
              </w:rPr>
            </w:pPr>
            <w:r w:rsidRPr="00252D7B">
              <w:rPr>
                <w:rFonts w:asciiTheme="minorHAnsi" w:hAnsiTheme="minorHAnsi" w:cstheme="minorHAnsi"/>
                <w:color w:val="000000"/>
                <w:sz w:val="20"/>
                <w:szCs w:val="20"/>
              </w:rPr>
              <w:t>41</w:t>
            </w:r>
          </w:p>
        </w:tc>
        <w:tc>
          <w:tcPr>
            <w:tcW w:w="556" w:type="pct"/>
            <w:tcBorders>
              <w:top w:val="nil"/>
              <w:left w:val="nil"/>
              <w:bottom w:val="nil"/>
              <w:right w:val="nil"/>
            </w:tcBorders>
            <w:shd w:val="clear" w:color="auto" w:fill="auto"/>
            <w:noWrap/>
            <w:vAlign w:val="center"/>
            <w:hideMark/>
          </w:tcPr>
          <w:p w14:paraId="37788638"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69.512</w:t>
            </w:r>
          </w:p>
        </w:tc>
        <w:tc>
          <w:tcPr>
            <w:tcW w:w="556" w:type="pct"/>
            <w:tcBorders>
              <w:top w:val="nil"/>
              <w:left w:val="nil"/>
              <w:bottom w:val="nil"/>
              <w:right w:val="nil"/>
            </w:tcBorders>
            <w:shd w:val="clear" w:color="auto" w:fill="auto"/>
            <w:vAlign w:val="center"/>
            <w:hideMark/>
          </w:tcPr>
          <w:p w14:paraId="25C1D675"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89.372</w:t>
            </w:r>
          </w:p>
        </w:tc>
      </w:tr>
      <w:tr w:rsidR="0013173C" w:rsidRPr="00252D7B" w14:paraId="26929C0B" w14:textId="77777777" w:rsidTr="00F6584E">
        <w:trPr>
          <w:trHeight w:val="300"/>
        </w:trPr>
        <w:tc>
          <w:tcPr>
            <w:tcW w:w="2752" w:type="pct"/>
            <w:tcBorders>
              <w:top w:val="nil"/>
              <w:left w:val="nil"/>
              <w:bottom w:val="nil"/>
              <w:right w:val="nil"/>
            </w:tcBorders>
            <w:shd w:val="clear" w:color="auto" w:fill="auto"/>
            <w:noWrap/>
            <w:vAlign w:val="center"/>
            <w:hideMark/>
          </w:tcPr>
          <w:p w14:paraId="5CC2BC7C" w14:textId="77777777" w:rsidR="0013173C" w:rsidRPr="00252D7B" w:rsidRDefault="0013173C" w:rsidP="00F6584E">
            <w:pPr>
              <w:rPr>
                <w:rFonts w:asciiTheme="minorHAnsi" w:hAnsiTheme="minorHAnsi" w:cstheme="minorHAnsi"/>
                <w:color w:val="000000"/>
                <w:sz w:val="20"/>
                <w:szCs w:val="20"/>
              </w:rPr>
            </w:pPr>
            <w:r w:rsidRPr="00252D7B">
              <w:rPr>
                <w:rFonts w:asciiTheme="minorHAnsi" w:hAnsiTheme="minorHAnsi" w:cstheme="minorHAnsi"/>
                <w:color w:val="000000"/>
                <w:sz w:val="20"/>
                <w:szCs w:val="20"/>
              </w:rPr>
              <w:t>Consórcio Pedro Afonso – Bunge S.A. 39/2010</w:t>
            </w:r>
          </w:p>
        </w:tc>
        <w:tc>
          <w:tcPr>
            <w:tcW w:w="1135" w:type="pct"/>
            <w:tcBorders>
              <w:top w:val="nil"/>
              <w:left w:val="nil"/>
              <w:bottom w:val="nil"/>
              <w:right w:val="nil"/>
            </w:tcBorders>
            <w:shd w:val="clear" w:color="auto" w:fill="auto"/>
            <w:noWrap/>
            <w:vAlign w:val="center"/>
            <w:hideMark/>
          </w:tcPr>
          <w:p w14:paraId="35C5B5B7" w14:textId="77777777" w:rsidR="0013173C" w:rsidRPr="00252D7B" w:rsidRDefault="0013173C" w:rsidP="00F6584E">
            <w:pPr>
              <w:jc w:val="center"/>
              <w:rPr>
                <w:rFonts w:asciiTheme="minorHAnsi" w:hAnsiTheme="minorHAnsi" w:cstheme="minorHAnsi"/>
                <w:color w:val="000000"/>
                <w:sz w:val="20"/>
                <w:szCs w:val="20"/>
              </w:rPr>
            </w:pPr>
            <w:r w:rsidRPr="00252D7B">
              <w:rPr>
                <w:rFonts w:asciiTheme="minorHAnsi" w:hAnsiTheme="minorHAnsi" w:cstheme="minorHAnsi"/>
                <w:color w:val="000000"/>
                <w:sz w:val="20"/>
                <w:szCs w:val="20"/>
              </w:rPr>
              <w:t>41</w:t>
            </w:r>
          </w:p>
        </w:tc>
        <w:tc>
          <w:tcPr>
            <w:tcW w:w="556" w:type="pct"/>
            <w:tcBorders>
              <w:top w:val="nil"/>
              <w:left w:val="nil"/>
              <w:bottom w:val="nil"/>
              <w:right w:val="nil"/>
            </w:tcBorders>
            <w:shd w:val="clear" w:color="auto" w:fill="auto"/>
            <w:noWrap/>
            <w:vAlign w:val="center"/>
            <w:hideMark/>
          </w:tcPr>
          <w:p w14:paraId="7CD9110F"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69.512</w:t>
            </w:r>
          </w:p>
        </w:tc>
        <w:tc>
          <w:tcPr>
            <w:tcW w:w="556" w:type="pct"/>
            <w:tcBorders>
              <w:top w:val="nil"/>
              <w:left w:val="nil"/>
              <w:bottom w:val="nil"/>
              <w:right w:val="nil"/>
            </w:tcBorders>
            <w:shd w:val="clear" w:color="auto" w:fill="auto"/>
            <w:vAlign w:val="center"/>
            <w:hideMark/>
          </w:tcPr>
          <w:p w14:paraId="2E7055A6"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89.372</w:t>
            </w:r>
          </w:p>
        </w:tc>
      </w:tr>
      <w:tr w:rsidR="0013173C" w:rsidRPr="00252D7B" w14:paraId="79F5F385" w14:textId="77777777" w:rsidTr="00F6584E">
        <w:trPr>
          <w:trHeight w:val="300"/>
        </w:trPr>
        <w:tc>
          <w:tcPr>
            <w:tcW w:w="2752" w:type="pct"/>
            <w:tcBorders>
              <w:top w:val="nil"/>
              <w:left w:val="nil"/>
              <w:bottom w:val="nil"/>
              <w:right w:val="nil"/>
            </w:tcBorders>
            <w:shd w:val="clear" w:color="auto" w:fill="auto"/>
            <w:noWrap/>
            <w:vAlign w:val="center"/>
            <w:hideMark/>
          </w:tcPr>
          <w:p w14:paraId="61792A8F" w14:textId="77777777" w:rsidR="0013173C" w:rsidRPr="00252D7B" w:rsidRDefault="0013173C" w:rsidP="00F6584E">
            <w:pPr>
              <w:rPr>
                <w:rFonts w:asciiTheme="minorHAnsi" w:hAnsiTheme="minorHAnsi" w:cstheme="minorHAnsi"/>
                <w:color w:val="000000"/>
                <w:sz w:val="20"/>
                <w:szCs w:val="20"/>
              </w:rPr>
            </w:pPr>
            <w:r w:rsidRPr="00252D7B">
              <w:rPr>
                <w:rFonts w:asciiTheme="minorHAnsi" w:hAnsiTheme="minorHAnsi" w:cstheme="minorHAnsi"/>
                <w:color w:val="000000"/>
                <w:sz w:val="20"/>
                <w:szCs w:val="20"/>
              </w:rPr>
              <w:t>Petrobras Distribuidora S.A. 08/2011</w:t>
            </w:r>
          </w:p>
        </w:tc>
        <w:tc>
          <w:tcPr>
            <w:tcW w:w="1135" w:type="pct"/>
            <w:tcBorders>
              <w:top w:val="nil"/>
              <w:left w:val="nil"/>
              <w:bottom w:val="nil"/>
              <w:right w:val="nil"/>
            </w:tcBorders>
            <w:shd w:val="clear" w:color="auto" w:fill="auto"/>
            <w:noWrap/>
            <w:vAlign w:val="center"/>
            <w:hideMark/>
          </w:tcPr>
          <w:p w14:paraId="0062A49E" w14:textId="77777777" w:rsidR="0013173C" w:rsidRPr="00252D7B" w:rsidRDefault="0013173C" w:rsidP="00F6584E">
            <w:pPr>
              <w:jc w:val="center"/>
              <w:rPr>
                <w:rFonts w:asciiTheme="minorHAnsi" w:hAnsiTheme="minorHAnsi" w:cstheme="minorHAnsi"/>
                <w:color w:val="000000"/>
                <w:sz w:val="20"/>
                <w:szCs w:val="20"/>
              </w:rPr>
            </w:pPr>
            <w:r w:rsidRPr="00252D7B">
              <w:rPr>
                <w:rFonts w:asciiTheme="minorHAnsi" w:hAnsiTheme="minorHAnsi" w:cstheme="minorHAnsi"/>
                <w:color w:val="000000"/>
                <w:sz w:val="20"/>
                <w:szCs w:val="20"/>
              </w:rPr>
              <w:t>52</w:t>
            </w:r>
          </w:p>
        </w:tc>
        <w:tc>
          <w:tcPr>
            <w:tcW w:w="556" w:type="pct"/>
            <w:tcBorders>
              <w:top w:val="nil"/>
              <w:left w:val="nil"/>
              <w:bottom w:val="nil"/>
              <w:right w:val="nil"/>
            </w:tcBorders>
            <w:shd w:val="clear" w:color="auto" w:fill="auto"/>
            <w:noWrap/>
            <w:vAlign w:val="center"/>
            <w:hideMark/>
          </w:tcPr>
          <w:p w14:paraId="6351EDC1"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468.289</w:t>
            </w:r>
          </w:p>
        </w:tc>
        <w:tc>
          <w:tcPr>
            <w:tcW w:w="556" w:type="pct"/>
            <w:tcBorders>
              <w:top w:val="nil"/>
              <w:left w:val="nil"/>
              <w:bottom w:val="nil"/>
              <w:right w:val="nil"/>
            </w:tcBorders>
            <w:shd w:val="clear" w:color="auto" w:fill="auto"/>
            <w:vAlign w:val="center"/>
            <w:hideMark/>
          </w:tcPr>
          <w:p w14:paraId="591AF355"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576.356</w:t>
            </w:r>
          </w:p>
        </w:tc>
      </w:tr>
      <w:tr w:rsidR="0013173C" w:rsidRPr="00252D7B" w14:paraId="7DB10029" w14:textId="77777777" w:rsidTr="00F6584E">
        <w:trPr>
          <w:trHeight w:val="300"/>
        </w:trPr>
        <w:tc>
          <w:tcPr>
            <w:tcW w:w="2752" w:type="pct"/>
            <w:tcBorders>
              <w:top w:val="nil"/>
              <w:left w:val="nil"/>
              <w:bottom w:val="nil"/>
              <w:right w:val="nil"/>
            </w:tcBorders>
            <w:shd w:val="clear" w:color="auto" w:fill="auto"/>
            <w:noWrap/>
            <w:vAlign w:val="center"/>
            <w:hideMark/>
          </w:tcPr>
          <w:p w14:paraId="6B8C27E1" w14:textId="77777777" w:rsidR="0013173C" w:rsidRPr="00252D7B" w:rsidRDefault="0013173C" w:rsidP="00F6584E">
            <w:pPr>
              <w:rPr>
                <w:rFonts w:asciiTheme="minorHAnsi" w:hAnsiTheme="minorHAnsi" w:cstheme="minorHAnsi"/>
                <w:color w:val="000000"/>
                <w:sz w:val="20"/>
                <w:szCs w:val="20"/>
              </w:rPr>
            </w:pPr>
            <w:r w:rsidRPr="00252D7B">
              <w:rPr>
                <w:rFonts w:asciiTheme="minorHAnsi" w:hAnsiTheme="minorHAnsi" w:cstheme="minorHAnsi"/>
                <w:color w:val="000000"/>
                <w:sz w:val="20"/>
                <w:szCs w:val="20"/>
              </w:rPr>
              <w:t>Porto Seco Centro Oeste S.A. 13/2016</w:t>
            </w:r>
          </w:p>
        </w:tc>
        <w:tc>
          <w:tcPr>
            <w:tcW w:w="1135" w:type="pct"/>
            <w:tcBorders>
              <w:top w:val="nil"/>
              <w:left w:val="nil"/>
              <w:bottom w:val="nil"/>
              <w:right w:val="nil"/>
            </w:tcBorders>
            <w:shd w:val="clear" w:color="auto" w:fill="auto"/>
            <w:noWrap/>
            <w:vAlign w:val="center"/>
            <w:hideMark/>
          </w:tcPr>
          <w:p w14:paraId="7AE2D899" w14:textId="77777777" w:rsidR="0013173C" w:rsidRPr="00252D7B" w:rsidRDefault="0013173C" w:rsidP="00F6584E">
            <w:pPr>
              <w:jc w:val="center"/>
              <w:rPr>
                <w:rFonts w:asciiTheme="minorHAnsi" w:hAnsiTheme="minorHAnsi" w:cstheme="minorHAnsi"/>
                <w:color w:val="000000"/>
                <w:sz w:val="20"/>
                <w:szCs w:val="20"/>
              </w:rPr>
            </w:pPr>
            <w:r w:rsidRPr="00252D7B">
              <w:rPr>
                <w:rFonts w:asciiTheme="minorHAnsi" w:hAnsiTheme="minorHAnsi" w:cstheme="minorHAnsi"/>
                <w:color w:val="000000"/>
                <w:sz w:val="20"/>
                <w:szCs w:val="20"/>
              </w:rPr>
              <w:t>293</w:t>
            </w:r>
          </w:p>
        </w:tc>
        <w:tc>
          <w:tcPr>
            <w:tcW w:w="556" w:type="pct"/>
            <w:tcBorders>
              <w:top w:val="nil"/>
              <w:left w:val="nil"/>
              <w:bottom w:val="nil"/>
              <w:right w:val="nil"/>
            </w:tcBorders>
            <w:shd w:val="clear" w:color="auto" w:fill="auto"/>
            <w:noWrap/>
            <w:vAlign w:val="center"/>
            <w:hideMark/>
          </w:tcPr>
          <w:p w14:paraId="6B9C5B24"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7.813.333</w:t>
            </w:r>
          </w:p>
        </w:tc>
        <w:tc>
          <w:tcPr>
            <w:tcW w:w="556" w:type="pct"/>
            <w:tcBorders>
              <w:top w:val="nil"/>
              <w:left w:val="nil"/>
              <w:bottom w:val="nil"/>
              <w:right w:val="nil"/>
            </w:tcBorders>
            <w:shd w:val="clear" w:color="auto" w:fill="auto"/>
            <w:vAlign w:val="center"/>
            <w:hideMark/>
          </w:tcPr>
          <w:p w14:paraId="68617421"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8.133.333</w:t>
            </w:r>
          </w:p>
        </w:tc>
      </w:tr>
      <w:tr w:rsidR="0013173C" w:rsidRPr="00252D7B" w14:paraId="2776A5F3" w14:textId="77777777" w:rsidTr="00F6584E">
        <w:trPr>
          <w:trHeight w:val="300"/>
        </w:trPr>
        <w:tc>
          <w:tcPr>
            <w:tcW w:w="2752" w:type="pct"/>
            <w:tcBorders>
              <w:top w:val="nil"/>
              <w:left w:val="nil"/>
              <w:bottom w:val="nil"/>
              <w:right w:val="nil"/>
            </w:tcBorders>
            <w:shd w:val="clear" w:color="auto" w:fill="auto"/>
            <w:noWrap/>
            <w:vAlign w:val="center"/>
            <w:hideMark/>
          </w:tcPr>
          <w:p w14:paraId="0A600D7F" w14:textId="77777777" w:rsidR="0013173C" w:rsidRPr="00252D7B" w:rsidRDefault="0013173C" w:rsidP="00F6584E">
            <w:pPr>
              <w:rPr>
                <w:rFonts w:asciiTheme="minorHAnsi" w:hAnsiTheme="minorHAnsi" w:cstheme="minorHAnsi"/>
                <w:color w:val="000000"/>
                <w:sz w:val="20"/>
                <w:szCs w:val="20"/>
              </w:rPr>
            </w:pPr>
            <w:r w:rsidRPr="00252D7B">
              <w:rPr>
                <w:rFonts w:asciiTheme="minorHAnsi" w:hAnsiTheme="minorHAnsi" w:cstheme="minorHAnsi"/>
                <w:color w:val="000000"/>
                <w:sz w:val="20"/>
                <w:szCs w:val="20"/>
              </w:rPr>
              <w:t>Raízen Combustíveis S.A. 10/2011</w:t>
            </w:r>
          </w:p>
        </w:tc>
        <w:tc>
          <w:tcPr>
            <w:tcW w:w="1135" w:type="pct"/>
            <w:tcBorders>
              <w:top w:val="nil"/>
              <w:left w:val="nil"/>
              <w:bottom w:val="nil"/>
              <w:right w:val="nil"/>
            </w:tcBorders>
            <w:shd w:val="clear" w:color="auto" w:fill="auto"/>
            <w:noWrap/>
            <w:vAlign w:val="center"/>
            <w:hideMark/>
          </w:tcPr>
          <w:p w14:paraId="21F28A7E" w14:textId="77777777" w:rsidR="0013173C" w:rsidRPr="00252D7B" w:rsidRDefault="0013173C" w:rsidP="00F6584E">
            <w:pPr>
              <w:jc w:val="center"/>
              <w:rPr>
                <w:rFonts w:asciiTheme="minorHAnsi" w:hAnsiTheme="minorHAnsi" w:cstheme="minorHAnsi"/>
                <w:color w:val="000000"/>
                <w:sz w:val="20"/>
                <w:szCs w:val="20"/>
              </w:rPr>
            </w:pPr>
            <w:r w:rsidRPr="00252D7B">
              <w:rPr>
                <w:rFonts w:asciiTheme="minorHAnsi" w:hAnsiTheme="minorHAnsi" w:cstheme="minorHAnsi"/>
                <w:color w:val="000000"/>
                <w:sz w:val="20"/>
                <w:szCs w:val="20"/>
              </w:rPr>
              <w:t>51</w:t>
            </w:r>
          </w:p>
        </w:tc>
        <w:tc>
          <w:tcPr>
            <w:tcW w:w="556" w:type="pct"/>
            <w:tcBorders>
              <w:top w:val="nil"/>
              <w:left w:val="nil"/>
              <w:bottom w:val="nil"/>
              <w:right w:val="nil"/>
            </w:tcBorders>
            <w:shd w:val="clear" w:color="auto" w:fill="auto"/>
            <w:noWrap/>
            <w:vAlign w:val="center"/>
            <w:hideMark/>
          </w:tcPr>
          <w:p w14:paraId="70B7D6F1"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291.778</w:t>
            </w:r>
          </w:p>
        </w:tc>
        <w:tc>
          <w:tcPr>
            <w:tcW w:w="556" w:type="pct"/>
            <w:tcBorders>
              <w:top w:val="nil"/>
              <w:left w:val="nil"/>
              <w:bottom w:val="nil"/>
              <w:right w:val="nil"/>
            </w:tcBorders>
            <w:shd w:val="clear" w:color="auto" w:fill="auto"/>
            <w:vAlign w:val="center"/>
            <w:hideMark/>
          </w:tcPr>
          <w:p w14:paraId="57BDCD37"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359.111</w:t>
            </w:r>
          </w:p>
        </w:tc>
      </w:tr>
      <w:tr w:rsidR="0013173C" w:rsidRPr="00252D7B" w14:paraId="79E1B2C6" w14:textId="77777777" w:rsidTr="00F6584E">
        <w:trPr>
          <w:trHeight w:val="300"/>
        </w:trPr>
        <w:tc>
          <w:tcPr>
            <w:tcW w:w="2752" w:type="pct"/>
            <w:tcBorders>
              <w:top w:val="nil"/>
              <w:left w:val="nil"/>
              <w:bottom w:val="nil"/>
              <w:right w:val="nil"/>
            </w:tcBorders>
            <w:shd w:val="clear" w:color="auto" w:fill="auto"/>
            <w:noWrap/>
            <w:vAlign w:val="center"/>
            <w:hideMark/>
          </w:tcPr>
          <w:p w14:paraId="0DC9357F" w14:textId="77777777" w:rsidR="0013173C" w:rsidRPr="00252D7B" w:rsidRDefault="0013173C" w:rsidP="00F6584E">
            <w:pPr>
              <w:rPr>
                <w:rFonts w:asciiTheme="minorHAnsi" w:hAnsiTheme="minorHAnsi" w:cstheme="minorHAnsi"/>
                <w:color w:val="000000"/>
                <w:sz w:val="20"/>
                <w:szCs w:val="20"/>
              </w:rPr>
            </w:pPr>
            <w:r w:rsidRPr="00252D7B">
              <w:rPr>
                <w:rFonts w:asciiTheme="minorHAnsi" w:hAnsiTheme="minorHAnsi" w:cstheme="minorHAnsi"/>
                <w:color w:val="000000"/>
                <w:sz w:val="20"/>
                <w:szCs w:val="20"/>
              </w:rPr>
              <w:t>Renova Biodiesel 13/2007</w:t>
            </w:r>
          </w:p>
        </w:tc>
        <w:tc>
          <w:tcPr>
            <w:tcW w:w="1135" w:type="pct"/>
            <w:tcBorders>
              <w:top w:val="nil"/>
              <w:left w:val="nil"/>
              <w:bottom w:val="nil"/>
              <w:right w:val="nil"/>
            </w:tcBorders>
            <w:shd w:val="clear" w:color="auto" w:fill="auto"/>
            <w:noWrap/>
            <w:vAlign w:val="center"/>
            <w:hideMark/>
          </w:tcPr>
          <w:p w14:paraId="7B15F0EC" w14:textId="77777777" w:rsidR="0013173C" w:rsidRPr="00252D7B" w:rsidRDefault="0013173C" w:rsidP="00F6584E">
            <w:pPr>
              <w:jc w:val="center"/>
              <w:rPr>
                <w:rFonts w:asciiTheme="minorHAnsi" w:hAnsiTheme="minorHAnsi" w:cstheme="minorHAnsi"/>
                <w:color w:val="000000"/>
                <w:sz w:val="20"/>
                <w:szCs w:val="20"/>
              </w:rPr>
            </w:pPr>
            <w:r w:rsidRPr="00252D7B">
              <w:rPr>
                <w:rFonts w:asciiTheme="minorHAnsi" w:hAnsiTheme="minorHAnsi" w:cstheme="minorHAnsi"/>
                <w:color w:val="000000"/>
                <w:sz w:val="20"/>
                <w:szCs w:val="20"/>
              </w:rPr>
              <w:t>5</w:t>
            </w:r>
          </w:p>
        </w:tc>
        <w:tc>
          <w:tcPr>
            <w:tcW w:w="556" w:type="pct"/>
            <w:tcBorders>
              <w:top w:val="nil"/>
              <w:left w:val="nil"/>
              <w:bottom w:val="nil"/>
              <w:right w:val="nil"/>
            </w:tcBorders>
            <w:shd w:val="clear" w:color="auto" w:fill="auto"/>
            <w:noWrap/>
            <w:vAlign w:val="center"/>
            <w:hideMark/>
          </w:tcPr>
          <w:p w14:paraId="13C878E3"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556" w:type="pct"/>
            <w:tcBorders>
              <w:top w:val="nil"/>
              <w:left w:val="nil"/>
              <w:bottom w:val="nil"/>
              <w:right w:val="nil"/>
            </w:tcBorders>
            <w:shd w:val="clear" w:color="auto" w:fill="auto"/>
            <w:vAlign w:val="center"/>
            <w:hideMark/>
          </w:tcPr>
          <w:p w14:paraId="0CD2465A"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13.800</w:t>
            </w:r>
          </w:p>
        </w:tc>
      </w:tr>
      <w:tr w:rsidR="0013173C" w:rsidRPr="00252D7B" w14:paraId="5A71E349" w14:textId="77777777" w:rsidTr="00F6584E">
        <w:trPr>
          <w:trHeight w:val="300"/>
        </w:trPr>
        <w:tc>
          <w:tcPr>
            <w:tcW w:w="2752" w:type="pct"/>
            <w:tcBorders>
              <w:top w:val="nil"/>
              <w:left w:val="nil"/>
              <w:bottom w:val="nil"/>
              <w:right w:val="nil"/>
            </w:tcBorders>
            <w:shd w:val="clear" w:color="auto" w:fill="auto"/>
            <w:noWrap/>
            <w:vAlign w:val="center"/>
            <w:hideMark/>
          </w:tcPr>
          <w:p w14:paraId="62944C17" w14:textId="77777777" w:rsidR="0013173C" w:rsidRPr="00252D7B" w:rsidRDefault="0013173C" w:rsidP="00F6584E">
            <w:pPr>
              <w:rPr>
                <w:rFonts w:asciiTheme="minorHAnsi" w:hAnsiTheme="minorHAnsi" w:cstheme="minorHAnsi"/>
                <w:color w:val="000000"/>
                <w:sz w:val="20"/>
                <w:szCs w:val="20"/>
              </w:rPr>
            </w:pPr>
            <w:r w:rsidRPr="00252D7B">
              <w:rPr>
                <w:rFonts w:asciiTheme="minorHAnsi" w:hAnsiTheme="minorHAnsi" w:cstheme="minorHAnsi"/>
                <w:color w:val="000000"/>
                <w:sz w:val="20"/>
                <w:szCs w:val="20"/>
              </w:rPr>
              <w:t>Distribuidora Tabocão 40 /2010</w:t>
            </w:r>
          </w:p>
        </w:tc>
        <w:tc>
          <w:tcPr>
            <w:tcW w:w="1135" w:type="pct"/>
            <w:tcBorders>
              <w:top w:val="nil"/>
              <w:left w:val="nil"/>
              <w:bottom w:val="nil"/>
              <w:right w:val="nil"/>
            </w:tcBorders>
            <w:shd w:val="clear" w:color="auto" w:fill="auto"/>
            <w:noWrap/>
            <w:vAlign w:val="center"/>
            <w:hideMark/>
          </w:tcPr>
          <w:p w14:paraId="6E37F96D" w14:textId="77777777" w:rsidR="0013173C" w:rsidRPr="00252D7B" w:rsidRDefault="0013173C" w:rsidP="00F6584E">
            <w:pPr>
              <w:jc w:val="center"/>
              <w:rPr>
                <w:rFonts w:asciiTheme="minorHAnsi" w:hAnsiTheme="minorHAnsi" w:cstheme="minorHAnsi"/>
                <w:color w:val="000000"/>
                <w:sz w:val="20"/>
                <w:szCs w:val="20"/>
              </w:rPr>
            </w:pPr>
            <w:r w:rsidRPr="00252D7B">
              <w:rPr>
                <w:rFonts w:asciiTheme="minorHAnsi" w:hAnsiTheme="minorHAnsi" w:cstheme="minorHAnsi"/>
                <w:color w:val="000000"/>
                <w:sz w:val="20"/>
                <w:szCs w:val="20"/>
              </w:rPr>
              <w:t>42</w:t>
            </w:r>
          </w:p>
        </w:tc>
        <w:tc>
          <w:tcPr>
            <w:tcW w:w="556" w:type="pct"/>
            <w:tcBorders>
              <w:top w:val="nil"/>
              <w:left w:val="nil"/>
              <w:bottom w:val="nil"/>
              <w:right w:val="nil"/>
            </w:tcBorders>
            <w:shd w:val="clear" w:color="auto" w:fill="auto"/>
            <w:noWrap/>
            <w:vAlign w:val="center"/>
            <w:hideMark/>
          </w:tcPr>
          <w:p w14:paraId="7468BA17"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556" w:type="pct"/>
            <w:tcBorders>
              <w:top w:val="nil"/>
              <w:left w:val="nil"/>
              <w:bottom w:val="nil"/>
              <w:right w:val="nil"/>
            </w:tcBorders>
            <w:shd w:val="clear" w:color="auto" w:fill="auto"/>
            <w:vAlign w:val="center"/>
            <w:hideMark/>
          </w:tcPr>
          <w:p w14:paraId="70B7E8FB"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89.403</w:t>
            </w:r>
          </w:p>
        </w:tc>
      </w:tr>
      <w:tr w:rsidR="0013173C" w:rsidRPr="00252D7B" w14:paraId="65006B84" w14:textId="77777777" w:rsidTr="00F6584E">
        <w:trPr>
          <w:trHeight w:val="300"/>
        </w:trPr>
        <w:tc>
          <w:tcPr>
            <w:tcW w:w="2752" w:type="pct"/>
            <w:tcBorders>
              <w:top w:val="nil"/>
              <w:left w:val="nil"/>
              <w:bottom w:val="nil"/>
              <w:right w:val="nil"/>
            </w:tcBorders>
            <w:shd w:val="clear" w:color="auto" w:fill="auto"/>
            <w:noWrap/>
            <w:vAlign w:val="center"/>
            <w:hideMark/>
          </w:tcPr>
          <w:p w14:paraId="5E295C55" w14:textId="77777777" w:rsidR="0013173C" w:rsidRPr="00252D7B" w:rsidRDefault="0013173C" w:rsidP="00F6584E">
            <w:pPr>
              <w:rPr>
                <w:rFonts w:asciiTheme="minorHAnsi" w:hAnsiTheme="minorHAnsi" w:cstheme="minorHAnsi"/>
                <w:color w:val="000000"/>
                <w:sz w:val="20"/>
                <w:szCs w:val="20"/>
              </w:rPr>
            </w:pPr>
            <w:r w:rsidRPr="00252D7B">
              <w:rPr>
                <w:rFonts w:asciiTheme="minorHAnsi" w:hAnsiTheme="minorHAnsi" w:cstheme="minorHAnsi"/>
                <w:color w:val="000000"/>
                <w:sz w:val="20"/>
                <w:szCs w:val="20"/>
              </w:rPr>
              <w:t>TDC - Distribuidora de Combustíveis S.A. 01/2016</w:t>
            </w:r>
          </w:p>
        </w:tc>
        <w:tc>
          <w:tcPr>
            <w:tcW w:w="1135" w:type="pct"/>
            <w:tcBorders>
              <w:top w:val="nil"/>
              <w:left w:val="nil"/>
              <w:bottom w:val="nil"/>
              <w:right w:val="nil"/>
            </w:tcBorders>
            <w:shd w:val="clear" w:color="auto" w:fill="auto"/>
            <w:noWrap/>
            <w:vAlign w:val="center"/>
            <w:hideMark/>
          </w:tcPr>
          <w:p w14:paraId="73C80989" w14:textId="77777777" w:rsidR="0013173C" w:rsidRPr="00252D7B" w:rsidRDefault="0013173C" w:rsidP="00F6584E">
            <w:pPr>
              <w:jc w:val="center"/>
              <w:rPr>
                <w:rFonts w:asciiTheme="minorHAnsi" w:hAnsiTheme="minorHAnsi" w:cstheme="minorHAnsi"/>
                <w:color w:val="000000"/>
                <w:sz w:val="20"/>
                <w:szCs w:val="20"/>
              </w:rPr>
            </w:pPr>
            <w:r w:rsidRPr="00252D7B">
              <w:rPr>
                <w:rFonts w:asciiTheme="minorHAnsi" w:hAnsiTheme="minorHAnsi" w:cstheme="minorHAnsi"/>
                <w:color w:val="000000"/>
                <w:sz w:val="20"/>
                <w:szCs w:val="20"/>
              </w:rPr>
              <w:t>290</w:t>
            </w:r>
          </w:p>
        </w:tc>
        <w:tc>
          <w:tcPr>
            <w:tcW w:w="556" w:type="pct"/>
            <w:tcBorders>
              <w:top w:val="nil"/>
              <w:left w:val="nil"/>
              <w:bottom w:val="nil"/>
              <w:right w:val="nil"/>
            </w:tcBorders>
            <w:shd w:val="clear" w:color="auto" w:fill="auto"/>
            <w:noWrap/>
            <w:vAlign w:val="center"/>
            <w:hideMark/>
          </w:tcPr>
          <w:p w14:paraId="5C22B2BF"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8.136.111</w:t>
            </w:r>
          </w:p>
        </w:tc>
        <w:tc>
          <w:tcPr>
            <w:tcW w:w="556" w:type="pct"/>
            <w:tcBorders>
              <w:top w:val="nil"/>
              <w:left w:val="nil"/>
              <w:bottom w:val="nil"/>
              <w:right w:val="nil"/>
            </w:tcBorders>
            <w:shd w:val="clear" w:color="auto" w:fill="auto"/>
            <w:vAlign w:val="center"/>
            <w:hideMark/>
          </w:tcPr>
          <w:p w14:paraId="3A302B78"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8.444.722</w:t>
            </w:r>
          </w:p>
        </w:tc>
      </w:tr>
      <w:tr w:rsidR="0013173C" w:rsidRPr="00252D7B" w14:paraId="5F3229E6" w14:textId="77777777" w:rsidTr="00F6584E">
        <w:trPr>
          <w:trHeight w:hRule="exact" w:val="315"/>
        </w:trPr>
        <w:tc>
          <w:tcPr>
            <w:tcW w:w="2752" w:type="pct"/>
            <w:tcBorders>
              <w:top w:val="nil"/>
              <w:left w:val="nil"/>
              <w:bottom w:val="single" w:sz="8" w:space="0" w:color="auto"/>
              <w:right w:val="nil"/>
            </w:tcBorders>
            <w:shd w:val="clear" w:color="auto" w:fill="auto"/>
            <w:noWrap/>
            <w:vAlign w:val="center"/>
            <w:hideMark/>
          </w:tcPr>
          <w:p w14:paraId="5C298762" w14:textId="77777777" w:rsidR="0013173C" w:rsidRPr="00252D7B" w:rsidRDefault="0013173C" w:rsidP="00F6584E">
            <w:pPr>
              <w:rPr>
                <w:rFonts w:asciiTheme="minorHAnsi" w:hAnsiTheme="minorHAnsi" w:cstheme="minorHAnsi"/>
                <w:color w:val="000000"/>
                <w:sz w:val="20"/>
                <w:szCs w:val="20"/>
              </w:rPr>
            </w:pPr>
            <w:r w:rsidRPr="00252D7B">
              <w:rPr>
                <w:rFonts w:asciiTheme="minorHAnsi" w:hAnsiTheme="minorHAnsi" w:cstheme="minorHAnsi"/>
                <w:color w:val="000000"/>
                <w:sz w:val="20"/>
                <w:szCs w:val="20"/>
              </w:rPr>
              <w:t>Terminal VLI Porto Franco S.A. 19/2021</w:t>
            </w:r>
          </w:p>
        </w:tc>
        <w:tc>
          <w:tcPr>
            <w:tcW w:w="1135" w:type="pct"/>
            <w:tcBorders>
              <w:top w:val="nil"/>
              <w:left w:val="nil"/>
              <w:bottom w:val="single" w:sz="8" w:space="0" w:color="auto"/>
              <w:right w:val="nil"/>
            </w:tcBorders>
            <w:shd w:val="clear" w:color="auto" w:fill="auto"/>
            <w:noWrap/>
            <w:vAlign w:val="center"/>
            <w:hideMark/>
          </w:tcPr>
          <w:p w14:paraId="403BB20A" w14:textId="77777777" w:rsidR="0013173C" w:rsidRPr="00252D7B" w:rsidRDefault="0013173C" w:rsidP="00F6584E">
            <w:pPr>
              <w:jc w:val="center"/>
              <w:rPr>
                <w:rFonts w:asciiTheme="minorHAnsi" w:hAnsiTheme="minorHAnsi" w:cstheme="minorHAnsi"/>
                <w:color w:val="000000"/>
                <w:sz w:val="20"/>
                <w:szCs w:val="20"/>
              </w:rPr>
            </w:pPr>
            <w:r w:rsidRPr="00252D7B">
              <w:rPr>
                <w:rFonts w:asciiTheme="minorHAnsi" w:hAnsiTheme="minorHAnsi" w:cstheme="minorHAnsi"/>
                <w:color w:val="000000"/>
                <w:sz w:val="20"/>
                <w:szCs w:val="20"/>
              </w:rPr>
              <w:t>175</w:t>
            </w:r>
          </w:p>
        </w:tc>
        <w:tc>
          <w:tcPr>
            <w:tcW w:w="556" w:type="pct"/>
            <w:tcBorders>
              <w:top w:val="nil"/>
              <w:left w:val="nil"/>
              <w:bottom w:val="single" w:sz="8" w:space="0" w:color="auto"/>
              <w:right w:val="nil"/>
            </w:tcBorders>
            <w:shd w:val="clear" w:color="auto" w:fill="auto"/>
            <w:noWrap/>
            <w:vAlign w:val="center"/>
            <w:hideMark/>
          </w:tcPr>
          <w:p w14:paraId="4D29F1A3"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13.037.503</w:t>
            </w:r>
          </w:p>
        </w:tc>
        <w:tc>
          <w:tcPr>
            <w:tcW w:w="556" w:type="pct"/>
            <w:tcBorders>
              <w:top w:val="nil"/>
              <w:left w:val="nil"/>
              <w:bottom w:val="single" w:sz="8" w:space="0" w:color="auto"/>
              <w:right w:val="nil"/>
            </w:tcBorders>
            <w:shd w:val="clear" w:color="auto" w:fill="auto"/>
            <w:vAlign w:val="center"/>
            <w:hideMark/>
          </w:tcPr>
          <w:p w14:paraId="5D27E968" w14:textId="77777777" w:rsidR="0013173C" w:rsidRPr="00252D7B" w:rsidRDefault="0013173C" w:rsidP="00F6584E">
            <w:pPr>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r>
      <w:tr w:rsidR="0013173C" w:rsidRPr="00252D7B" w14:paraId="24520A4E" w14:textId="77777777" w:rsidTr="00F6584E">
        <w:trPr>
          <w:trHeight w:hRule="exact" w:val="315"/>
        </w:trPr>
        <w:tc>
          <w:tcPr>
            <w:tcW w:w="3888" w:type="pct"/>
            <w:gridSpan w:val="2"/>
            <w:tcBorders>
              <w:top w:val="single" w:sz="8" w:space="0" w:color="auto"/>
              <w:left w:val="nil"/>
              <w:bottom w:val="single" w:sz="8" w:space="0" w:color="auto"/>
              <w:right w:val="nil"/>
            </w:tcBorders>
            <w:shd w:val="clear" w:color="auto" w:fill="auto"/>
            <w:noWrap/>
            <w:vAlign w:val="center"/>
            <w:hideMark/>
          </w:tcPr>
          <w:p w14:paraId="227E44B5" w14:textId="77777777" w:rsidR="0013173C" w:rsidRPr="00252D7B" w:rsidRDefault="0013173C" w:rsidP="00F6584E">
            <w:pPr>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TOTAL</w:t>
            </w:r>
          </w:p>
        </w:tc>
        <w:tc>
          <w:tcPr>
            <w:tcW w:w="556" w:type="pct"/>
            <w:tcBorders>
              <w:top w:val="nil"/>
              <w:left w:val="nil"/>
              <w:bottom w:val="single" w:sz="8" w:space="0" w:color="auto"/>
              <w:right w:val="nil"/>
            </w:tcBorders>
            <w:shd w:val="clear" w:color="auto" w:fill="auto"/>
            <w:noWrap/>
            <w:vAlign w:val="center"/>
            <w:hideMark/>
          </w:tcPr>
          <w:p w14:paraId="611E99A9" w14:textId="77777777" w:rsidR="0013173C" w:rsidRPr="00252D7B" w:rsidRDefault="0013173C" w:rsidP="00F6584E">
            <w:pPr>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36.363.102</w:t>
            </w:r>
          </w:p>
        </w:tc>
        <w:tc>
          <w:tcPr>
            <w:tcW w:w="556" w:type="pct"/>
            <w:tcBorders>
              <w:top w:val="nil"/>
              <w:left w:val="nil"/>
              <w:bottom w:val="single" w:sz="8" w:space="0" w:color="auto"/>
              <w:right w:val="nil"/>
            </w:tcBorders>
            <w:shd w:val="clear" w:color="auto" w:fill="auto"/>
            <w:vAlign w:val="center"/>
            <w:hideMark/>
          </w:tcPr>
          <w:p w14:paraId="6DF9D44A" w14:textId="77777777" w:rsidR="0013173C" w:rsidRPr="00252D7B" w:rsidRDefault="0013173C" w:rsidP="00F6584E">
            <w:pPr>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25.642.834</w:t>
            </w:r>
          </w:p>
        </w:tc>
      </w:tr>
    </w:tbl>
    <w:p w14:paraId="7A6209B4" w14:textId="77777777" w:rsidR="0013173C" w:rsidRPr="00252D7B" w:rsidRDefault="0013173C" w:rsidP="0013173C">
      <w:pPr>
        <w:spacing w:after="120"/>
        <w:ind w:right="57"/>
        <w:jc w:val="both"/>
        <w:rPr>
          <w:rFonts w:asciiTheme="minorHAnsi" w:hAnsiTheme="minorHAnsi" w:cstheme="minorHAnsi"/>
        </w:rPr>
      </w:pPr>
    </w:p>
    <w:p w14:paraId="1E1B4783" w14:textId="77777777" w:rsidR="0013173C" w:rsidRPr="00C959F0" w:rsidRDefault="0013173C" w:rsidP="00C959F0">
      <w:pPr>
        <w:pStyle w:val="Ttulo4"/>
        <w:rPr>
          <w:rFonts w:asciiTheme="minorHAnsi" w:hAnsiTheme="minorHAnsi" w:cstheme="minorHAnsi"/>
        </w:rPr>
      </w:pPr>
      <w:bookmarkStart w:id="688" w:name="_Toc97918844"/>
      <w:bookmarkStart w:id="689" w:name="_Toc103680646"/>
      <w:r w:rsidRPr="00C959F0">
        <w:rPr>
          <w:rFonts w:asciiTheme="minorHAnsi" w:hAnsiTheme="minorHAnsi" w:cstheme="minorHAnsi"/>
        </w:rPr>
        <w:t>Receita e diferir – subconcessão – FIOL I</w:t>
      </w:r>
      <w:bookmarkEnd w:id="688"/>
      <w:bookmarkEnd w:id="689"/>
    </w:p>
    <w:p w14:paraId="17932FA7" w14:textId="77777777" w:rsidR="0013173C" w:rsidRPr="00252D7B" w:rsidRDefault="0013173C" w:rsidP="0013173C">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O trecho da Ferrovia de Integração Oeste Leste, denominado FIOL I, compreendido entre os municípios de Ilhéus/BA e Caetité/BA foi subconcedido à Bahia Ferrovias S/A em um período de 35 anos. O Contrato foi assinado em 03 de setembro de 2021, no valor de R$ R$ 32,7 milhões de reais. </w:t>
      </w:r>
    </w:p>
    <w:p w14:paraId="0497E2F4" w14:textId="77777777" w:rsidR="0013173C" w:rsidRPr="00252D7B" w:rsidRDefault="0013173C" w:rsidP="0013173C">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Por ser um contrato de longo prazo, em atendimento ao regime de competência, o valor contratual foi registrado no passivo como Receita a Diferir – Subconcessão FIOL I e será diferido no resultado mensalmente pelo prazo contratual.</w:t>
      </w:r>
    </w:p>
    <w:p w14:paraId="51EA507B" w14:textId="77777777" w:rsidR="0013173C" w:rsidRPr="00252D7B" w:rsidRDefault="0013173C" w:rsidP="0013173C">
      <w:pPr>
        <w:spacing w:before="120" w:after="120"/>
        <w:ind w:right="57"/>
        <w:jc w:val="both"/>
        <w:rPr>
          <w:rFonts w:asciiTheme="minorHAnsi" w:hAnsiTheme="minorHAnsi" w:cstheme="minorHAnsi"/>
          <w:sz w:val="24"/>
          <w:szCs w:val="24"/>
        </w:rPr>
      </w:pPr>
      <w:r w:rsidRPr="00252D7B">
        <w:rPr>
          <w:rFonts w:asciiTheme="minorHAnsi" w:hAnsiTheme="minorHAnsi" w:cstheme="minorHAnsi"/>
          <w:sz w:val="24"/>
          <w:szCs w:val="24"/>
        </w:rPr>
        <w:t>No exercício de 2021, as contas de Receita a Diferir – Subconcessão FIOL I, de curto e longo prazo, apresentaram os seguintes movimentos (Tabela 71).</w:t>
      </w:r>
    </w:p>
    <w:p w14:paraId="251E4E1C" w14:textId="77777777" w:rsidR="0013173C" w:rsidRPr="00252D7B" w:rsidRDefault="0013173C" w:rsidP="0013173C">
      <w:pPr>
        <w:widowControl/>
        <w:autoSpaceDE/>
        <w:autoSpaceDN/>
        <w:spacing w:after="160" w:line="259" w:lineRule="auto"/>
        <w:rPr>
          <w:rFonts w:asciiTheme="minorHAnsi" w:hAnsiTheme="minorHAnsi" w:cstheme="minorHAnsi"/>
          <w:sz w:val="24"/>
          <w:szCs w:val="24"/>
        </w:rPr>
      </w:pPr>
      <w:r w:rsidRPr="00252D7B">
        <w:rPr>
          <w:rFonts w:asciiTheme="minorHAnsi" w:hAnsiTheme="minorHAnsi" w:cstheme="minorHAnsi"/>
          <w:sz w:val="24"/>
          <w:szCs w:val="24"/>
        </w:rPr>
        <w:br w:type="page"/>
      </w:r>
    </w:p>
    <w:p w14:paraId="16A75055" w14:textId="488E40A8" w:rsidR="0013173C" w:rsidRPr="005059B1" w:rsidRDefault="0013173C" w:rsidP="005059B1">
      <w:pPr>
        <w:pStyle w:val="Legenda"/>
        <w:jc w:val="center"/>
        <w:rPr>
          <w:rFonts w:asciiTheme="minorHAnsi" w:hAnsiTheme="minorHAnsi" w:cstheme="minorHAnsi"/>
          <w:sz w:val="20"/>
          <w:szCs w:val="20"/>
        </w:rPr>
      </w:pPr>
      <w:bookmarkStart w:id="690" w:name="_Toc97918922"/>
      <w:bookmarkStart w:id="691" w:name="_Toc103680708"/>
      <w:r w:rsidRPr="00252D7B">
        <w:rPr>
          <w:rFonts w:asciiTheme="minorHAnsi" w:hAnsiTheme="minorHAnsi" w:cstheme="minorHAnsi"/>
          <w:sz w:val="20"/>
          <w:szCs w:val="20"/>
        </w:rPr>
        <w:lastRenderedPageBreak/>
        <w:t xml:space="preserve">Tabela </w:t>
      </w:r>
      <w:r w:rsidRPr="005059B1">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Tabela \* ARABIC </w:instrText>
      </w:r>
      <w:r w:rsidRPr="005059B1">
        <w:rPr>
          <w:rFonts w:asciiTheme="minorHAnsi" w:hAnsiTheme="minorHAnsi" w:cstheme="minorHAnsi"/>
          <w:sz w:val="20"/>
          <w:szCs w:val="20"/>
        </w:rPr>
        <w:fldChar w:fldCharType="separate"/>
      </w:r>
      <w:r w:rsidR="00C12888">
        <w:rPr>
          <w:rFonts w:asciiTheme="minorHAnsi" w:hAnsiTheme="minorHAnsi" w:cstheme="minorHAnsi"/>
          <w:noProof/>
          <w:sz w:val="20"/>
          <w:szCs w:val="20"/>
        </w:rPr>
        <w:t>46</w:t>
      </w:r>
      <w:r w:rsidRPr="005059B1">
        <w:rPr>
          <w:rFonts w:asciiTheme="minorHAnsi" w:hAnsiTheme="minorHAnsi" w:cstheme="minorHAnsi"/>
          <w:sz w:val="20"/>
          <w:szCs w:val="20"/>
        </w:rPr>
        <w:fldChar w:fldCharType="end"/>
      </w:r>
      <w:r w:rsidRPr="00252D7B">
        <w:rPr>
          <w:rFonts w:asciiTheme="minorHAnsi" w:hAnsiTheme="minorHAnsi" w:cstheme="minorHAnsi"/>
          <w:sz w:val="20"/>
          <w:szCs w:val="20"/>
        </w:rPr>
        <w:t xml:space="preserve"> – Receita a Diferir – Subconcessão FIOL I</w:t>
      </w:r>
      <w:bookmarkEnd w:id="690"/>
      <w:bookmarkEnd w:id="691"/>
    </w:p>
    <w:tbl>
      <w:tblPr>
        <w:tblW w:w="5000" w:type="pct"/>
        <w:tblCellMar>
          <w:left w:w="70" w:type="dxa"/>
          <w:right w:w="70" w:type="dxa"/>
        </w:tblCellMar>
        <w:tblLook w:val="04A0" w:firstRow="1" w:lastRow="0" w:firstColumn="1" w:lastColumn="0" w:noHBand="0" w:noVBand="1"/>
      </w:tblPr>
      <w:tblGrid>
        <w:gridCol w:w="5126"/>
        <w:gridCol w:w="363"/>
        <w:gridCol w:w="363"/>
        <w:gridCol w:w="1949"/>
        <w:gridCol w:w="1945"/>
      </w:tblGrid>
      <w:tr w:rsidR="0013173C" w:rsidRPr="00252D7B" w14:paraId="6503FD10" w14:textId="77777777" w:rsidTr="00F6584E">
        <w:trPr>
          <w:trHeight w:hRule="exact" w:val="227"/>
        </w:trPr>
        <w:tc>
          <w:tcPr>
            <w:tcW w:w="3002" w:type="pct"/>
            <w:gridSpan w:val="3"/>
            <w:tcBorders>
              <w:top w:val="nil"/>
              <w:left w:val="nil"/>
              <w:bottom w:val="single" w:sz="8" w:space="0" w:color="auto"/>
              <w:right w:val="nil"/>
            </w:tcBorders>
            <w:shd w:val="clear" w:color="auto" w:fill="auto"/>
            <w:noWrap/>
            <w:vAlign w:val="center"/>
            <w:hideMark/>
          </w:tcPr>
          <w:p w14:paraId="2BC17D49" w14:textId="77777777" w:rsidR="0013173C" w:rsidRPr="00252D7B" w:rsidRDefault="0013173C" w:rsidP="00F6584E">
            <w:pPr>
              <w:spacing w:after="120"/>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xml:space="preserve">RECEITA A DIFERIR – SUBCONCESSÃO FIOL I </w:t>
            </w:r>
          </w:p>
        </w:tc>
        <w:tc>
          <w:tcPr>
            <w:tcW w:w="1000" w:type="pct"/>
            <w:tcBorders>
              <w:top w:val="nil"/>
              <w:left w:val="nil"/>
              <w:bottom w:val="single" w:sz="8" w:space="0" w:color="auto"/>
              <w:right w:val="nil"/>
            </w:tcBorders>
            <w:shd w:val="clear" w:color="auto" w:fill="auto"/>
            <w:noWrap/>
            <w:vAlign w:val="center"/>
            <w:hideMark/>
          </w:tcPr>
          <w:p w14:paraId="38F01A09"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31/12/2021</w:t>
            </w:r>
          </w:p>
        </w:tc>
        <w:tc>
          <w:tcPr>
            <w:tcW w:w="998" w:type="pct"/>
            <w:tcBorders>
              <w:top w:val="nil"/>
              <w:left w:val="nil"/>
              <w:bottom w:val="single" w:sz="8" w:space="0" w:color="auto"/>
              <w:right w:val="nil"/>
            </w:tcBorders>
            <w:shd w:val="clear" w:color="auto" w:fill="auto"/>
            <w:vAlign w:val="center"/>
            <w:hideMark/>
          </w:tcPr>
          <w:p w14:paraId="6E238DCE"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31/12/2020</w:t>
            </w:r>
          </w:p>
        </w:tc>
      </w:tr>
      <w:tr w:rsidR="0013173C" w:rsidRPr="00252D7B" w14:paraId="052B8C87" w14:textId="77777777" w:rsidTr="00F6584E">
        <w:trPr>
          <w:trHeight w:hRule="exact" w:val="227"/>
        </w:trPr>
        <w:tc>
          <w:tcPr>
            <w:tcW w:w="2630" w:type="pct"/>
            <w:tcBorders>
              <w:top w:val="nil"/>
              <w:left w:val="nil"/>
              <w:bottom w:val="nil"/>
              <w:right w:val="nil"/>
            </w:tcBorders>
            <w:shd w:val="clear" w:color="auto" w:fill="auto"/>
            <w:noWrap/>
            <w:vAlign w:val="center"/>
            <w:hideMark/>
          </w:tcPr>
          <w:p w14:paraId="651037EF"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 xml:space="preserve">Saldo anterior </w:t>
            </w:r>
          </w:p>
        </w:tc>
        <w:tc>
          <w:tcPr>
            <w:tcW w:w="186" w:type="pct"/>
            <w:tcBorders>
              <w:top w:val="nil"/>
              <w:left w:val="nil"/>
              <w:bottom w:val="nil"/>
              <w:right w:val="nil"/>
            </w:tcBorders>
            <w:shd w:val="clear" w:color="auto" w:fill="auto"/>
            <w:noWrap/>
            <w:vAlign w:val="center"/>
            <w:hideMark/>
          </w:tcPr>
          <w:p w14:paraId="3A3EC5F5" w14:textId="77777777" w:rsidR="0013173C" w:rsidRPr="00252D7B" w:rsidRDefault="0013173C" w:rsidP="00F6584E">
            <w:pPr>
              <w:spacing w:after="120"/>
              <w:rPr>
                <w:rFonts w:asciiTheme="minorHAnsi" w:hAnsiTheme="minorHAnsi" w:cstheme="minorHAnsi"/>
                <w:color w:val="000000"/>
                <w:sz w:val="20"/>
                <w:szCs w:val="20"/>
              </w:rPr>
            </w:pPr>
          </w:p>
        </w:tc>
        <w:tc>
          <w:tcPr>
            <w:tcW w:w="186" w:type="pct"/>
            <w:tcBorders>
              <w:top w:val="nil"/>
              <w:left w:val="nil"/>
              <w:bottom w:val="nil"/>
              <w:right w:val="nil"/>
            </w:tcBorders>
            <w:shd w:val="clear" w:color="auto" w:fill="auto"/>
            <w:noWrap/>
            <w:vAlign w:val="center"/>
            <w:hideMark/>
          </w:tcPr>
          <w:p w14:paraId="153D24B1" w14:textId="77777777" w:rsidR="0013173C" w:rsidRPr="00252D7B" w:rsidRDefault="0013173C" w:rsidP="00F6584E">
            <w:pPr>
              <w:spacing w:after="120"/>
              <w:rPr>
                <w:rFonts w:asciiTheme="minorHAnsi" w:hAnsiTheme="minorHAnsi" w:cstheme="minorHAnsi"/>
                <w:sz w:val="20"/>
                <w:szCs w:val="20"/>
              </w:rPr>
            </w:pPr>
          </w:p>
        </w:tc>
        <w:tc>
          <w:tcPr>
            <w:tcW w:w="1000" w:type="pct"/>
            <w:tcBorders>
              <w:top w:val="nil"/>
              <w:left w:val="nil"/>
              <w:bottom w:val="nil"/>
              <w:right w:val="nil"/>
            </w:tcBorders>
            <w:shd w:val="clear" w:color="auto" w:fill="auto"/>
            <w:noWrap/>
            <w:vAlign w:val="center"/>
            <w:hideMark/>
          </w:tcPr>
          <w:p w14:paraId="65B56839"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998" w:type="pct"/>
            <w:tcBorders>
              <w:top w:val="nil"/>
              <w:left w:val="nil"/>
              <w:bottom w:val="nil"/>
              <w:right w:val="nil"/>
            </w:tcBorders>
            <w:shd w:val="clear" w:color="auto" w:fill="auto"/>
            <w:vAlign w:val="center"/>
            <w:hideMark/>
          </w:tcPr>
          <w:p w14:paraId="7B6C4F4F"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r>
      <w:tr w:rsidR="0013173C" w:rsidRPr="00252D7B" w14:paraId="51BBEC1B" w14:textId="77777777" w:rsidTr="00F6584E">
        <w:trPr>
          <w:trHeight w:hRule="exact" w:val="227"/>
        </w:trPr>
        <w:tc>
          <w:tcPr>
            <w:tcW w:w="2816" w:type="pct"/>
            <w:gridSpan w:val="2"/>
            <w:tcBorders>
              <w:top w:val="nil"/>
              <w:left w:val="nil"/>
              <w:bottom w:val="nil"/>
              <w:right w:val="nil"/>
            </w:tcBorders>
            <w:shd w:val="clear" w:color="auto" w:fill="auto"/>
            <w:noWrap/>
            <w:vAlign w:val="center"/>
            <w:hideMark/>
          </w:tcPr>
          <w:p w14:paraId="72BAD036"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Valor Contratual</w:t>
            </w:r>
          </w:p>
        </w:tc>
        <w:tc>
          <w:tcPr>
            <w:tcW w:w="186" w:type="pct"/>
            <w:tcBorders>
              <w:top w:val="nil"/>
              <w:left w:val="nil"/>
              <w:bottom w:val="nil"/>
              <w:right w:val="nil"/>
            </w:tcBorders>
            <w:shd w:val="clear" w:color="auto" w:fill="auto"/>
            <w:noWrap/>
            <w:vAlign w:val="center"/>
            <w:hideMark/>
          </w:tcPr>
          <w:p w14:paraId="03D2982A" w14:textId="77777777" w:rsidR="0013173C" w:rsidRPr="00252D7B" w:rsidRDefault="0013173C" w:rsidP="00F6584E">
            <w:pPr>
              <w:spacing w:after="120"/>
              <w:rPr>
                <w:rFonts w:asciiTheme="minorHAnsi" w:hAnsiTheme="minorHAnsi" w:cstheme="minorHAnsi"/>
                <w:color w:val="000000"/>
                <w:sz w:val="20"/>
                <w:szCs w:val="20"/>
              </w:rPr>
            </w:pPr>
          </w:p>
        </w:tc>
        <w:tc>
          <w:tcPr>
            <w:tcW w:w="1000" w:type="pct"/>
            <w:tcBorders>
              <w:top w:val="nil"/>
              <w:left w:val="nil"/>
              <w:bottom w:val="nil"/>
              <w:right w:val="nil"/>
            </w:tcBorders>
            <w:shd w:val="clear" w:color="auto" w:fill="auto"/>
            <w:noWrap/>
            <w:vAlign w:val="center"/>
            <w:hideMark/>
          </w:tcPr>
          <w:p w14:paraId="41243024"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32.730.000</w:t>
            </w:r>
          </w:p>
        </w:tc>
        <w:tc>
          <w:tcPr>
            <w:tcW w:w="998" w:type="pct"/>
            <w:tcBorders>
              <w:top w:val="nil"/>
              <w:left w:val="nil"/>
              <w:bottom w:val="nil"/>
              <w:right w:val="nil"/>
            </w:tcBorders>
            <w:shd w:val="clear" w:color="auto" w:fill="auto"/>
            <w:vAlign w:val="center"/>
            <w:hideMark/>
          </w:tcPr>
          <w:p w14:paraId="2457A75A"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r>
      <w:tr w:rsidR="0013173C" w:rsidRPr="00252D7B" w14:paraId="0B6EFD57" w14:textId="77777777" w:rsidTr="00F6584E">
        <w:trPr>
          <w:trHeight w:hRule="exact" w:val="227"/>
        </w:trPr>
        <w:tc>
          <w:tcPr>
            <w:tcW w:w="2816" w:type="pct"/>
            <w:gridSpan w:val="2"/>
            <w:tcBorders>
              <w:top w:val="nil"/>
              <w:left w:val="nil"/>
              <w:bottom w:val="nil"/>
              <w:right w:val="nil"/>
            </w:tcBorders>
            <w:shd w:val="clear" w:color="auto" w:fill="auto"/>
            <w:noWrap/>
            <w:vAlign w:val="center"/>
            <w:hideMark/>
          </w:tcPr>
          <w:p w14:paraId="315D9B6E"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Reconhecimento da receita</w:t>
            </w:r>
          </w:p>
        </w:tc>
        <w:tc>
          <w:tcPr>
            <w:tcW w:w="186" w:type="pct"/>
            <w:tcBorders>
              <w:top w:val="nil"/>
              <w:left w:val="nil"/>
              <w:bottom w:val="nil"/>
              <w:right w:val="nil"/>
            </w:tcBorders>
            <w:shd w:val="clear" w:color="auto" w:fill="auto"/>
            <w:noWrap/>
            <w:vAlign w:val="center"/>
            <w:hideMark/>
          </w:tcPr>
          <w:p w14:paraId="6F2099B5" w14:textId="77777777" w:rsidR="0013173C" w:rsidRPr="00252D7B" w:rsidRDefault="0013173C" w:rsidP="00F6584E">
            <w:pPr>
              <w:spacing w:after="120"/>
              <w:rPr>
                <w:rFonts w:asciiTheme="minorHAnsi" w:hAnsiTheme="minorHAnsi" w:cstheme="minorHAnsi"/>
                <w:color w:val="000000"/>
                <w:sz w:val="20"/>
                <w:szCs w:val="20"/>
              </w:rPr>
            </w:pPr>
          </w:p>
        </w:tc>
        <w:tc>
          <w:tcPr>
            <w:tcW w:w="1000" w:type="pct"/>
            <w:tcBorders>
              <w:top w:val="nil"/>
              <w:left w:val="nil"/>
              <w:bottom w:val="nil"/>
              <w:right w:val="nil"/>
            </w:tcBorders>
            <w:shd w:val="clear" w:color="auto" w:fill="auto"/>
            <w:noWrap/>
            <w:vAlign w:val="center"/>
            <w:hideMark/>
          </w:tcPr>
          <w:p w14:paraId="50B5B149"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(545.500)</w:t>
            </w:r>
          </w:p>
        </w:tc>
        <w:tc>
          <w:tcPr>
            <w:tcW w:w="998" w:type="pct"/>
            <w:tcBorders>
              <w:top w:val="nil"/>
              <w:left w:val="nil"/>
              <w:bottom w:val="nil"/>
              <w:right w:val="nil"/>
            </w:tcBorders>
            <w:shd w:val="clear" w:color="auto" w:fill="auto"/>
            <w:vAlign w:val="center"/>
            <w:hideMark/>
          </w:tcPr>
          <w:p w14:paraId="655F1329"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r>
      <w:tr w:rsidR="0013173C" w:rsidRPr="00252D7B" w14:paraId="6FCDF218" w14:textId="77777777" w:rsidTr="00F6584E">
        <w:trPr>
          <w:trHeight w:hRule="exact" w:val="227"/>
        </w:trPr>
        <w:tc>
          <w:tcPr>
            <w:tcW w:w="2630" w:type="pct"/>
            <w:tcBorders>
              <w:top w:val="nil"/>
              <w:left w:val="nil"/>
              <w:bottom w:val="single" w:sz="8" w:space="0" w:color="auto"/>
              <w:right w:val="nil"/>
            </w:tcBorders>
            <w:shd w:val="clear" w:color="auto" w:fill="auto"/>
            <w:noWrap/>
            <w:vAlign w:val="center"/>
            <w:hideMark/>
          </w:tcPr>
          <w:p w14:paraId="3BF9A63B" w14:textId="77777777" w:rsidR="0013173C" w:rsidRPr="00252D7B" w:rsidRDefault="0013173C" w:rsidP="00F6584E">
            <w:pPr>
              <w:spacing w:after="120"/>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xml:space="preserve"> TOTAL </w:t>
            </w:r>
          </w:p>
        </w:tc>
        <w:tc>
          <w:tcPr>
            <w:tcW w:w="186" w:type="pct"/>
            <w:tcBorders>
              <w:top w:val="nil"/>
              <w:left w:val="nil"/>
              <w:bottom w:val="single" w:sz="8" w:space="0" w:color="auto"/>
              <w:right w:val="nil"/>
            </w:tcBorders>
            <w:shd w:val="clear" w:color="auto" w:fill="auto"/>
            <w:noWrap/>
            <w:vAlign w:val="center"/>
            <w:hideMark/>
          </w:tcPr>
          <w:p w14:paraId="736B050A"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 </w:t>
            </w:r>
          </w:p>
        </w:tc>
        <w:tc>
          <w:tcPr>
            <w:tcW w:w="186" w:type="pct"/>
            <w:tcBorders>
              <w:top w:val="nil"/>
              <w:left w:val="nil"/>
              <w:bottom w:val="single" w:sz="8" w:space="0" w:color="auto"/>
              <w:right w:val="nil"/>
            </w:tcBorders>
            <w:shd w:val="clear" w:color="auto" w:fill="auto"/>
            <w:noWrap/>
            <w:vAlign w:val="center"/>
            <w:hideMark/>
          </w:tcPr>
          <w:p w14:paraId="6BAD4824"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w:t>
            </w:r>
          </w:p>
        </w:tc>
        <w:tc>
          <w:tcPr>
            <w:tcW w:w="1000" w:type="pct"/>
            <w:tcBorders>
              <w:top w:val="nil"/>
              <w:left w:val="nil"/>
              <w:bottom w:val="single" w:sz="8" w:space="0" w:color="auto"/>
              <w:right w:val="nil"/>
            </w:tcBorders>
            <w:shd w:val="clear" w:color="auto" w:fill="auto"/>
            <w:noWrap/>
            <w:vAlign w:val="center"/>
            <w:hideMark/>
          </w:tcPr>
          <w:p w14:paraId="71B5827D"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32.184.500</w:t>
            </w:r>
          </w:p>
        </w:tc>
        <w:tc>
          <w:tcPr>
            <w:tcW w:w="998" w:type="pct"/>
            <w:tcBorders>
              <w:top w:val="nil"/>
              <w:left w:val="nil"/>
              <w:bottom w:val="single" w:sz="8" w:space="0" w:color="auto"/>
              <w:right w:val="nil"/>
            </w:tcBorders>
            <w:shd w:val="clear" w:color="auto" w:fill="auto"/>
            <w:vAlign w:val="center"/>
            <w:hideMark/>
          </w:tcPr>
          <w:p w14:paraId="5B5BE786"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0</w:t>
            </w:r>
          </w:p>
        </w:tc>
      </w:tr>
      <w:tr w:rsidR="0013173C" w:rsidRPr="00252D7B" w14:paraId="7FA82C17" w14:textId="77777777" w:rsidTr="00F6584E">
        <w:trPr>
          <w:trHeight w:hRule="exact" w:val="227"/>
        </w:trPr>
        <w:tc>
          <w:tcPr>
            <w:tcW w:w="3002" w:type="pct"/>
            <w:gridSpan w:val="3"/>
            <w:tcBorders>
              <w:top w:val="nil"/>
              <w:left w:val="nil"/>
              <w:bottom w:val="single" w:sz="8" w:space="0" w:color="auto"/>
              <w:right w:val="nil"/>
            </w:tcBorders>
            <w:shd w:val="clear" w:color="auto" w:fill="auto"/>
            <w:noWrap/>
            <w:vAlign w:val="center"/>
            <w:hideMark/>
          </w:tcPr>
          <w:p w14:paraId="4ACD6A92" w14:textId="77777777" w:rsidR="0013173C" w:rsidRPr="00252D7B" w:rsidRDefault="0013173C" w:rsidP="00F6584E">
            <w:pPr>
              <w:spacing w:after="120"/>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Receita a Diferir Subconcessão FIOL I – Circulante</w:t>
            </w:r>
          </w:p>
        </w:tc>
        <w:tc>
          <w:tcPr>
            <w:tcW w:w="1000" w:type="pct"/>
            <w:tcBorders>
              <w:top w:val="nil"/>
              <w:left w:val="nil"/>
              <w:bottom w:val="single" w:sz="8" w:space="0" w:color="auto"/>
              <w:right w:val="nil"/>
            </w:tcBorders>
            <w:shd w:val="clear" w:color="auto" w:fill="auto"/>
            <w:noWrap/>
            <w:vAlign w:val="center"/>
            <w:hideMark/>
          </w:tcPr>
          <w:p w14:paraId="457E3396"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2.182.000</w:t>
            </w:r>
          </w:p>
        </w:tc>
        <w:tc>
          <w:tcPr>
            <w:tcW w:w="998" w:type="pct"/>
            <w:tcBorders>
              <w:top w:val="nil"/>
              <w:left w:val="nil"/>
              <w:bottom w:val="single" w:sz="8" w:space="0" w:color="auto"/>
              <w:right w:val="nil"/>
            </w:tcBorders>
            <w:shd w:val="clear" w:color="auto" w:fill="auto"/>
            <w:vAlign w:val="center"/>
            <w:hideMark/>
          </w:tcPr>
          <w:p w14:paraId="158DE573"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0</w:t>
            </w:r>
          </w:p>
        </w:tc>
      </w:tr>
      <w:tr w:rsidR="0013173C" w:rsidRPr="00252D7B" w14:paraId="557896EF" w14:textId="77777777" w:rsidTr="00F6584E">
        <w:trPr>
          <w:trHeight w:hRule="exact" w:val="227"/>
        </w:trPr>
        <w:tc>
          <w:tcPr>
            <w:tcW w:w="3002" w:type="pct"/>
            <w:gridSpan w:val="3"/>
            <w:tcBorders>
              <w:top w:val="nil"/>
              <w:left w:val="nil"/>
              <w:bottom w:val="single" w:sz="8" w:space="0" w:color="auto"/>
              <w:right w:val="nil"/>
            </w:tcBorders>
            <w:shd w:val="clear" w:color="auto" w:fill="auto"/>
            <w:noWrap/>
            <w:vAlign w:val="center"/>
            <w:hideMark/>
          </w:tcPr>
          <w:p w14:paraId="71B05AD9" w14:textId="77777777" w:rsidR="0013173C" w:rsidRPr="00252D7B" w:rsidRDefault="0013173C" w:rsidP="00F6584E">
            <w:pPr>
              <w:spacing w:after="120"/>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Receita a Diferir Subconcessão FIOL I – Não Circulante</w:t>
            </w:r>
          </w:p>
        </w:tc>
        <w:tc>
          <w:tcPr>
            <w:tcW w:w="1000" w:type="pct"/>
            <w:tcBorders>
              <w:top w:val="nil"/>
              <w:left w:val="nil"/>
              <w:bottom w:val="single" w:sz="8" w:space="0" w:color="auto"/>
              <w:right w:val="nil"/>
            </w:tcBorders>
            <w:shd w:val="clear" w:color="auto" w:fill="auto"/>
            <w:noWrap/>
            <w:vAlign w:val="center"/>
            <w:hideMark/>
          </w:tcPr>
          <w:p w14:paraId="159A37A3"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30.002.500</w:t>
            </w:r>
          </w:p>
        </w:tc>
        <w:tc>
          <w:tcPr>
            <w:tcW w:w="998" w:type="pct"/>
            <w:tcBorders>
              <w:top w:val="nil"/>
              <w:left w:val="nil"/>
              <w:bottom w:val="single" w:sz="8" w:space="0" w:color="auto"/>
              <w:right w:val="nil"/>
            </w:tcBorders>
            <w:shd w:val="clear" w:color="auto" w:fill="auto"/>
            <w:vAlign w:val="center"/>
            <w:hideMark/>
          </w:tcPr>
          <w:p w14:paraId="585524FB"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0</w:t>
            </w:r>
          </w:p>
        </w:tc>
      </w:tr>
    </w:tbl>
    <w:p w14:paraId="0E43424B" w14:textId="77777777" w:rsidR="0013173C" w:rsidRPr="00252D7B" w:rsidRDefault="0013173C" w:rsidP="0013173C">
      <w:pPr>
        <w:spacing w:before="120" w:after="120"/>
        <w:rPr>
          <w:rFonts w:asciiTheme="minorHAnsi" w:hAnsiTheme="minorHAnsi" w:cstheme="minorHAnsi"/>
        </w:rPr>
      </w:pPr>
    </w:p>
    <w:p w14:paraId="4552E733" w14:textId="77777777" w:rsidR="0013173C" w:rsidRPr="00252D7B" w:rsidRDefault="0013173C" w:rsidP="00C959F0">
      <w:pPr>
        <w:pStyle w:val="Ttulo3"/>
        <w:spacing w:before="120" w:after="120"/>
        <w:rPr>
          <w:rFonts w:asciiTheme="minorHAnsi" w:hAnsiTheme="minorHAnsi" w:cstheme="minorHAnsi"/>
        </w:rPr>
      </w:pPr>
      <w:bookmarkStart w:id="692" w:name="_Toc97918845"/>
      <w:bookmarkStart w:id="693" w:name="_Toc103680647"/>
      <w:r w:rsidRPr="00252D7B">
        <w:rPr>
          <w:rFonts w:asciiTheme="minorHAnsi" w:hAnsiTheme="minorHAnsi" w:cstheme="minorHAnsi"/>
        </w:rPr>
        <w:t>Passivo investimento cruzado</w:t>
      </w:r>
      <w:bookmarkEnd w:id="692"/>
      <w:bookmarkEnd w:id="693"/>
    </w:p>
    <w:p w14:paraId="187C72F6" w14:textId="77777777" w:rsidR="0013173C" w:rsidRPr="00252D7B" w:rsidRDefault="0013173C" w:rsidP="0013173C">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A Lei nº 13.448/2017 trouxe como inovação no ordenamento jurídico a possibilidade de realização de investimentos em malhas ferroviárias distintas como contrapartida às prorrogações de contratos de concessão, onde configura-se obrigações de fazer, impostas como contrapartida à celebração de um contrato de concessão, em substituição à obrigação de pagar o correspondente valor de outorga. </w:t>
      </w:r>
    </w:p>
    <w:p w14:paraId="7952FC43" w14:textId="77777777" w:rsidR="0013173C" w:rsidRPr="00252D7B" w:rsidRDefault="0013173C" w:rsidP="0013173C">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Como os investimentos cruzados são aqueles realizados sobre malha alheia, diferentemente do investimento ordinário em contratos de concessão, pressupõe-se uma relação trilateral. No caso, envolve a União, como poder concedente; a Vale S/A, como concessionária da Ferrovia Vitória Minas; e a Valec como concessionária da Ferrovia de Integração Oeste Leste e da Ferrovia de Integração Centro-Oeste, como titular dos projetos a serem executados. </w:t>
      </w:r>
    </w:p>
    <w:p w14:paraId="7FA49FAE" w14:textId="77777777" w:rsidR="0013173C" w:rsidRPr="00252D7B" w:rsidRDefault="0013173C" w:rsidP="0013173C">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A relação tripartite requer uma série de especificidades, dentre elas destaca-se necessidade de um crédito em favor da União (enquanto titular do direito à contrapartida exigida da Vale S/A por ocasião da Prorrogação Antecipada da Ferrovia Vitória Minas), contra a Valec (beneficiária-final dos Investimentos Cruzados empreendidos pela Vale S/A). Está sendo discutido com o Ministério da Infraestrutura, Coordenação de Contabilidade da Secretaria do Tesouro Nacional e a Coordenação de Participações Societária do Tesouro Nacional uma forma de internalização na Valec do direito de receber da Vale S/A, se por meio de aumento de capital social ou por outro meio. </w:t>
      </w:r>
    </w:p>
    <w:p w14:paraId="698ED477" w14:textId="77777777" w:rsidR="0013173C" w:rsidRPr="00252D7B" w:rsidRDefault="0013173C" w:rsidP="0013173C">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No entanto, devido ao encerramento do exercício de 2021 e ainda não haver um entendimento em comum (discussões e estudos em andamento), mas com custos já efetuados pendentes de contabilização, a Valec contabilizou como um ativo e um passivo sem que interferisse no orçamento e nem nas contas de resultado, até que seja concluído os estudos e todos os órgãos envolvidos estejam de acordo. Assim, a Valec reconheceu no Ativo Imobilizado o total de R$ 264,43 milhões no âmbito do Investimento Cruzado, como contrapartida a presente conta de passivo.</w:t>
      </w:r>
    </w:p>
    <w:p w14:paraId="2779B59E" w14:textId="77777777" w:rsidR="0013173C" w:rsidRPr="00252D7B" w:rsidRDefault="0013173C" w:rsidP="0013173C">
      <w:pPr>
        <w:spacing w:before="120" w:after="120"/>
        <w:rPr>
          <w:rFonts w:asciiTheme="minorHAnsi" w:hAnsiTheme="minorHAnsi" w:cstheme="minorHAnsi"/>
        </w:rPr>
      </w:pPr>
    </w:p>
    <w:p w14:paraId="033946D1" w14:textId="77777777" w:rsidR="0013173C" w:rsidRPr="00252D7B" w:rsidRDefault="0013173C" w:rsidP="00516234">
      <w:pPr>
        <w:pStyle w:val="Ttulo3"/>
        <w:spacing w:before="120" w:after="120"/>
        <w:rPr>
          <w:rFonts w:asciiTheme="minorHAnsi" w:hAnsiTheme="minorHAnsi" w:cstheme="minorHAnsi"/>
        </w:rPr>
      </w:pPr>
      <w:bookmarkStart w:id="694" w:name="_Toc97918846"/>
      <w:bookmarkStart w:id="695" w:name="_Toc103680648"/>
      <w:r w:rsidRPr="00252D7B">
        <w:rPr>
          <w:rFonts w:asciiTheme="minorHAnsi" w:hAnsiTheme="minorHAnsi" w:cstheme="minorHAnsi"/>
        </w:rPr>
        <w:t>Direitos de uso e passivos de arrendamentos</w:t>
      </w:r>
      <w:bookmarkEnd w:id="694"/>
      <w:bookmarkEnd w:id="695"/>
    </w:p>
    <w:p w14:paraId="475E804A" w14:textId="77777777" w:rsidR="0013173C" w:rsidRPr="00252D7B" w:rsidRDefault="0013173C" w:rsidP="0013173C">
      <w:pPr>
        <w:spacing w:before="120" w:after="120"/>
        <w:ind w:right="57"/>
        <w:jc w:val="both"/>
        <w:rPr>
          <w:rFonts w:asciiTheme="minorHAnsi" w:hAnsiTheme="minorHAnsi" w:cstheme="minorHAnsi"/>
          <w:sz w:val="24"/>
          <w:szCs w:val="24"/>
        </w:rPr>
      </w:pPr>
      <w:r w:rsidRPr="00252D7B">
        <w:rPr>
          <w:rFonts w:asciiTheme="minorHAnsi" w:hAnsiTheme="minorHAnsi" w:cstheme="minorHAnsi"/>
          <w:sz w:val="24"/>
          <w:szCs w:val="24"/>
        </w:rPr>
        <w:t>O Pronunciamento Contábil CPC  06 (R2) estabeleceu um modelo único de contabilização de arrendamentos no balanço patrimonial para arrendatários. Um arrendatário reconhece um ativo de direito de uso que representa o seu direito de utilizar o ativo arrendado, o qual é reconhecido inicialmente pelo custo e, subsequentemente, pelo custo menos qualquer depreciação acumulada e ajustado pela taxa dos respectivos contratos; e um passivo de arrendamento que representa sua obrigação de efetuar pagamentos do arrendamento, mensurado inicialmente pelo valor presente dos pagamentos.</w:t>
      </w:r>
    </w:p>
    <w:p w14:paraId="0F6C71DA" w14:textId="77777777" w:rsidR="0013173C" w:rsidRPr="00252D7B" w:rsidRDefault="0013173C" w:rsidP="0013173C">
      <w:pPr>
        <w:spacing w:before="120" w:after="120"/>
        <w:ind w:right="57"/>
        <w:jc w:val="both"/>
        <w:rPr>
          <w:rFonts w:asciiTheme="minorHAnsi" w:hAnsiTheme="minorHAnsi" w:cstheme="minorHAnsi"/>
          <w:sz w:val="24"/>
          <w:szCs w:val="24"/>
        </w:rPr>
      </w:pPr>
      <w:r w:rsidRPr="00252D7B">
        <w:rPr>
          <w:rFonts w:asciiTheme="minorHAnsi" w:hAnsiTheme="minorHAnsi" w:cstheme="minorHAnsi"/>
          <w:sz w:val="24"/>
          <w:szCs w:val="24"/>
        </w:rPr>
        <w:t xml:space="preserve">A Valec realiza periodicamente a análise de seus contratos de locação vigentes para identificar quais se enquadram no alcance abrangência do referido normativo contábil. Atualmente são contabilizados como Direito de Uso e Passivos de Arrendamentos os contratos de locação de imóveis </w:t>
      </w:r>
      <w:r w:rsidRPr="00252D7B">
        <w:rPr>
          <w:rFonts w:asciiTheme="minorHAnsi" w:hAnsiTheme="minorHAnsi" w:cstheme="minorHAnsi"/>
          <w:sz w:val="24"/>
          <w:szCs w:val="24"/>
        </w:rPr>
        <w:lastRenderedPageBreak/>
        <w:t>e veículos, com período contratual superior a 12 meses, considerando a possibilidade de renovação, que obedecem aos critérios para mensuração, reconhecimento e registro de contratos de arrendamento.</w:t>
      </w:r>
    </w:p>
    <w:p w14:paraId="4E586FF1" w14:textId="77777777" w:rsidR="0013173C" w:rsidRPr="00252D7B" w:rsidRDefault="0013173C" w:rsidP="0013173C">
      <w:pPr>
        <w:spacing w:before="120" w:after="120"/>
        <w:ind w:right="57"/>
        <w:jc w:val="both"/>
        <w:rPr>
          <w:rFonts w:asciiTheme="minorHAnsi" w:hAnsiTheme="minorHAnsi" w:cstheme="minorHAnsi"/>
          <w:sz w:val="24"/>
          <w:szCs w:val="24"/>
        </w:rPr>
      </w:pPr>
      <w:r w:rsidRPr="00252D7B">
        <w:rPr>
          <w:rFonts w:asciiTheme="minorHAnsi" w:hAnsiTheme="minorHAnsi" w:cstheme="minorHAnsi"/>
          <w:sz w:val="24"/>
          <w:szCs w:val="24"/>
        </w:rPr>
        <w:t xml:space="preserve">A conta “Direito de Uso de Veículos” trata-se de direitos estabelecidos em contratos de locação de veículos para utilização na sede e nos trechos em obras da Valec. Já a conta “Direito de Uso de Imóvel” trata-se de direitos com origem em contratos de locação de imóveis que, após análise nos contratos, verificou-se que somente o contrato de locação do imóvel onde se encontra a sede da empresa preenche os requisitos estabelecidos no CPC 06 (R2). </w:t>
      </w:r>
    </w:p>
    <w:p w14:paraId="31CB4FC9" w14:textId="77777777" w:rsidR="0013173C" w:rsidRPr="00252D7B" w:rsidRDefault="0013173C" w:rsidP="0013173C">
      <w:pPr>
        <w:spacing w:before="120" w:after="120"/>
        <w:ind w:right="57"/>
        <w:jc w:val="both"/>
        <w:rPr>
          <w:rFonts w:asciiTheme="minorHAnsi" w:hAnsiTheme="minorHAnsi" w:cstheme="minorHAnsi"/>
          <w:sz w:val="24"/>
          <w:szCs w:val="24"/>
        </w:rPr>
      </w:pPr>
    </w:p>
    <w:p w14:paraId="5FC0A6B0" w14:textId="55449112" w:rsidR="0013173C" w:rsidRPr="005059B1" w:rsidRDefault="0013173C" w:rsidP="005059B1">
      <w:pPr>
        <w:pStyle w:val="Legenda"/>
        <w:jc w:val="center"/>
        <w:rPr>
          <w:rFonts w:asciiTheme="minorHAnsi" w:hAnsiTheme="minorHAnsi" w:cstheme="minorHAnsi"/>
          <w:sz w:val="20"/>
          <w:szCs w:val="20"/>
        </w:rPr>
      </w:pPr>
      <w:bookmarkStart w:id="696" w:name="_Toc97918923"/>
      <w:bookmarkStart w:id="697" w:name="_Toc103680709"/>
      <w:r w:rsidRPr="00252D7B">
        <w:rPr>
          <w:rFonts w:asciiTheme="minorHAnsi" w:hAnsiTheme="minorHAnsi" w:cstheme="minorHAnsi"/>
          <w:sz w:val="20"/>
          <w:szCs w:val="20"/>
        </w:rPr>
        <w:t xml:space="preserve">Tabela </w:t>
      </w:r>
      <w:r w:rsidRPr="005059B1">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Tabela \* ARABIC </w:instrText>
      </w:r>
      <w:r w:rsidRPr="005059B1">
        <w:rPr>
          <w:rFonts w:asciiTheme="minorHAnsi" w:hAnsiTheme="minorHAnsi" w:cstheme="minorHAnsi"/>
          <w:sz w:val="20"/>
          <w:szCs w:val="20"/>
        </w:rPr>
        <w:fldChar w:fldCharType="separate"/>
      </w:r>
      <w:r w:rsidR="00C12888">
        <w:rPr>
          <w:rFonts w:asciiTheme="minorHAnsi" w:hAnsiTheme="minorHAnsi" w:cstheme="minorHAnsi"/>
          <w:noProof/>
          <w:sz w:val="20"/>
          <w:szCs w:val="20"/>
        </w:rPr>
        <w:t>47</w:t>
      </w:r>
      <w:r w:rsidRPr="005059B1">
        <w:rPr>
          <w:rFonts w:asciiTheme="minorHAnsi" w:hAnsiTheme="minorHAnsi" w:cstheme="minorHAnsi"/>
          <w:sz w:val="20"/>
          <w:szCs w:val="20"/>
        </w:rPr>
        <w:fldChar w:fldCharType="end"/>
      </w:r>
      <w:r w:rsidRPr="00252D7B">
        <w:rPr>
          <w:rFonts w:asciiTheme="minorHAnsi" w:hAnsiTheme="minorHAnsi" w:cstheme="minorHAnsi"/>
          <w:sz w:val="20"/>
          <w:szCs w:val="20"/>
        </w:rPr>
        <w:t xml:space="preserve"> – Conta “Direito de Uso de Veículos”</w:t>
      </w:r>
      <w:bookmarkEnd w:id="696"/>
      <w:bookmarkEnd w:id="697"/>
    </w:p>
    <w:tbl>
      <w:tblPr>
        <w:tblW w:w="5000" w:type="pct"/>
        <w:tblCellMar>
          <w:left w:w="70" w:type="dxa"/>
          <w:right w:w="70" w:type="dxa"/>
        </w:tblCellMar>
        <w:tblLook w:val="04A0" w:firstRow="1" w:lastRow="0" w:firstColumn="1" w:lastColumn="0" w:noHBand="0" w:noVBand="1"/>
      </w:tblPr>
      <w:tblGrid>
        <w:gridCol w:w="3421"/>
        <w:gridCol w:w="1955"/>
        <w:gridCol w:w="2485"/>
        <w:gridCol w:w="1885"/>
      </w:tblGrid>
      <w:tr w:rsidR="0013173C" w:rsidRPr="00252D7B" w14:paraId="28E89722" w14:textId="77777777" w:rsidTr="00F6584E">
        <w:trPr>
          <w:trHeight w:val="227"/>
        </w:trPr>
        <w:tc>
          <w:tcPr>
            <w:tcW w:w="1776" w:type="pct"/>
            <w:tcBorders>
              <w:top w:val="nil"/>
              <w:left w:val="nil"/>
              <w:bottom w:val="single" w:sz="8" w:space="0" w:color="auto"/>
              <w:right w:val="nil"/>
            </w:tcBorders>
            <w:shd w:val="clear" w:color="auto" w:fill="auto"/>
            <w:noWrap/>
            <w:vAlign w:val="center"/>
            <w:hideMark/>
          </w:tcPr>
          <w:p w14:paraId="7CC79184" w14:textId="77777777" w:rsidR="0013173C" w:rsidRPr="00252D7B" w:rsidRDefault="0013173C" w:rsidP="00F6584E">
            <w:pPr>
              <w:spacing w:after="120"/>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xml:space="preserve">DIREITO DE USO </w:t>
            </w:r>
          </w:p>
        </w:tc>
        <w:tc>
          <w:tcPr>
            <w:tcW w:w="1024" w:type="pct"/>
            <w:tcBorders>
              <w:top w:val="nil"/>
              <w:left w:val="nil"/>
              <w:bottom w:val="single" w:sz="8" w:space="0" w:color="auto"/>
              <w:right w:val="nil"/>
            </w:tcBorders>
            <w:shd w:val="clear" w:color="auto" w:fill="auto"/>
            <w:noWrap/>
            <w:vAlign w:val="center"/>
            <w:hideMark/>
          </w:tcPr>
          <w:p w14:paraId="0F265E28"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VALOR CONTRATUAL</w:t>
            </w:r>
          </w:p>
        </w:tc>
        <w:tc>
          <w:tcPr>
            <w:tcW w:w="1212" w:type="pct"/>
            <w:tcBorders>
              <w:top w:val="nil"/>
              <w:left w:val="nil"/>
              <w:bottom w:val="single" w:sz="8" w:space="0" w:color="auto"/>
              <w:right w:val="nil"/>
            </w:tcBorders>
            <w:shd w:val="clear" w:color="auto" w:fill="auto"/>
            <w:noWrap/>
            <w:vAlign w:val="center"/>
            <w:hideMark/>
          </w:tcPr>
          <w:p w14:paraId="4DF6D8E8"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DEPRECIAÇÃO ACUMULADA</w:t>
            </w:r>
          </w:p>
        </w:tc>
        <w:tc>
          <w:tcPr>
            <w:tcW w:w="988" w:type="pct"/>
            <w:tcBorders>
              <w:top w:val="nil"/>
              <w:left w:val="nil"/>
              <w:bottom w:val="single" w:sz="8" w:space="0" w:color="auto"/>
              <w:right w:val="nil"/>
            </w:tcBorders>
            <w:shd w:val="clear" w:color="auto" w:fill="auto"/>
            <w:vAlign w:val="center"/>
            <w:hideMark/>
          </w:tcPr>
          <w:p w14:paraId="11EC14DA"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SALDO LÍQUIDO EM 31/12/2021</w:t>
            </w:r>
          </w:p>
        </w:tc>
      </w:tr>
      <w:tr w:rsidR="0013173C" w:rsidRPr="00252D7B" w14:paraId="31DB088A" w14:textId="77777777" w:rsidTr="00F6584E">
        <w:trPr>
          <w:trHeight w:val="227"/>
        </w:trPr>
        <w:tc>
          <w:tcPr>
            <w:tcW w:w="1776" w:type="pct"/>
            <w:tcBorders>
              <w:top w:val="nil"/>
              <w:left w:val="nil"/>
              <w:bottom w:val="nil"/>
              <w:right w:val="nil"/>
            </w:tcBorders>
            <w:shd w:val="clear" w:color="auto" w:fill="auto"/>
            <w:noWrap/>
            <w:vAlign w:val="center"/>
            <w:hideMark/>
          </w:tcPr>
          <w:p w14:paraId="7DFAC612"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 xml:space="preserve">Direito de Uso de Veículos </w:t>
            </w:r>
          </w:p>
        </w:tc>
        <w:tc>
          <w:tcPr>
            <w:tcW w:w="1024" w:type="pct"/>
            <w:tcBorders>
              <w:top w:val="nil"/>
              <w:left w:val="nil"/>
              <w:bottom w:val="nil"/>
              <w:right w:val="nil"/>
            </w:tcBorders>
            <w:shd w:val="clear" w:color="auto" w:fill="auto"/>
            <w:noWrap/>
            <w:vAlign w:val="center"/>
            <w:hideMark/>
          </w:tcPr>
          <w:p w14:paraId="188D8EC3"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2.700.800</w:t>
            </w:r>
          </w:p>
        </w:tc>
        <w:tc>
          <w:tcPr>
            <w:tcW w:w="1212" w:type="pct"/>
            <w:tcBorders>
              <w:top w:val="nil"/>
              <w:left w:val="nil"/>
              <w:bottom w:val="nil"/>
              <w:right w:val="nil"/>
            </w:tcBorders>
            <w:shd w:val="clear" w:color="auto" w:fill="auto"/>
            <w:noWrap/>
            <w:vAlign w:val="center"/>
            <w:hideMark/>
          </w:tcPr>
          <w:p w14:paraId="09AA89D0"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(979.500)</w:t>
            </w:r>
          </w:p>
        </w:tc>
        <w:tc>
          <w:tcPr>
            <w:tcW w:w="988" w:type="pct"/>
            <w:tcBorders>
              <w:top w:val="nil"/>
              <w:left w:val="nil"/>
              <w:bottom w:val="nil"/>
              <w:right w:val="nil"/>
            </w:tcBorders>
            <w:shd w:val="clear" w:color="auto" w:fill="auto"/>
            <w:noWrap/>
            <w:vAlign w:val="center"/>
            <w:hideMark/>
          </w:tcPr>
          <w:p w14:paraId="6E75A22A"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1.721.300</w:t>
            </w:r>
          </w:p>
        </w:tc>
      </w:tr>
      <w:tr w:rsidR="0013173C" w:rsidRPr="00252D7B" w14:paraId="3D6440BB" w14:textId="77777777" w:rsidTr="00F6584E">
        <w:trPr>
          <w:trHeight w:val="227"/>
        </w:trPr>
        <w:tc>
          <w:tcPr>
            <w:tcW w:w="1776" w:type="pct"/>
            <w:tcBorders>
              <w:top w:val="nil"/>
              <w:left w:val="nil"/>
              <w:bottom w:val="single" w:sz="8" w:space="0" w:color="auto"/>
              <w:right w:val="nil"/>
            </w:tcBorders>
            <w:shd w:val="clear" w:color="auto" w:fill="auto"/>
            <w:noWrap/>
            <w:vAlign w:val="center"/>
            <w:hideMark/>
          </w:tcPr>
          <w:p w14:paraId="3AE36389"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Direito de Uso de Imóveis</w:t>
            </w:r>
          </w:p>
        </w:tc>
        <w:tc>
          <w:tcPr>
            <w:tcW w:w="1024" w:type="pct"/>
            <w:tcBorders>
              <w:top w:val="nil"/>
              <w:left w:val="nil"/>
              <w:bottom w:val="single" w:sz="8" w:space="0" w:color="auto"/>
              <w:right w:val="nil"/>
            </w:tcBorders>
            <w:shd w:val="clear" w:color="auto" w:fill="auto"/>
            <w:noWrap/>
            <w:vAlign w:val="center"/>
            <w:hideMark/>
          </w:tcPr>
          <w:p w14:paraId="406E4A99"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54.506.527</w:t>
            </w:r>
          </w:p>
        </w:tc>
        <w:tc>
          <w:tcPr>
            <w:tcW w:w="1212" w:type="pct"/>
            <w:tcBorders>
              <w:top w:val="nil"/>
              <w:left w:val="nil"/>
              <w:bottom w:val="single" w:sz="8" w:space="0" w:color="auto"/>
              <w:right w:val="nil"/>
            </w:tcBorders>
            <w:shd w:val="clear" w:color="auto" w:fill="auto"/>
            <w:noWrap/>
            <w:vAlign w:val="center"/>
            <w:hideMark/>
          </w:tcPr>
          <w:p w14:paraId="6230A287"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(34.556.527)</w:t>
            </w:r>
          </w:p>
        </w:tc>
        <w:tc>
          <w:tcPr>
            <w:tcW w:w="988" w:type="pct"/>
            <w:tcBorders>
              <w:top w:val="nil"/>
              <w:left w:val="nil"/>
              <w:bottom w:val="single" w:sz="8" w:space="0" w:color="auto"/>
              <w:right w:val="nil"/>
            </w:tcBorders>
            <w:shd w:val="clear" w:color="auto" w:fill="auto"/>
            <w:vAlign w:val="center"/>
            <w:hideMark/>
          </w:tcPr>
          <w:p w14:paraId="7ED7F1CD"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19.950.000</w:t>
            </w:r>
          </w:p>
        </w:tc>
      </w:tr>
      <w:tr w:rsidR="0013173C" w:rsidRPr="00252D7B" w14:paraId="7B37F9A7" w14:textId="77777777" w:rsidTr="00F6584E">
        <w:trPr>
          <w:trHeight w:val="227"/>
        </w:trPr>
        <w:tc>
          <w:tcPr>
            <w:tcW w:w="1776" w:type="pct"/>
            <w:tcBorders>
              <w:top w:val="nil"/>
              <w:left w:val="nil"/>
              <w:bottom w:val="single" w:sz="8" w:space="0" w:color="auto"/>
              <w:right w:val="nil"/>
            </w:tcBorders>
            <w:shd w:val="clear" w:color="auto" w:fill="auto"/>
            <w:noWrap/>
            <w:vAlign w:val="center"/>
            <w:hideMark/>
          </w:tcPr>
          <w:p w14:paraId="4A141821" w14:textId="77777777" w:rsidR="0013173C" w:rsidRPr="00252D7B" w:rsidRDefault="0013173C" w:rsidP="00F6584E">
            <w:pPr>
              <w:spacing w:after="120"/>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TOTAL DIREITO DE USO</w:t>
            </w:r>
          </w:p>
        </w:tc>
        <w:tc>
          <w:tcPr>
            <w:tcW w:w="1024" w:type="pct"/>
            <w:tcBorders>
              <w:top w:val="nil"/>
              <w:left w:val="nil"/>
              <w:bottom w:val="single" w:sz="8" w:space="0" w:color="auto"/>
              <w:right w:val="nil"/>
            </w:tcBorders>
            <w:shd w:val="clear" w:color="auto" w:fill="auto"/>
            <w:noWrap/>
            <w:vAlign w:val="center"/>
            <w:hideMark/>
          </w:tcPr>
          <w:p w14:paraId="7FEE8DCA"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57.207.327</w:t>
            </w:r>
          </w:p>
        </w:tc>
        <w:tc>
          <w:tcPr>
            <w:tcW w:w="1212" w:type="pct"/>
            <w:tcBorders>
              <w:top w:val="nil"/>
              <w:left w:val="nil"/>
              <w:bottom w:val="single" w:sz="8" w:space="0" w:color="auto"/>
              <w:right w:val="nil"/>
            </w:tcBorders>
            <w:shd w:val="clear" w:color="auto" w:fill="auto"/>
            <w:noWrap/>
            <w:vAlign w:val="center"/>
            <w:hideMark/>
          </w:tcPr>
          <w:p w14:paraId="7DC27C7C"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(35.536.027)</w:t>
            </w:r>
          </w:p>
        </w:tc>
        <w:tc>
          <w:tcPr>
            <w:tcW w:w="988" w:type="pct"/>
            <w:tcBorders>
              <w:top w:val="nil"/>
              <w:left w:val="nil"/>
              <w:bottom w:val="single" w:sz="8" w:space="0" w:color="auto"/>
              <w:right w:val="nil"/>
            </w:tcBorders>
            <w:shd w:val="clear" w:color="auto" w:fill="auto"/>
            <w:vAlign w:val="center"/>
            <w:hideMark/>
          </w:tcPr>
          <w:p w14:paraId="292E95DD"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21.671.300</w:t>
            </w:r>
          </w:p>
        </w:tc>
      </w:tr>
    </w:tbl>
    <w:p w14:paraId="2D71689D" w14:textId="77777777" w:rsidR="0013173C" w:rsidRPr="00252D7B" w:rsidRDefault="0013173C" w:rsidP="0013173C">
      <w:pPr>
        <w:spacing w:before="120" w:after="120"/>
        <w:ind w:right="57"/>
        <w:jc w:val="both"/>
        <w:rPr>
          <w:rFonts w:asciiTheme="minorHAnsi" w:hAnsiTheme="minorHAnsi" w:cstheme="minorHAnsi"/>
          <w:sz w:val="24"/>
          <w:szCs w:val="24"/>
        </w:rPr>
      </w:pPr>
    </w:p>
    <w:p w14:paraId="72C72D11" w14:textId="77777777" w:rsidR="0013173C" w:rsidRPr="00252D7B" w:rsidRDefault="0013173C" w:rsidP="0013173C">
      <w:pPr>
        <w:spacing w:before="120" w:after="120"/>
        <w:ind w:right="57"/>
        <w:jc w:val="both"/>
        <w:rPr>
          <w:rFonts w:asciiTheme="minorHAnsi" w:hAnsiTheme="minorHAnsi" w:cstheme="minorHAnsi"/>
          <w:sz w:val="24"/>
          <w:szCs w:val="24"/>
        </w:rPr>
      </w:pPr>
      <w:r w:rsidRPr="00252D7B">
        <w:rPr>
          <w:rFonts w:asciiTheme="minorHAnsi" w:hAnsiTheme="minorHAnsi" w:cstheme="minorHAnsi"/>
          <w:sz w:val="24"/>
          <w:szCs w:val="24"/>
        </w:rPr>
        <w:t>As obrigações contratuais a pagar referente a contratos de locação de veículos e imóveis classificados como contratos de arrendamentos como base na vigência do contrato, em conformidade com o CPC 06 (R2) apresentam a seguinte movimentação no exercício de 2021:</w:t>
      </w:r>
    </w:p>
    <w:p w14:paraId="5E18E3CE" w14:textId="77777777" w:rsidR="0013173C" w:rsidRPr="00252D7B" w:rsidRDefault="0013173C" w:rsidP="0013173C">
      <w:pPr>
        <w:spacing w:before="120" w:after="120"/>
        <w:ind w:right="57"/>
        <w:jc w:val="both"/>
        <w:rPr>
          <w:rFonts w:asciiTheme="minorHAnsi" w:hAnsiTheme="minorHAnsi" w:cstheme="minorHAnsi"/>
          <w:sz w:val="24"/>
          <w:szCs w:val="24"/>
        </w:rPr>
      </w:pPr>
    </w:p>
    <w:p w14:paraId="7BE82EC6" w14:textId="2AD53BC5" w:rsidR="0013173C" w:rsidRPr="005059B1" w:rsidRDefault="0013173C" w:rsidP="005059B1">
      <w:pPr>
        <w:pStyle w:val="Legenda"/>
        <w:jc w:val="center"/>
        <w:rPr>
          <w:rFonts w:asciiTheme="minorHAnsi" w:hAnsiTheme="minorHAnsi" w:cstheme="minorHAnsi"/>
          <w:sz w:val="20"/>
          <w:szCs w:val="20"/>
        </w:rPr>
      </w:pPr>
      <w:bookmarkStart w:id="698" w:name="_Toc97918924"/>
      <w:bookmarkStart w:id="699" w:name="_Toc103680710"/>
      <w:r w:rsidRPr="00252D7B">
        <w:rPr>
          <w:rFonts w:asciiTheme="minorHAnsi" w:hAnsiTheme="minorHAnsi" w:cstheme="minorHAnsi"/>
          <w:sz w:val="20"/>
          <w:szCs w:val="20"/>
        </w:rPr>
        <w:t xml:space="preserve">Tabela </w:t>
      </w:r>
      <w:r w:rsidRPr="005059B1">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Tabela \* ARABIC </w:instrText>
      </w:r>
      <w:r w:rsidRPr="005059B1">
        <w:rPr>
          <w:rFonts w:asciiTheme="minorHAnsi" w:hAnsiTheme="minorHAnsi" w:cstheme="minorHAnsi"/>
          <w:sz w:val="20"/>
          <w:szCs w:val="20"/>
        </w:rPr>
        <w:fldChar w:fldCharType="separate"/>
      </w:r>
      <w:r w:rsidR="00C12888">
        <w:rPr>
          <w:rFonts w:asciiTheme="minorHAnsi" w:hAnsiTheme="minorHAnsi" w:cstheme="minorHAnsi"/>
          <w:noProof/>
          <w:sz w:val="20"/>
          <w:szCs w:val="20"/>
        </w:rPr>
        <w:t>48</w:t>
      </w:r>
      <w:r w:rsidRPr="005059B1">
        <w:rPr>
          <w:rFonts w:asciiTheme="minorHAnsi" w:hAnsiTheme="minorHAnsi" w:cstheme="minorHAnsi"/>
          <w:sz w:val="20"/>
          <w:szCs w:val="20"/>
        </w:rPr>
        <w:fldChar w:fldCharType="end"/>
      </w:r>
      <w:r w:rsidRPr="00252D7B">
        <w:rPr>
          <w:rFonts w:asciiTheme="minorHAnsi" w:hAnsiTheme="minorHAnsi" w:cstheme="minorHAnsi"/>
          <w:sz w:val="20"/>
          <w:szCs w:val="20"/>
        </w:rPr>
        <w:t xml:space="preserve"> – Contratos de arrendamento</w:t>
      </w:r>
      <w:bookmarkEnd w:id="698"/>
      <w:bookmarkEnd w:id="699"/>
    </w:p>
    <w:tbl>
      <w:tblPr>
        <w:tblW w:w="5000" w:type="pct"/>
        <w:tblCellMar>
          <w:left w:w="70" w:type="dxa"/>
          <w:right w:w="70" w:type="dxa"/>
        </w:tblCellMar>
        <w:tblLook w:val="04A0" w:firstRow="1" w:lastRow="0" w:firstColumn="1" w:lastColumn="0" w:noHBand="0" w:noVBand="1"/>
      </w:tblPr>
      <w:tblGrid>
        <w:gridCol w:w="3658"/>
        <w:gridCol w:w="1117"/>
        <w:gridCol w:w="1359"/>
        <w:gridCol w:w="1153"/>
        <w:gridCol w:w="1342"/>
        <w:gridCol w:w="1117"/>
      </w:tblGrid>
      <w:tr w:rsidR="0013173C" w:rsidRPr="00252D7B" w14:paraId="4242E455" w14:textId="77777777" w:rsidTr="00F6584E">
        <w:trPr>
          <w:trHeight w:hRule="exact" w:val="542"/>
        </w:trPr>
        <w:tc>
          <w:tcPr>
            <w:tcW w:w="1877" w:type="pct"/>
            <w:tcBorders>
              <w:top w:val="nil"/>
              <w:left w:val="nil"/>
              <w:bottom w:val="single" w:sz="8" w:space="0" w:color="auto"/>
              <w:right w:val="nil"/>
            </w:tcBorders>
            <w:shd w:val="clear" w:color="auto" w:fill="auto"/>
            <w:noWrap/>
            <w:vAlign w:val="center"/>
            <w:hideMark/>
          </w:tcPr>
          <w:p w14:paraId="15575313" w14:textId="77777777" w:rsidR="0013173C" w:rsidRPr="00252D7B" w:rsidRDefault="0013173C" w:rsidP="00F6584E">
            <w:pPr>
              <w:spacing w:after="120"/>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PASSIVO DE ARRENDAMENTO</w:t>
            </w:r>
          </w:p>
        </w:tc>
        <w:tc>
          <w:tcPr>
            <w:tcW w:w="573" w:type="pct"/>
            <w:tcBorders>
              <w:top w:val="nil"/>
              <w:left w:val="nil"/>
              <w:bottom w:val="single" w:sz="8" w:space="0" w:color="auto"/>
              <w:right w:val="nil"/>
            </w:tcBorders>
            <w:shd w:val="clear" w:color="auto" w:fill="auto"/>
            <w:vAlign w:val="center"/>
            <w:hideMark/>
          </w:tcPr>
          <w:p w14:paraId="521ABE2B" w14:textId="77777777" w:rsidR="0013173C" w:rsidRPr="00252D7B" w:rsidRDefault="0013173C" w:rsidP="00F6584E">
            <w:pPr>
              <w:spacing w:after="120"/>
              <w:jc w:val="center"/>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SALDO LÍQUIDO EM 31/12/2020</w:t>
            </w:r>
          </w:p>
        </w:tc>
        <w:tc>
          <w:tcPr>
            <w:tcW w:w="697" w:type="pct"/>
            <w:tcBorders>
              <w:top w:val="nil"/>
              <w:left w:val="nil"/>
              <w:bottom w:val="single" w:sz="8" w:space="0" w:color="auto"/>
              <w:right w:val="nil"/>
            </w:tcBorders>
            <w:shd w:val="clear" w:color="auto" w:fill="auto"/>
            <w:vAlign w:val="center"/>
            <w:hideMark/>
          </w:tcPr>
          <w:p w14:paraId="66FE4F49" w14:textId="77777777" w:rsidR="0013173C" w:rsidRPr="00252D7B" w:rsidRDefault="0013173C" w:rsidP="00F6584E">
            <w:pPr>
              <w:spacing w:after="120"/>
              <w:jc w:val="center"/>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REVISÃO CONTRATUAL/ REAJUSTES</w:t>
            </w:r>
          </w:p>
        </w:tc>
        <w:tc>
          <w:tcPr>
            <w:tcW w:w="592" w:type="pct"/>
            <w:tcBorders>
              <w:top w:val="nil"/>
              <w:left w:val="nil"/>
              <w:bottom w:val="single" w:sz="8" w:space="0" w:color="auto"/>
              <w:right w:val="nil"/>
            </w:tcBorders>
            <w:shd w:val="clear" w:color="auto" w:fill="auto"/>
            <w:vAlign w:val="center"/>
            <w:hideMark/>
          </w:tcPr>
          <w:p w14:paraId="4534914A" w14:textId="77777777" w:rsidR="0013173C" w:rsidRPr="00252D7B" w:rsidRDefault="0013173C" w:rsidP="00F6584E">
            <w:pPr>
              <w:spacing w:after="120"/>
              <w:jc w:val="center"/>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xml:space="preserve">DESCONTOS OBTIDOS </w:t>
            </w:r>
          </w:p>
        </w:tc>
        <w:tc>
          <w:tcPr>
            <w:tcW w:w="688" w:type="pct"/>
            <w:tcBorders>
              <w:top w:val="nil"/>
              <w:left w:val="nil"/>
              <w:bottom w:val="single" w:sz="8" w:space="0" w:color="auto"/>
              <w:right w:val="nil"/>
            </w:tcBorders>
            <w:shd w:val="clear" w:color="auto" w:fill="auto"/>
            <w:vAlign w:val="center"/>
            <w:hideMark/>
          </w:tcPr>
          <w:p w14:paraId="0CB6A1B2" w14:textId="77777777" w:rsidR="0013173C" w:rsidRPr="00252D7B" w:rsidRDefault="0013173C" w:rsidP="00F6584E">
            <w:pPr>
              <w:spacing w:after="120"/>
              <w:jc w:val="center"/>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PAGAMENTOS EFETUADOS</w:t>
            </w:r>
          </w:p>
        </w:tc>
        <w:tc>
          <w:tcPr>
            <w:tcW w:w="573" w:type="pct"/>
            <w:tcBorders>
              <w:top w:val="nil"/>
              <w:left w:val="nil"/>
              <w:bottom w:val="single" w:sz="8" w:space="0" w:color="auto"/>
              <w:right w:val="nil"/>
            </w:tcBorders>
            <w:shd w:val="clear" w:color="auto" w:fill="auto"/>
            <w:vAlign w:val="center"/>
            <w:hideMark/>
          </w:tcPr>
          <w:p w14:paraId="5565ED06" w14:textId="77777777" w:rsidR="0013173C" w:rsidRPr="00252D7B" w:rsidRDefault="0013173C" w:rsidP="00F6584E">
            <w:pPr>
              <w:spacing w:after="120"/>
              <w:jc w:val="center"/>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SALDO LÍQUIDO EM 31/12/2021</w:t>
            </w:r>
          </w:p>
        </w:tc>
      </w:tr>
      <w:tr w:rsidR="0013173C" w:rsidRPr="00252D7B" w14:paraId="00238535" w14:textId="77777777" w:rsidTr="00F6584E">
        <w:trPr>
          <w:trHeight w:hRule="exact" w:val="227"/>
        </w:trPr>
        <w:tc>
          <w:tcPr>
            <w:tcW w:w="1877" w:type="pct"/>
            <w:tcBorders>
              <w:top w:val="nil"/>
              <w:left w:val="nil"/>
              <w:bottom w:val="nil"/>
              <w:right w:val="nil"/>
            </w:tcBorders>
            <w:shd w:val="clear" w:color="auto" w:fill="auto"/>
            <w:noWrap/>
            <w:vAlign w:val="center"/>
            <w:hideMark/>
          </w:tcPr>
          <w:p w14:paraId="1B3E72F6"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 xml:space="preserve">Passivo de Arrendamento de Veículos </w:t>
            </w:r>
          </w:p>
        </w:tc>
        <w:tc>
          <w:tcPr>
            <w:tcW w:w="573" w:type="pct"/>
            <w:tcBorders>
              <w:top w:val="nil"/>
              <w:left w:val="nil"/>
              <w:bottom w:val="nil"/>
              <w:right w:val="nil"/>
            </w:tcBorders>
            <w:shd w:val="clear" w:color="auto" w:fill="auto"/>
            <w:noWrap/>
            <w:vAlign w:val="center"/>
            <w:hideMark/>
          </w:tcPr>
          <w:p w14:paraId="45CD184A"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2.592.700</w:t>
            </w:r>
          </w:p>
        </w:tc>
        <w:tc>
          <w:tcPr>
            <w:tcW w:w="697" w:type="pct"/>
            <w:tcBorders>
              <w:top w:val="nil"/>
              <w:left w:val="nil"/>
              <w:bottom w:val="nil"/>
              <w:right w:val="nil"/>
            </w:tcBorders>
            <w:shd w:val="clear" w:color="auto" w:fill="auto"/>
            <w:vAlign w:val="center"/>
            <w:hideMark/>
          </w:tcPr>
          <w:p w14:paraId="6829AF50"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(362.200)</w:t>
            </w:r>
          </w:p>
        </w:tc>
        <w:tc>
          <w:tcPr>
            <w:tcW w:w="592" w:type="pct"/>
            <w:tcBorders>
              <w:top w:val="nil"/>
              <w:left w:val="nil"/>
              <w:bottom w:val="nil"/>
              <w:right w:val="nil"/>
            </w:tcBorders>
            <w:shd w:val="clear" w:color="auto" w:fill="auto"/>
            <w:noWrap/>
            <w:vAlign w:val="center"/>
            <w:hideMark/>
          </w:tcPr>
          <w:p w14:paraId="22378780" w14:textId="77777777" w:rsidR="0013173C" w:rsidRPr="00252D7B" w:rsidRDefault="0013173C" w:rsidP="00F6584E">
            <w:pPr>
              <w:spacing w:after="120"/>
              <w:jc w:val="center"/>
              <w:rPr>
                <w:rFonts w:asciiTheme="minorHAnsi" w:hAnsiTheme="minorHAnsi" w:cstheme="minorHAnsi"/>
                <w:color w:val="000000"/>
                <w:sz w:val="20"/>
                <w:szCs w:val="20"/>
              </w:rPr>
            </w:pPr>
            <w:r w:rsidRPr="00252D7B">
              <w:rPr>
                <w:rFonts w:asciiTheme="minorHAnsi" w:hAnsiTheme="minorHAnsi" w:cstheme="minorHAnsi"/>
                <w:color w:val="000000"/>
                <w:sz w:val="20"/>
                <w:szCs w:val="20"/>
              </w:rPr>
              <w:t>(173)</w:t>
            </w:r>
          </w:p>
        </w:tc>
        <w:tc>
          <w:tcPr>
            <w:tcW w:w="688" w:type="pct"/>
            <w:tcBorders>
              <w:top w:val="nil"/>
              <w:left w:val="nil"/>
              <w:bottom w:val="nil"/>
              <w:right w:val="nil"/>
            </w:tcBorders>
            <w:shd w:val="clear" w:color="auto" w:fill="auto"/>
            <w:noWrap/>
            <w:vAlign w:val="center"/>
            <w:hideMark/>
          </w:tcPr>
          <w:p w14:paraId="47560182"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(509.027)</w:t>
            </w:r>
          </w:p>
        </w:tc>
        <w:tc>
          <w:tcPr>
            <w:tcW w:w="573" w:type="pct"/>
            <w:tcBorders>
              <w:top w:val="nil"/>
              <w:left w:val="nil"/>
              <w:bottom w:val="nil"/>
              <w:right w:val="nil"/>
            </w:tcBorders>
            <w:shd w:val="clear" w:color="auto" w:fill="auto"/>
            <w:noWrap/>
            <w:vAlign w:val="center"/>
            <w:hideMark/>
          </w:tcPr>
          <w:p w14:paraId="4984A10E"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1.721.300</w:t>
            </w:r>
          </w:p>
        </w:tc>
      </w:tr>
      <w:tr w:rsidR="0013173C" w:rsidRPr="00252D7B" w14:paraId="7C88B339" w14:textId="77777777" w:rsidTr="00F6584E">
        <w:trPr>
          <w:trHeight w:hRule="exact" w:val="227"/>
        </w:trPr>
        <w:tc>
          <w:tcPr>
            <w:tcW w:w="1877" w:type="pct"/>
            <w:tcBorders>
              <w:top w:val="nil"/>
              <w:left w:val="nil"/>
              <w:bottom w:val="single" w:sz="8" w:space="0" w:color="auto"/>
              <w:right w:val="nil"/>
            </w:tcBorders>
            <w:shd w:val="clear" w:color="auto" w:fill="auto"/>
            <w:noWrap/>
            <w:vAlign w:val="center"/>
            <w:hideMark/>
          </w:tcPr>
          <w:p w14:paraId="6DBA040A"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Passivo de Arrendamento de Imóveis</w:t>
            </w:r>
          </w:p>
        </w:tc>
        <w:tc>
          <w:tcPr>
            <w:tcW w:w="573" w:type="pct"/>
            <w:tcBorders>
              <w:top w:val="nil"/>
              <w:left w:val="nil"/>
              <w:bottom w:val="single" w:sz="8" w:space="0" w:color="auto"/>
              <w:right w:val="nil"/>
            </w:tcBorders>
            <w:shd w:val="clear" w:color="auto" w:fill="auto"/>
            <w:noWrap/>
            <w:vAlign w:val="center"/>
            <w:hideMark/>
          </w:tcPr>
          <w:p w14:paraId="1439DFE9"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3.451.954</w:t>
            </w:r>
          </w:p>
        </w:tc>
        <w:tc>
          <w:tcPr>
            <w:tcW w:w="697" w:type="pct"/>
            <w:tcBorders>
              <w:top w:val="nil"/>
              <w:left w:val="nil"/>
              <w:bottom w:val="single" w:sz="8" w:space="0" w:color="auto"/>
              <w:right w:val="nil"/>
            </w:tcBorders>
            <w:shd w:val="clear" w:color="auto" w:fill="auto"/>
            <w:vAlign w:val="center"/>
            <w:hideMark/>
          </w:tcPr>
          <w:p w14:paraId="0B4F9B48"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21.431.494</w:t>
            </w:r>
          </w:p>
        </w:tc>
        <w:tc>
          <w:tcPr>
            <w:tcW w:w="592" w:type="pct"/>
            <w:tcBorders>
              <w:top w:val="nil"/>
              <w:left w:val="nil"/>
              <w:bottom w:val="single" w:sz="8" w:space="0" w:color="auto"/>
              <w:right w:val="nil"/>
            </w:tcBorders>
            <w:shd w:val="clear" w:color="auto" w:fill="auto"/>
            <w:noWrap/>
            <w:vAlign w:val="center"/>
            <w:hideMark/>
          </w:tcPr>
          <w:p w14:paraId="0804BE06" w14:textId="77777777" w:rsidR="0013173C" w:rsidRPr="00252D7B" w:rsidRDefault="0013173C" w:rsidP="00F6584E">
            <w:pPr>
              <w:spacing w:after="120"/>
              <w:jc w:val="center"/>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688" w:type="pct"/>
            <w:tcBorders>
              <w:top w:val="nil"/>
              <w:left w:val="nil"/>
              <w:bottom w:val="single" w:sz="8" w:space="0" w:color="auto"/>
              <w:right w:val="nil"/>
            </w:tcBorders>
            <w:shd w:val="clear" w:color="auto" w:fill="auto"/>
            <w:noWrap/>
            <w:vAlign w:val="center"/>
            <w:hideMark/>
          </w:tcPr>
          <w:p w14:paraId="38FAADBE"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(4.933.448)</w:t>
            </w:r>
          </w:p>
        </w:tc>
        <w:tc>
          <w:tcPr>
            <w:tcW w:w="573" w:type="pct"/>
            <w:tcBorders>
              <w:top w:val="nil"/>
              <w:left w:val="nil"/>
              <w:bottom w:val="single" w:sz="8" w:space="0" w:color="auto"/>
              <w:right w:val="nil"/>
            </w:tcBorders>
            <w:shd w:val="clear" w:color="auto" w:fill="auto"/>
            <w:noWrap/>
            <w:vAlign w:val="center"/>
            <w:hideMark/>
          </w:tcPr>
          <w:p w14:paraId="03E82965"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19.950.000</w:t>
            </w:r>
          </w:p>
        </w:tc>
      </w:tr>
      <w:tr w:rsidR="0013173C" w:rsidRPr="00252D7B" w14:paraId="2A5EAB62" w14:textId="77777777" w:rsidTr="00F6584E">
        <w:trPr>
          <w:trHeight w:hRule="exact" w:val="227"/>
        </w:trPr>
        <w:tc>
          <w:tcPr>
            <w:tcW w:w="1877" w:type="pct"/>
            <w:tcBorders>
              <w:top w:val="nil"/>
              <w:left w:val="nil"/>
              <w:bottom w:val="single" w:sz="8" w:space="0" w:color="auto"/>
              <w:right w:val="nil"/>
            </w:tcBorders>
            <w:shd w:val="clear" w:color="auto" w:fill="auto"/>
            <w:noWrap/>
            <w:vAlign w:val="center"/>
            <w:hideMark/>
          </w:tcPr>
          <w:p w14:paraId="23508001" w14:textId="77777777" w:rsidR="0013173C" w:rsidRPr="00252D7B" w:rsidRDefault="0013173C" w:rsidP="00F6584E">
            <w:pPr>
              <w:spacing w:after="120"/>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TOTAL DE PASSIVOS DE ARRENDAMENTOS</w:t>
            </w:r>
          </w:p>
        </w:tc>
        <w:tc>
          <w:tcPr>
            <w:tcW w:w="573" w:type="pct"/>
            <w:tcBorders>
              <w:top w:val="nil"/>
              <w:left w:val="nil"/>
              <w:bottom w:val="single" w:sz="8" w:space="0" w:color="auto"/>
              <w:right w:val="nil"/>
            </w:tcBorders>
            <w:shd w:val="clear" w:color="auto" w:fill="auto"/>
            <w:noWrap/>
            <w:vAlign w:val="center"/>
            <w:hideMark/>
          </w:tcPr>
          <w:p w14:paraId="624B6839"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6.044.654</w:t>
            </w:r>
          </w:p>
        </w:tc>
        <w:tc>
          <w:tcPr>
            <w:tcW w:w="697" w:type="pct"/>
            <w:tcBorders>
              <w:top w:val="nil"/>
              <w:left w:val="nil"/>
              <w:bottom w:val="single" w:sz="8" w:space="0" w:color="auto"/>
              <w:right w:val="nil"/>
            </w:tcBorders>
            <w:shd w:val="clear" w:color="auto" w:fill="auto"/>
            <w:noWrap/>
            <w:vAlign w:val="center"/>
            <w:hideMark/>
          </w:tcPr>
          <w:p w14:paraId="01EA45F3"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21.069.294</w:t>
            </w:r>
          </w:p>
        </w:tc>
        <w:tc>
          <w:tcPr>
            <w:tcW w:w="592" w:type="pct"/>
            <w:tcBorders>
              <w:top w:val="nil"/>
              <w:left w:val="nil"/>
              <w:bottom w:val="single" w:sz="8" w:space="0" w:color="auto"/>
              <w:right w:val="nil"/>
            </w:tcBorders>
            <w:shd w:val="clear" w:color="auto" w:fill="auto"/>
            <w:noWrap/>
            <w:vAlign w:val="center"/>
            <w:hideMark/>
          </w:tcPr>
          <w:p w14:paraId="138A3CB1" w14:textId="77777777" w:rsidR="0013173C" w:rsidRPr="00252D7B" w:rsidRDefault="0013173C" w:rsidP="00F6584E">
            <w:pPr>
              <w:spacing w:after="120"/>
              <w:jc w:val="center"/>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(173)</w:t>
            </w:r>
          </w:p>
        </w:tc>
        <w:tc>
          <w:tcPr>
            <w:tcW w:w="688" w:type="pct"/>
            <w:tcBorders>
              <w:top w:val="nil"/>
              <w:left w:val="nil"/>
              <w:bottom w:val="single" w:sz="8" w:space="0" w:color="auto"/>
              <w:right w:val="nil"/>
            </w:tcBorders>
            <w:shd w:val="clear" w:color="auto" w:fill="auto"/>
            <w:noWrap/>
            <w:vAlign w:val="center"/>
            <w:hideMark/>
          </w:tcPr>
          <w:p w14:paraId="39471BBC"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(5.442.475)</w:t>
            </w:r>
          </w:p>
        </w:tc>
        <w:tc>
          <w:tcPr>
            <w:tcW w:w="573" w:type="pct"/>
            <w:tcBorders>
              <w:top w:val="nil"/>
              <w:left w:val="nil"/>
              <w:bottom w:val="single" w:sz="8" w:space="0" w:color="auto"/>
              <w:right w:val="nil"/>
            </w:tcBorders>
            <w:shd w:val="clear" w:color="auto" w:fill="auto"/>
            <w:noWrap/>
            <w:vAlign w:val="center"/>
            <w:hideMark/>
          </w:tcPr>
          <w:p w14:paraId="77FFC612"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21.671.300</w:t>
            </w:r>
          </w:p>
        </w:tc>
      </w:tr>
      <w:tr w:rsidR="0013173C" w:rsidRPr="00252D7B" w14:paraId="7214AA39" w14:textId="77777777" w:rsidTr="00F6584E">
        <w:trPr>
          <w:trHeight w:hRule="exact" w:val="227"/>
        </w:trPr>
        <w:tc>
          <w:tcPr>
            <w:tcW w:w="1877" w:type="pct"/>
            <w:tcBorders>
              <w:top w:val="nil"/>
              <w:left w:val="nil"/>
              <w:bottom w:val="single" w:sz="8" w:space="0" w:color="auto"/>
              <w:right w:val="nil"/>
            </w:tcBorders>
            <w:shd w:val="clear" w:color="auto" w:fill="auto"/>
            <w:noWrap/>
            <w:vAlign w:val="center"/>
            <w:hideMark/>
          </w:tcPr>
          <w:p w14:paraId="0CE19869" w14:textId="77777777" w:rsidR="0013173C" w:rsidRPr="00252D7B" w:rsidRDefault="0013173C" w:rsidP="00F6584E">
            <w:pPr>
              <w:spacing w:after="120"/>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Passivo Circulante</w:t>
            </w:r>
          </w:p>
        </w:tc>
        <w:tc>
          <w:tcPr>
            <w:tcW w:w="573" w:type="pct"/>
            <w:tcBorders>
              <w:top w:val="nil"/>
              <w:left w:val="nil"/>
              <w:bottom w:val="single" w:sz="8" w:space="0" w:color="auto"/>
              <w:right w:val="nil"/>
            </w:tcBorders>
            <w:shd w:val="clear" w:color="auto" w:fill="auto"/>
            <w:noWrap/>
            <w:vAlign w:val="center"/>
            <w:hideMark/>
          </w:tcPr>
          <w:p w14:paraId="45A0A466"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4.064.554</w:t>
            </w:r>
          </w:p>
        </w:tc>
        <w:tc>
          <w:tcPr>
            <w:tcW w:w="697" w:type="pct"/>
            <w:tcBorders>
              <w:top w:val="nil"/>
              <w:left w:val="nil"/>
              <w:bottom w:val="single" w:sz="8" w:space="0" w:color="auto"/>
              <w:right w:val="nil"/>
            </w:tcBorders>
            <w:shd w:val="clear" w:color="auto" w:fill="auto"/>
            <w:vAlign w:val="center"/>
            <w:hideMark/>
          </w:tcPr>
          <w:p w14:paraId="3ECFB5FF"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w:t>
            </w:r>
          </w:p>
        </w:tc>
        <w:tc>
          <w:tcPr>
            <w:tcW w:w="592" w:type="pct"/>
            <w:tcBorders>
              <w:top w:val="nil"/>
              <w:left w:val="nil"/>
              <w:bottom w:val="single" w:sz="8" w:space="0" w:color="auto"/>
              <w:right w:val="nil"/>
            </w:tcBorders>
            <w:shd w:val="clear" w:color="auto" w:fill="auto"/>
            <w:noWrap/>
            <w:vAlign w:val="center"/>
            <w:hideMark/>
          </w:tcPr>
          <w:p w14:paraId="4185C26A"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w:t>
            </w:r>
          </w:p>
        </w:tc>
        <w:tc>
          <w:tcPr>
            <w:tcW w:w="688" w:type="pct"/>
            <w:tcBorders>
              <w:top w:val="nil"/>
              <w:left w:val="nil"/>
              <w:bottom w:val="single" w:sz="8" w:space="0" w:color="auto"/>
              <w:right w:val="nil"/>
            </w:tcBorders>
            <w:shd w:val="clear" w:color="auto" w:fill="auto"/>
            <w:noWrap/>
            <w:vAlign w:val="center"/>
            <w:hideMark/>
          </w:tcPr>
          <w:p w14:paraId="438040FD"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w:t>
            </w:r>
          </w:p>
        </w:tc>
        <w:tc>
          <w:tcPr>
            <w:tcW w:w="573" w:type="pct"/>
            <w:tcBorders>
              <w:top w:val="nil"/>
              <w:left w:val="nil"/>
              <w:bottom w:val="single" w:sz="8" w:space="0" w:color="auto"/>
              <w:right w:val="nil"/>
            </w:tcBorders>
            <w:shd w:val="clear" w:color="auto" w:fill="auto"/>
            <w:noWrap/>
            <w:vAlign w:val="center"/>
            <w:hideMark/>
          </w:tcPr>
          <w:p w14:paraId="2A49F3A4"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4.721.400</w:t>
            </w:r>
          </w:p>
        </w:tc>
      </w:tr>
      <w:tr w:rsidR="0013173C" w:rsidRPr="00252D7B" w14:paraId="2248A775" w14:textId="77777777" w:rsidTr="00F6584E">
        <w:trPr>
          <w:trHeight w:hRule="exact" w:val="227"/>
        </w:trPr>
        <w:tc>
          <w:tcPr>
            <w:tcW w:w="1877" w:type="pct"/>
            <w:tcBorders>
              <w:top w:val="nil"/>
              <w:left w:val="nil"/>
              <w:bottom w:val="single" w:sz="8" w:space="0" w:color="auto"/>
              <w:right w:val="nil"/>
            </w:tcBorders>
            <w:shd w:val="clear" w:color="auto" w:fill="auto"/>
            <w:noWrap/>
            <w:vAlign w:val="center"/>
            <w:hideMark/>
          </w:tcPr>
          <w:p w14:paraId="1DD35022" w14:textId="77777777" w:rsidR="0013173C" w:rsidRPr="00252D7B" w:rsidRDefault="0013173C" w:rsidP="00F6584E">
            <w:pPr>
              <w:spacing w:after="120"/>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Passivo Não Circulante</w:t>
            </w:r>
          </w:p>
        </w:tc>
        <w:tc>
          <w:tcPr>
            <w:tcW w:w="573" w:type="pct"/>
            <w:tcBorders>
              <w:top w:val="nil"/>
              <w:left w:val="nil"/>
              <w:bottom w:val="single" w:sz="8" w:space="0" w:color="auto"/>
              <w:right w:val="nil"/>
            </w:tcBorders>
            <w:shd w:val="clear" w:color="auto" w:fill="auto"/>
            <w:noWrap/>
            <w:vAlign w:val="center"/>
            <w:hideMark/>
          </w:tcPr>
          <w:p w14:paraId="4EB5F2E8"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1.980.100</w:t>
            </w:r>
          </w:p>
        </w:tc>
        <w:tc>
          <w:tcPr>
            <w:tcW w:w="697" w:type="pct"/>
            <w:tcBorders>
              <w:top w:val="nil"/>
              <w:left w:val="nil"/>
              <w:bottom w:val="single" w:sz="8" w:space="0" w:color="auto"/>
              <w:right w:val="nil"/>
            </w:tcBorders>
            <w:shd w:val="clear" w:color="auto" w:fill="auto"/>
            <w:vAlign w:val="center"/>
            <w:hideMark/>
          </w:tcPr>
          <w:p w14:paraId="35347DDB"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w:t>
            </w:r>
          </w:p>
        </w:tc>
        <w:tc>
          <w:tcPr>
            <w:tcW w:w="592" w:type="pct"/>
            <w:tcBorders>
              <w:top w:val="nil"/>
              <w:left w:val="nil"/>
              <w:bottom w:val="single" w:sz="8" w:space="0" w:color="auto"/>
              <w:right w:val="nil"/>
            </w:tcBorders>
            <w:shd w:val="clear" w:color="auto" w:fill="auto"/>
            <w:noWrap/>
            <w:vAlign w:val="center"/>
            <w:hideMark/>
          </w:tcPr>
          <w:p w14:paraId="39CD10A7"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w:t>
            </w:r>
          </w:p>
        </w:tc>
        <w:tc>
          <w:tcPr>
            <w:tcW w:w="688" w:type="pct"/>
            <w:tcBorders>
              <w:top w:val="nil"/>
              <w:left w:val="nil"/>
              <w:bottom w:val="single" w:sz="8" w:space="0" w:color="auto"/>
              <w:right w:val="nil"/>
            </w:tcBorders>
            <w:shd w:val="clear" w:color="auto" w:fill="auto"/>
            <w:noWrap/>
            <w:vAlign w:val="center"/>
            <w:hideMark/>
          </w:tcPr>
          <w:p w14:paraId="0B04A532"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w:t>
            </w:r>
          </w:p>
        </w:tc>
        <w:tc>
          <w:tcPr>
            <w:tcW w:w="573" w:type="pct"/>
            <w:tcBorders>
              <w:top w:val="nil"/>
              <w:left w:val="nil"/>
              <w:bottom w:val="single" w:sz="8" w:space="0" w:color="auto"/>
              <w:right w:val="nil"/>
            </w:tcBorders>
            <w:shd w:val="clear" w:color="auto" w:fill="auto"/>
            <w:noWrap/>
            <w:vAlign w:val="center"/>
            <w:hideMark/>
          </w:tcPr>
          <w:p w14:paraId="4C42306D"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16.949.900</w:t>
            </w:r>
          </w:p>
        </w:tc>
      </w:tr>
    </w:tbl>
    <w:p w14:paraId="584CEF85" w14:textId="77777777" w:rsidR="0013173C" w:rsidRPr="00252D7B" w:rsidRDefault="0013173C" w:rsidP="0013173C">
      <w:pPr>
        <w:rPr>
          <w:rFonts w:asciiTheme="minorHAnsi" w:hAnsiTheme="minorHAnsi" w:cstheme="minorHAnsi"/>
        </w:rPr>
      </w:pPr>
    </w:p>
    <w:p w14:paraId="1A8DAE1D" w14:textId="77777777" w:rsidR="0013173C" w:rsidRPr="00252D7B" w:rsidRDefault="0013173C" w:rsidP="00516234">
      <w:pPr>
        <w:pStyle w:val="Ttulo3"/>
        <w:spacing w:before="120" w:after="120"/>
        <w:rPr>
          <w:rFonts w:asciiTheme="minorHAnsi" w:hAnsiTheme="minorHAnsi" w:cstheme="minorHAnsi"/>
        </w:rPr>
      </w:pPr>
      <w:bookmarkStart w:id="700" w:name="_Toc97918847"/>
      <w:bookmarkStart w:id="701" w:name="_Toc103680649"/>
      <w:r w:rsidRPr="00252D7B">
        <w:rPr>
          <w:rFonts w:asciiTheme="minorHAnsi" w:hAnsiTheme="minorHAnsi" w:cstheme="minorHAnsi"/>
        </w:rPr>
        <w:t>Patrimônio líquido</w:t>
      </w:r>
      <w:bookmarkEnd w:id="700"/>
      <w:bookmarkEnd w:id="701"/>
    </w:p>
    <w:p w14:paraId="485D5E7C" w14:textId="77777777" w:rsidR="0013173C" w:rsidRPr="00516234" w:rsidRDefault="0013173C" w:rsidP="00516234">
      <w:pPr>
        <w:pStyle w:val="Ttulo4"/>
        <w:rPr>
          <w:rFonts w:asciiTheme="minorHAnsi" w:hAnsiTheme="minorHAnsi" w:cstheme="minorHAnsi"/>
        </w:rPr>
      </w:pPr>
      <w:bookmarkStart w:id="702" w:name="_Toc97918848"/>
      <w:bookmarkStart w:id="703" w:name="_Toc103680650"/>
      <w:r w:rsidRPr="00516234">
        <w:rPr>
          <w:rFonts w:asciiTheme="minorHAnsi" w:hAnsiTheme="minorHAnsi" w:cstheme="minorHAnsi"/>
        </w:rPr>
        <w:t>Capital social</w:t>
      </w:r>
      <w:bookmarkEnd w:id="702"/>
      <w:bookmarkEnd w:id="703"/>
      <w:r w:rsidRPr="00516234">
        <w:rPr>
          <w:rFonts w:asciiTheme="minorHAnsi" w:hAnsiTheme="minorHAnsi" w:cstheme="minorHAnsi"/>
        </w:rPr>
        <w:t xml:space="preserve"> </w:t>
      </w:r>
    </w:p>
    <w:p w14:paraId="40FE8D9E" w14:textId="77777777" w:rsidR="0013173C" w:rsidRPr="00252D7B" w:rsidRDefault="0013173C" w:rsidP="0013173C">
      <w:pPr>
        <w:spacing w:before="120" w:after="120"/>
        <w:ind w:right="57"/>
        <w:jc w:val="both"/>
        <w:rPr>
          <w:rFonts w:asciiTheme="minorHAnsi" w:hAnsiTheme="minorHAnsi" w:cstheme="minorHAnsi"/>
          <w:sz w:val="24"/>
          <w:szCs w:val="24"/>
        </w:rPr>
      </w:pPr>
      <w:r w:rsidRPr="00252D7B">
        <w:rPr>
          <w:rFonts w:asciiTheme="minorHAnsi" w:hAnsiTheme="minorHAnsi" w:cstheme="minorHAnsi"/>
          <w:sz w:val="24"/>
          <w:szCs w:val="24"/>
        </w:rPr>
        <w:t xml:space="preserve">O Capital Social, após a integralização de capital, Conforme Ata da 72ª Assembleia Geral Extraordinária de 22 de agosto de 2019, totaliza R$ 22 bilhões e é composto de 8.090.009 ações ordinárias, sem valor nominal, no qual a União é detentora de 100% dessas ações. </w:t>
      </w:r>
    </w:p>
    <w:p w14:paraId="008BC6AF" w14:textId="77777777" w:rsidR="0013173C" w:rsidRPr="008D0C4F" w:rsidRDefault="0013173C" w:rsidP="008D0C4F">
      <w:pPr>
        <w:pStyle w:val="Ttulo4"/>
        <w:rPr>
          <w:rFonts w:asciiTheme="minorHAnsi" w:hAnsiTheme="minorHAnsi" w:cstheme="minorHAnsi"/>
        </w:rPr>
      </w:pPr>
      <w:bookmarkStart w:id="704" w:name="_Toc97918849"/>
      <w:bookmarkStart w:id="705" w:name="_Toc103680651"/>
      <w:r w:rsidRPr="008D0C4F">
        <w:rPr>
          <w:rFonts w:asciiTheme="minorHAnsi" w:hAnsiTheme="minorHAnsi" w:cstheme="minorHAnsi"/>
        </w:rPr>
        <w:t>Adiantamento para Futuro Aumento de Capital – AFAC</w:t>
      </w:r>
      <w:bookmarkEnd w:id="704"/>
      <w:bookmarkEnd w:id="705"/>
      <w:r w:rsidRPr="008D0C4F">
        <w:rPr>
          <w:rFonts w:asciiTheme="minorHAnsi" w:hAnsiTheme="minorHAnsi" w:cstheme="minorHAnsi"/>
        </w:rPr>
        <w:t xml:space="preserve"> </w:t>
      </w:r>
    </w:p>
    <w:p w14:paraId="0D51EAB7" w14:textId="77777777" w:rsidR="0013173C" w:rsidRPr="00252D7B" w:rsidRDefault="0013173C" w:rsidP="0013173C">
      <w:pPr>
        <w:spacing w:before="120" w:after="120"/>
        <w:ind w:right="57"/>
        <w:jc w:val="both"/>
        <w:rPr>
          <w:rFonts w:asciiTheme="minorHAnsi" w:hAnsiTheme="minorHAnsi" w:cstheme="minorHAnsi"/>
          <w:sz w:val="24"/>
          <w:szCs w:val="24"/>
        </w:rPr>
      </w:pPr>
      <w:r w:rsidRPr="00252D7B">
        <w:rPr>
          <w:rFonts w:asciiTheme="minorHAnsi" w:hAnsiTheme="minorHAnsi" w:cstheme="minorHAnsi"/>
          <w:sz w:val="24"/>
          <w:szCs w:val="24"/>
        </w:rPr>
        <w:t xml:space="preserve">Os Adiantamentos para futuros aumentos de capital são compostos de recursos, oriundos do Orçamento Geral da União, nos exercícios de 2018 a 2021, na categoria Investimento, e sua utilização destinou-se à construção das Ferrovias Norte-Sul EF-151, Extensão Sul, Ferrovia Integração Oeste-Leste EF-334 (FIOL) e Ferrovia Integração Centro-Oeste EF-354 (FICO). </w:t>
      </w:r>
    </w:p>
    <w:p w14:paraId="1AA6185F" w14:textId="77777777" w:rsidR="0013173C" w:rsidRPr="00252D7B" w:rsidRDefault="0013173C" w:rsidP="0013173C">
      <w:pPr>
        <w:spacing w:before="120" w:after="120"/>
        <w:ind w:right="57"/>
        <w:jc w:val="both"/>
        <w:rPr>
          <w:rFonts w:asciiTheme="minorHAnsi" w:hAnsiTheme="minorHAnsi" w:cstheme="minorHAnsi"/>
          <w:sz w:val="24"/>
          <w:szCs w:val="24"/>
        </w:rPr>
      </w:pPr>
      <w:r w:rsidRPr="00252D7B">
        <w:rPr>
          <w:rFonts w:asciiTheme="minorHAnsi" w:hAnsiTheme="minorHAnsi" w:cstheme="minorHAnsi"/>
          <w:sz w:val="24"/>
          <w:szCs w:val="24"/>
        </w:rPr>
        <w:t xml:space="preserve">Conforme o Decreto nº 8.945 de 27 de dezembro de 2016, a atualização monetária pela taxa SELIC </w:t>
      </w:r>
      <w:r w:rsidRPr="00252D7B">
        <w:rPr>
          <w:rFonts w:asciiTheme="minorHAnsi" w:hAnsiTheme="minorHAnsi" w:cstheme="minorHAnsi"/>
          <w:sz w:val="24"/>
          <w:szCs w:val="24"/>
        </w:rPr>
        <w:lastRenderedPageBreak/>
        <w:t xml:space="preserve">não incide mais sobre os valores aportados a partir de 01 de janeiro de 2017. </w:t>
      </w:r>
    </w:p>
    <w:p w14:paraId="7101A1BA" w14:textId="77777777" w:rsidR="0013173C" w:rsidRPr="00252D7B" w:rsidRDefault="0013173C" w:rsidP="0013173C">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A movimentação de AFAC, no exercício de 2021, foi:</w:t>
      </w:r>
    </w:p>
    <w:p w14:paraId="66A66161" w14:textId="77777777" w:rsidR="0013173C" w:rsidRPr="00252D7B" w:rsidRDefault="0013173C" w:rsidP="0013173C">
      <w:pPr>
        <w:spacing w:before="120" w:after="120"/>
        <w:jc w:val="both"/>
        <w:rPr>
          <w:rFonts w:asciiTheme="minorHAnsi" w:hAnsiTheme="minorHAnsi" w:cstheme="minorHAnsi"/>
          <w:sz w:val="24"/>
          <w:szCs w:val="24"/>
        </w:rPr>
      </w:pPr>
    </w:p>
    <w:p w14:paraId="17F2B1C3" w14:textId="3A82E5A4" w:rsidR="0013173C" w:rsidRPr="005059B1" w:rsidRDefault="0013173C" w:rsidP="005059B1">
      <w:pPr>
        <w:pStyle w:val="Legenda"/>
        <w:jc w:val="center"/>
        <w:rPr>
          <w:rFonts w:asciiTheme="minorHAnsi" w:hAnsiTheme="minorHAnsi" w:cstheme="minorHAnsi"/>
          <w:sz w:val="20"/>
          <w:szCs w:val="20"/>
        </w:rPr>
      </w:pPr>
      <w:bookmarkStart w:id="706" w:name="_Toc97918925"/>
      <w:bookmarkStart w:id="707" w:name="_Toc103680711"/>
      <w:r w:rsidRPr="00252D7B">
        <w:rPr>
          <w:rFonts w:asciiTheme="minorHAnsi" w:hAnsiTheme="minorHAnsi" w:cstheme="minorHAnsi"/>
          <w:sz w:val="20"/>
          <w:szCs w:val="20"/>
        </w:rPr>
        <w:t xml:space="preserve">Tabela </w:t>
      </w:r>
      <w:r w:rsidRPr="005059B1">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Tabela \* ARABIC </w:instrText>
      </w:r>
      <w:r w:rsidRPr="005059B1">
        <w:rPr>
          <w:rFonts w:asciiTheme="minorHAnsi" w:hAnsiTheme="minorHAnsi" w:cstheme="minorHAnsi"/>
          <w:sz w:val="20"/>
          <w:szCs w:val="20"/>
        </w:rPr>
        <w:fldChar w:fldCharType="separate"/>
      </w:r>
      <w:r w:rsidR="00C12888">
        <w:rPr>
          <w:rFonts w:asciiTheme="minorHAnsi" w:hAnsiTheme="minorHAnsi" w:cstheme="minorHAnsi"/>
          <w:noProof/>
          <w:sz w:val="20"/>
          <w:szCs w:val="20"/>
        </w:rPr>
        <w:t>49</w:t>
      </w:r>
      <w:r w:rsidRPr="005059B1">
        <w:rPr>
          <w:rFonts w:asciiTheme="minorHAnsi" w:hAnsiTheme="minorHAnsi" w:cstheme="minorHAnsi"/>
          <w:sz w:val="20"/>
          <w:szCs w:val="20"/>
        </w:rPr>
        <w:fldChar w:fldCharType="end"/>
      </w:r>
      <w:r w:rsidRPr="00252D7B">
        <w:rPr>
          <w:rFonts w:asciiTheme="minorHAnsi" w:hAnsiTheme="minorHAnsi" w:cstheme="minorHAnsi"/>
          <w:sz w:val="20"/>
          <w:szCs w:val="20"/>
        </w:rPr>
        <w:t xml:space="preserve"> – Adiantamento para Futuro Aumento de Capital</w:t>
      </w:r>
      <w:bookmarkEnd w:id="706"/>
      <w:bookmarkEnd w:id="707"/>
    </w:p>
    <w:tbl>
      <w:tblPr>
        <w:tblW w:w="5000" w:type="pct"/>
        <w:tblCellMar>
          <w:left w:w="70" w:type="dxa"/>
          <w:right w:w="70" w:type="dxa"/>
        </w:tblCellMar>
        <w:tblLook w:val="04A0" w:firstRow="1" w:lastRow="0" w:firstColumn="1" w:lastColumn="0" w:noHBand="0" w:noVBand="1"/>
      </w:tblPr>
      <w:tblGrid>
        <w:gridCol w:w="2796"/>
        <w:gridCol w:w="1089"/>
        <w:gridCol w:w="1742"/>
        <w:gridCol w:w="1733"/>
        <w:gridCol w:w="2386"/>
      </w:tblGrid>
      <w:tr w:rsidR="0013173C" w:rsidRPr="00252D7B" w14:paraId="56668570" w14:textId="77777777" w:rsidTr="00F6584E">
        <w:trPr>
          <w:trHeight w:hRule="exact" w:val="227"/>
        </w:trPr>
        <w:tc>
          <w:tcPr>
            <w:tcW w:w="1434" w:type="pct"/>
            <w:tcBorders>
              <w:top w:val="nil"/>
              <w:left w:val="nil"/>
              <w:bottom w:val="single" w:sz="8" w:space="0" w:color="auto"/>
              <w:right w:val="nil"/>
            </w:tcBorders>
            <w:shd w:val="clear" w:color="auto" w:fill="auto"/>
            <w:noWrap/>
            <w:vAlign w:val="center"/>
            <w:hideMark/>
          </w:tcPr>
          <w:p w14:paraId="549A526A" w14:textId="77777777" w:rsidR="0013173C" w:rsidRPr="00252D7B" w:rsidRDefault="0013173C" w:rsidP="00F6584E">
            <w:pPr>
              <w:spacing w:after="120"/>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AFAC – PL</w:t>
            </w:r>
          </w:p>
        </w:tc>
        <w:tc>
          <w:tcPr>
            <w:tcW w:w="558" w:type="pct"/>
            <w:tcBorders>
              <w:top w:val="nil"/>
              <w:left w:val="nil"/>
              <w:bottom w:val="single" w:sz="8" w:space="0" w:color="auto"/>
              <w:right w:val="nil"/>
            </w:tcBorders>
            <w:shd w:val="clear" w:color="auto" w:fill="auto"/>
            <w:noWrap/>
            <w:vAlign w:val="center"/>
            <w:hideMark/>
          </w:tcPr>
          <w:p w14:paraId="3F589EC6"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w:t>
            </w:r>
          </w:p>
        </w:tc>
        <w:tc>
          <w:tcPr>
            <w:tcW w:w="1783" w:type="pct"/>
            <w:gridSpan w:val="2"/>
            <w:tcBorders>
              <w:top w:val="nil"/>
              <w:left w:val="nil"/>
              <w:bottom w:val="single" w:sz="8" w:space="0" w:color="auto"/>
              <w:right w:val="nil"/>
            </w:tcBorders>
            <w:shd w:val="clear" w:color="auto" w:fill="auto"/>
            <w:vAlign w:val="center"/>
            <w:hideMark/>
          </w:tcPr>
          <w:p w14:paraId="45CFEBD8"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31/12/2021</w:t>
            </w:r>
          </w:p>
        </w:tc>
        <w:tc>
          <w:tcPr>
            <w:tcW w:w="1225" w:type="pct"/>
            <w:tcBorders>
              <w:top w:val="nil"/>
              <w:left w:val="nil"/>
              <w:bottom w:val="single" w:sz="8" w:space="0" w:color="auto"/>
              <w:right w:val="nil"/>
            </w:tcBorders>
            <w:shd w:val="clear" w:color="auto" w:fill="auto"/>
            <w:vAlign w:val="center"/>
            <w:hideMark/>
          </w:tcPr>
          <w:p w14:paraId="5497961C"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31/12/2020</w:t>
            </w:r>
          </w:p>
        </w:tc>
      </w:tr>
      <w:tr w:rsidR="0013173C" w:rsidRPr="00252D7B" w14:paraId="784FFC7C" w14:textId="77777777" w:rsidTr="00F6584E">
        <w:trPr>
          <w:trHeight w:hRule="exact" w:val="227"/>
        </w:trPr>
        <w:tc>
          <w:tcPr>
            <w:tcW w:w="1434" w:type="pct"/>
            <w:tcBorders>
              <w:top w:val="single" w:sz="8" w:space="0" w:color="auto"/>
              <w:left w:val="nil"/>
              <w:bottom w:val="nil"/>
              <w:right w:val="nil"/>
            </w:tcBorders>
            <w:shd w:val="clear" w:color="auto" w:fill="auto"/>
            <w:noWrap/>
            <w:vAlign w:val="center"/>
            <w:hideMark/>
          </w:tcPr>
          <w:p w14:paraId="361A0EA7"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Saldo anterior</w:t>
            </w:r>
          </w:p>
        </w:tc>
        <w:tc>
          <w:tcPr>
            <w:tcW w:w="558" w:type="pct"/>
            <w:tcBorders>
              <w:top w:val="nil"/>
              <w:left w:val="nil"/>
              <w:bottom w:val="nil"/>
              <w:right w:val="nil"/>
            </w:tcBorders>
            <w:shd w:val="clear" w:color="auto" w:fill="auto"/>
            <w:noWrap/>
            <w:vAlign w:val="center"/>
            <w:hideMark/>
          </w:tcPr>
          <w:p w14:paraId="20B0E4E7" w14:textId="77777777" w:rsidR="0013173C" w:rsidRPr="00252D7B" w:rsidRDefault="0013173C" w:rsidP="00F6584E">
            <w:pPr>
              <w:spacing w:after="120"/>
              <w:rPr>
                <w:rFonts w:asciiTheme="minorHAnsi" w:hAnsiTheme="minorHAnsi" w:cstheme="minorHAnsi"/>
                <w:color w:val="000000"/>
                <w:sz w:val="20"/>
                <w:szCs w:val="20"/>
              </w:rPr>
            </w:pPr>
          </w:p>
        </w:tc>
        <w:tc>
          <w:tcPr>
            <w:tcW w:w="1783" w:type="pct"/>
            <w:gridSpan w:val="2"/>
            <w:tcBorders>
              <w:top w:val="single" w:sz="8" w:space="0" w:color="auto"/>
              <w:left w:val="nil"/>
              <w:bottom w:val="nil"/>
              <w:right w:val="nil"/>
            </w:tcBorders>
            <w:shd w:val="clear" w:color="auto" w:fill="auto"/>
            <w:vAlign w:val="center"/>
            <w:hideMark/>
          </w:tcPr>
          <w:p w14:paraId="3D4A294A"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903.489.907</w:t>
            </w:r>
          </w:p>
        </w:tc>
        <w:tc>
          <w:tcPr>
            <w:tcW w:w="1225" w:type="pct"/>
            <w:tcBorders>
              <w:top w:val="nil"/>
              <w:left w:val="nil"/>
              <w:bottom w:val="nil"/>
              <w:right w:val="nil"/>
            </w:tcBorders>
            <w:shd w:val="clear" w:color="auto" w:fill="auto"/>
            <w:vAlign w:val="center"/>
            <w:hideMark/>
          </w:tcPr>
          <w:p w14:paraId="611EDEA3"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568.674.563</w:t>
            </w:r>
          </w:p>
        </w:tc>
      </w:tr>
      <w:tr w:rsidR="0013173C" w:rsidRPr="00252D7B" w14:paraId="613E89B1" w14:textId="77777777" w:rsidTr="00F6584E">
        <w:trPr>
          <w:trHeight w:hRule="exact" w:val="227"/>
        </w:trPr>
        <w:tc>
          <w:tcPr>
            <w:tcW w:w="1434" w:type="pct"/>
            <w:tcBorders>
              <w:top w:val="nil"/>
              <w:left w:val="nil"/>
              <w:bottom w:val="nil"/>
              <w:right w:val="nil"/>
            </w:tcBorders>
            <w:shd w:val="clear" w:color="auto" w:fill="auto"/>
            <w:noWrap/>
            <w:vAlign w:val="center"/>
            <w:hideMark/>
          </w:tcPr>
          <w:p w14:paraId="2F96291E"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Ingressos</w:t>
            </w:r>
          </w:p>
        </w:tc>
        <w:tc>
          <w:tcPr>
            <w:tcW w:w="558" w:type="pct"/>
            <w:tcBorders>
              <w:top w:val="nil"/>
              <w:left w:val="nil"/>
              <w:bottom w:val="nil"/>
              <w:right w:val="nil"/>
            </w:tcBorders>
            <w:shd w:val="clear" w:color="auto" w:fill="auto"/>
            <w:noWrap/>
            <w:vAlign w:val="center"/>
            <w:hideMark/>
          </w:tcPr>
          <w:p w14:paraId="2EB43858" w14:textId="77777777" w:rsidR="0013173C" w:rsidRPr="00252D7B" w:rsidRDefault="0013173C" w:rsidP="00F6584E">
            <w:pPr>
              <w:spacing w:after="120"/>
              <w:rPr>
                <w:rFonts w:asciiTheme="minorHAnsi" w:hAnsiTheme="minorHAnsi" w:cstheme="minorHAnsi"/>
                <w:color w:val="000000"/>
                <w:sz w:val="20"/>
                <w:szCs w:val="20"/>
              </w:rPr>
            </w:pPr>
          </w:p>
        </w:tc>
        <w:tc>
          <w:tcPr>
            <w:tcW w:w="1783" w:type="pct"/>
            <w:gridSpan w:val="2"/>
            <w:tcBorders>
              <w:top w:val="nil"/>
              <w:left w:val="nil"/>
              <w:bottom w:val="nil"/>
              <w:right w:val="nil"/>
            </w:tcBorders>
            <w:shd w:val="clear" w:color="auto" w:fill="auto"/>
            <w:vAlign w:val="center"/>
            <w:hideMark/>
          </w:tcPr>
          <w:p w14:paraId="52E256A5"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387.808.679</w:t>
            </w:r>
          </w:p>
        </w:tc>
        <w:tc>
          <w:tcPr>
            <w:tcW w:w="1225" w:type="pct"/>
            <w:tcBorders>
              <w:top w:val="nil"/>
              <w:left w:val="nil"/>
              <w:bottom w:val="nil"/>
              <w:right w:val="nil"/>
            </w:tcBorders>
            <w:shd w:val="clear" w:color="auto" w:fill="auto"/>
            <w:vAlign w:val="center"/>
            <w:hideMark/>
          </w:tcPr>
          <w:p w14:paraId="5022C724"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335.415.344</w:t>
            </w:r>
          </w:p>
        </w:tc>
      </w:tr>
      <w:tr w:rsidR="0013173C" w:rsidRPr="00252D7B" w14:paraId="61116ED8" w14:textId="77777777" w:rsidTr="00F6584E">
        <w:trPr>
          <w:trHeight w:hRule="exact" w:val="227"/>
        </w:trPr>
        <w:tc>
          <w:tcPr>
            <w:tcW w:w="1434" w:type="pct"/>
            <w:tcBorders>
              <w:top w:val="nil"/>
              <w:left w:val="nil"/>
              <w:bottom w:val="nil"/>
              <w:right w:val="nil"/>
            </w:tcBorders>
            <w:shd w:val="clear" w:color="auto" w:fill="auto"/>
            <w:noWrap/>
            <w:vAlign w:val="center"/>
            <w:hideMark/>
          </w:tcPr>
          <w:p w14:paraId="37352E6F"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Integralização</w:t>
            </w:r>
          </w:p>
        </w:tc>
        <w:tc>
          <w:tcPr>
            <w:tcW w:w="558" w:type="pct"/>
            <w:tcBorders>
              <w:top w:val="nil"/>
              <w:left w:val="nil"/>
              <w:bottom w:val="nil"/>
              <w:right w:val="nil"/>
            </w:tcBorders>
            <w:shd w:val="clear" w:color="auto" w:fill="auto"/>
            <w:noWrap/>
            <w:vAlign w:val="center"/>
            <w:hideMark/>
          </w:tcPr>
          <w:p w14:paraId="0E4317B8" w14:textId="77777777" w:rsidR="0013173C" w:rsidRPr="00252D7B" w:rsidRDefault="0013173C" w:rsidP="00F6584E">
            <w:pPr>
              <w:spacing w:after="120"/>
              <w:rPr>
                <w:rFonts w:asciiTheme="minorHAnsi" w:hAnsiTheme="minorHAnsi" w:cstheme="minorHAnsi"/>
                <w:color w:val="000000"/>
                <w:sz w:val="20"/>
                <w:szCs w:val="20"/>
              </w:rPr>
            </w:pPr>
          </w:p>
        </w:tc>
        <w:tc>
          <w:tcPr>
            <w:tcW w:w="1783" w:type="pct"/>
            <w:gridSpan w:val="2"/>
            <w:tcBorders>
              <w:top w:val="nil"/>
              <w:left w:val="nil"/>
              <w:bottom w:val="nil"/>
              <w:right w:val="nil"/>
            </w:tcBorders>
            <w:shd w:val="clear" w:color="auto" w:fill="auto"/>
            <w:vAlign w:val="center"/>
            <w:hideMark/>
          </w:tcPr>
          <w:p w14:paraId="3EF19495"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1225" w:type="pct"/>
            <w:tcBorders>
              <w:top w:val="nil"/>
              <w:left w:val="nil"/>
              <w:bottom w:val="nil"/>
              <w:right w:val="nil"/>
            </w:tcBorders>
            <w:shd w:val="clear" w:color="auto" w:fill="auto"/>
            <w:vAlign w:val="center"/>
            <w:hideMark/>
          </w:tcPr>
          <w:p w14:paraId="54DDEE72"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r>
      <w:tr w:rsidR="0013173C" w:rsidRPr="00252D7B" w14:paraId="75684C18" w14:textId="77777777" w:rsidTr="00F6584E">
        <w:trPr>
          <w:trHeight w:hRule="exact" w:val="227"/>
        </w:trPr>
        <w:tc>
          <w:tcPr>
            <w:tcW w:w="1434" w:type="pct"/>
            <w:tcBorders>
              <w:top w:val="nil"/>
              <w:left w:val="nil"/>
              <w:bottom w:val="nil"/>
              <w:right w:val="nil"/>
            </w:tcBorders>
            <w:shd w:val="clear" w:color="auto" w:fill="auto"/>
            <w:noWrap/>
            <w:vAlign w:val="center"/>
            <w:hideMark/>
          </w:tcPr>
          <w:p w14:paraId="74D62FBA"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Devolução de AFAC</w:t>
            </w:r>
          </w:p>
        </w:tc>
        <w:tc>
          <w:tcPr>
            <w:tcW w:w="558" w:type="pct"/>
            <w:tcBorders>
              <w:top w:val="nil"/>
              <w:left w:val="nil"/>
              <w:bottom w:val="nil"/>
              <w:right w:val="nil"/>
            </w:tcBorders>
            <w:shd w:val="clear" w:color="auto" w:fill="auto"/>
            <w:noWrap/>
            <w:vAlign w:val="center"/>
            <w:hideMark/>
          </w:tcPr>
          <w:p w14:paraId="57F1FBEA" w14:textId="77777777" w:rsidR="0013173C" w:rsidRPr="00252D7B" w:rsidRDefault="0013173C" w:rsidP="00F6584E">
            <w:pPr>
              <w:spacing w:after="120"/>
              <w:rPr>
                <w:rFonts w:asciiTheme="minorHAnsi" w:hAnsiTheme="minorHAnsi" w:cstheme="minorHAnsi"/>
                <w:color w:val="000000"/>
                <w:sz w:val="20"/>
                <w:szCs w:val="20"/>
              </w:rPr>
            </w:pPr>
          </w:p>
        </w:tc>
        <w:tc>
          <w:tcPr>
            <w:tcW w:w="1783" w:type="pct"/>
            <w:gridSpan w:val="2"/>
            <w:tcBorders>
              <w:top w:val="nil"/>
              <w:left w:val="nil"/>
              <w:bottom w:val="nil"/>
              <w:right w:val="nil"/>
            </w:tcBorders>
            <w:shd w:val="clear" w:color="auto" w:fill="auto"/>
            <w:vAlign w:val="center"/>
            <w:hideMark/>
          </w:tcPr>
          <w:p w14:paraId="795A17E5"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(2.657.243)</w:t>
            </w:r>
          </w:p>
        </w:tc>
        <w:tc>
          <w:tcPr>
            <w:tcW w:w="1225" w:type="pct"/>
            <w:tcBorders>
              <w:top w:val="nil"/>
              <w:left w:val="nil"/>
              <w:bottom w:val="nil"/>
              <w:right w:val="nil"/>
            </w:tcBorders>
            <w:shd w:val="clear" w:color="auto" w:fill="auto"/>
            <w:vAlign w:val="center"/>
            <w:hideMark/>
          </w:tcPr>
          <w:p w14:paraId="1053AEDF"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(600.000)</w:t>
            </w:r>
          </w:p>
        </w:tc>
      </w:tr>
      <w:tr w:rsidR="0013173C" w:rsidRPr="00252D7B" w14:paraId="30CF539D" w14:textId="77777777" w:rsidTr="00F6584E">
        <w:trPr>
          <w:trHeight w:hRule="exact" w:val="227"/>
        </w:trPr>
        <w:tc>
          <w:tcPr>
            <w:tcW w:w="1434" w:type="pct"/>
            <w:tcBorders>
              <w:top w:val="nil"/>
              <w:left w:val="nil"/>
              <w:bottom w:val="single" w:sz="8" w:space="0" w:color="auto"/>
              <w:right w:val="nil"/>
            </w:tcBorders>
            <w:shd w:val="clear" w:color="auto" w:fill="auto"/>
            <w:noWrap/>
            <w:vAlign w:val="center"/>
            <w:hideMark/>
          </w:tcPr>
          <w:p w14:paraId="3D3C1F91" w14:textId="77777777" w:rsidR="0013173C" w:rsidRPr="00252D7B" w:rsidRDefault="0013173C" w:rsidP="00F6584E">
            <w:pPr>
              <w:spacing w:after="120"/>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xml:space="preserve">TOTAL AFAC Patrimônio Líquido </w:t>
            </w:r>
          </w:p>
        </w:tc>
        <w:tc>
          <w:tcPr>
            <w:tcW w:w="558" w:type="pct"/>
            <w:tcBorders>
              <w:top w:val="nil"/>
              <w:left w:val="nil"/>
              <w:bottom w:val="single" w:sz="8" w:space="0" w:color="auto"/>
              <w:right w:val="nil"/>
            </w:tcBorders>
            <w:shd w:val="clear" w:color="auto" w:fill="auto"/>
            <w:noWrap/>
            <w:vAlign w:val="center"/>
            <w:hideMark/>
          </w:tcPr>
          <w:p w14:paraId="4693D86A"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w:t>
            </w:r>
          </w:p>
        </w:tc>
        <w:tc>
          <w:tcPr>
            <w:tcW w:w="1783" w:type="pct"/>
            <w:gridSpan w:val="2"/>
            <w:tcBorders>
              <w:top w:val="nil"/>
              <w:left w:val="nil"/>
              <w:bottom w:val="single" w:sz="8" w:space="0" w:color="auto"/>
              <w:right w:val="nil"/>
            </w:tcBorders>
            <w:shd w:val="clear" w:color="auto" w:fill="auto"/>
            <w:vAlign w:val="center"/>
            <w:hideMark/>
          </w:tcPr>
          <w:p w14:paraId="30E23313"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1.288.641.343</w:t>
            </w:r>
          </w:p>
        </w:tc>
        <w:tc>
          <w:tcPr>
            <w:tcW w:w="1225" w:type="pct"/>
            <w:tcBorders>
              <w:top w:val="nil"/>
              <w:left w:val="nil"/>
              <w:bottom w:val="single" w:sz="8" w:space="0" w:color="auto"/>
              <w:right w:val="nil"/>
            </w:tcBorders>
            <w:shd w:val="clear" w:color="auto" w:fill="auto"/>
            <w:vAlign w:val="center"/>
            <w:hideMark/>
          </w:tcPr>
          <w:p w14:paraId="70CE2E33"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903.489.907</w:t>
            </w:r>
          </w:p>
        </w:tc>
      </w:tr>
      <w:tr w:rsidR="0013173C" w:rsidRPr="00252D7B" w14:paraId="1C1B7404" w14:textId="77777777" w:rsidTr="00F6584E">
        <w:trPr>
          <w:trHeight w:hRule="exact" w:val="227"/>
        </w:trPr>
        <w:tc>
          <w:tcPr>
            <w:tcW w:w="1993" w:type="pct"/>
            <w:gridSpan w:val="2"/>
            <w:tcBorders>
              <w:top w:val="single" w:sz="8" w:space="0" w:color="auto"/>
              <w:left w:val="nil"/>
              <w:bottom w:val="single" w:sz="8" w:space="0" w:color="auto"/>
              <w:right w:val="nil"/>
            </w:tcBorders>
            <w:shd w:val="clear" w:color="auto" w:fill="auto"/>
            <w:noWrap/>
            <w:vAlign w:val="center"/>
            <w:hideMark/>
          </w:tcPr>
          <w:p w14:paraId="1CC775E5" w14:textId="77777777" w:rsidR="0013173C" w:rsidRPr="00252D7B" w:rsidRDefault="0013173C" w:rsidP="00F6584E">
            <w:pPr>
              <w:spacing w:after="120"/>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FORMAÇÃO DO SALDO DO AFAC</w:t>
            </w:r>
          </w:p>
        </w:tc>
        <w:tc>
          <w:tcPr>
            <w:tcW w:w="894" w:type="pct"/>
            <w:tcBorders>
              <w:top w:val="nil"/>
              <w:left w:val="nil"/>
              <w:bottom w:val="single" w:sz="8" w:space="0" w:color="auto"/>
              <w:right w:val="nil"/>
            </w:tcBorders>
            <w:shd w:val="clear" w:color="auto" w:fill="auto"/>
            <w:noWrap/>
            <w:vAlign w:val="center"/>
            <w:hideMark/>
          </w:tcPr>
          <w:p w14:paraId="2B028D16" w14:textId="77777777" w:rsidR="0013173C" w:rsidRPr="00252D7B" w:rsidRDefault="0013173C" w:rsidP="00F6584E">
            <w:pPr>
              <w:spacing w:after="120"/>
              <w:jc w:val="center"/>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w:t>
            </w:r>
          </w:p>
        </w:tc>
        <w:tc>
          <w:tcPr>
            <w:tcW w:w="889" w:type="pct"/>
            <w:tcBorders>
              <w:top w:val="nil"/>
              <w:left w:val="nil"/>
              <w:bottom w:val="single" w:sz="8" w:space="0" w:color="auto"/>
              <w:right w:val="nil"/>
            </w:tcBorders>
            <w:shd w:val="clear" w:color="auto" w:fill="auto"/>
            <w:noWrap/>
            <w:vAlign w:val="center"/>
            <w:hideMark/>
          </w:tcPr>
          <w:p w14:paraId="1BEB55FE"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w:t>
            </w:r>
          </w:p>
        </w:tc>
        <w:tc>
          <w:tcPr>
            <w:tcW w:w="1225" w:type="pct"/>
            <w:tcBorders>
              <w:top w:val="single" w:sz="8" w:space="0" w:color="auto"/>
              <w:left w:val="nil"/>
              <w:bottom w:val="single" w:sz="8" w:space="0" w:color="auto"/>
              <w:right w:val="nil"/>
            </w:tcBorders>
            <w:shd w:val="clear" w:color="auto" w:fill="auto"/>
            <w:vAlign w:val="center"/>
            <w:hideMark/>
          </w:tcPr>
          <w:p w14:paraId="2E4EB250"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 </w:t>
            </w:r>
          </w:p>
        </w:tc>
      </w:tr>
      <w:tr w:rsidR="0013173C" w:rsidRPr="00252D7B" w14:paraId="67F4C8D1" w14:textId="77777777" w:rsidTr="00F6584E">
        <w:trPr>
          <w:trHeight w:hRule="exact" w:val="227"/>
        </w:trPr>
        <w:tc>
          <w:tcPr>
            <w:tcW w:w="2887" w:type="pct"/>
            <w:gridSpan w:val="3"/>
            <w:tcBorders>
              <w:top w:val="single" w:sz="8" w:space="0" w:color="auto"/>
              <w:left w:val="nil"/>
              <w:bottom w:val="nil"/>
              <w:right w:val="nil"/>
            </w:tcBorders>
            <w:shd w:val="clear" w:color="auto" w:fill="auto"/>
            <w:noWrap/>
            <w:vAlign w:val="center"/>
            <w:hideMark/>
          </w:tcPr>
          <w:p w14:paraId="643E85D5"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 xml:space="preserve">Recursos recebidos em 2018 </w:t>
            </w:r>
          </w:p>
        </w:tc>
        <w:tc>
          <w:tcPr>
            <w:tcW w:w="889" w:type="pct"/>
            <w:tcBorders>
              <w:top w:val="nil"/>
              <w:left w:val="nil"/>
              <w:bottom w:val="nil"/>
              <w:right w:val="nil"/>
            </w:tcBorders>
            <w:shd w:val="clear" w:color="auto" w:fill="auto"/>
            <w:noWrap/>
            <w:vAlign w:val="center"/>
            <w:hideMark/>
          </w:tcPr>
          <w:p w14:paraId="4DA1280D" w14:textId="77777777" w:rsidR="0013173C" w:rsidRPr="00252D7B" w:rsidRDefault="0013173C" w:rsidP="00F6584E">
            <w:pPr>
              <w:spacing w:after="120"/>
              <w:rPr>
                <w:rFonts w:asciiTheme="minorHAnsi" w:hAnsiTheme="minorHAnsi" w:cstheme="minorHAnsi"/>
                <w:color w:val="000000"/>
                <w:sz w:val="20"/>
                <w:szCs w:val="20"/>
              </w:rPr>
            </w:pPr>
          </w:p>
        </w:tc>
        <w:tc>
          <w:tcPr>
            <w:tcW w:w="1225" w:type="pct"/>
            <w:tcBorders>
              <w:top w:val="single" w:sz="8" w:space="0" w:color="auto"/>
              <w:left w:val="nil"/>
              <w:bottom w:val="nil"/>
              <w:right w:val="nil"/>
            </w:tcBorders>
            <w:shd w:val="clear" w:color="auto" w:fill="auto"/>
            <w:vAlign w:val="center"/>
            <w:hideMark/>
          </w:tcPr>
          <w:p w14:paraId="3A8A553D"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27.332.435</w:t>
            </w:r>
          </w:p>
        </w:tc>
      </w:tr>
      <w:tr w:rsidR="0013173C" w:rsidRPr="00252D7B" w14:paraId="3AFE587A" w14:textId="77777777" w:rsidTr="00F6584E">
        <w:trPr>
          <w:trHeight w:hRule="exact" w:val="227"/>
        </w:trPr>
        <w:tc>
          <w:tcPr>
            <w:tcW w:w="2887" w:type="pct"/>
            <w:gridSpan w:val="3"/>
            <w:tcBorders>
              <w:top w:val="nil"/>
              <w:left w:val="nil"/>
              <w:bottom w:val="nil"/>
              <w:right w:val="nil"/>
            </w:tcBorders>
            <w:shd w:val="clear" w:color="auto" w:fill="auto"/>
            <w:noWrap/>
            <w:vAlign w:val="center"/>
            <w:hideMark/>
          </w:tcPr>
          <w:p w14:paraId="34C8FAF4"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Recursos recebidos em 2019</w:t>
            </w:r>
          </w:p>
        </w:tc>
        <w:tc>
          <w:tcPr>
            <w:tcW w:w="889" w:type="pct"/>
            <w:tcBorders>
              <w:top w:val="nil"/>
              <w:left w:val="nil"/>
              <w:bottom w:val="nil"/>
              <w:right w:val="nil"/>
            </w:tcBorders>
            <w:shd w:val="clear" w:color="auto" w:fill="auto"/>
            <w:noWrap/>
            <w:vAlign w:val="center"/>
            <w:hideMark/>
          </w:tcPr>
          <w:p w14:paraId="1D50343D" w14:textId="77777777" w:rsidR="0013173C" w:rsidRPr="00252D7B" w:rsidRDefault="0013173C" w:rsidP="00F6584E">
            <w:pPr>
              <w:spacing w:after="120"/>
              <w:rPr>
                <w:rFonts w:asciiTheme="minorHAnsi" w:hAnsiTheme="minorHAnsi" w:cstheme="minorHAnsi"/>
                <w:color w:val="000000"/>
                <w:sz w:val="20"/>
                <w:szCs w:val="20"/>
              </w:rPr>
            </w:pPr>
          </w:p>
        </w:tc>
        <w:tc>
          <w:tcPr>
            <w:tcW w:w="1225" w:type="pct"/>
            <w:tcBorders>
              <w:top w:val="nil"/>
              <w:left w:val="nil"/>
              <w:bottom w:val="nil"/>
              <w:right w:val="nil"/>
            </w:tcBorders>
            <w:shd w:val="clear" w:color="auto" w:fill="auto"/>
            <w:vAlign w:val="center"/>
            <w:hideMark/>
          </w:tcPr>
          <w:p w14:paraId="28F0DA95"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541.342.128</w:t>
            </w:r>
          </w:p>
        </w:tc>
      </w:tr>
      <w:tr w:rsidR="0013173C" w:rsidRPr="00252D7B" w14:paraId="46C94F44" w14:textId="77777777" w:rsidTr="00F6584E">
        <w:trPr>
          <w:trHeight w:hRule="exact" w:val="227"/>
        </w:trPr>
        <w:tc>
          <w:tcPr>
            <w:tcW w:w="2887" w:type="pct"/>
            <w:gridSpan w:val="3"/>
            <w:tcBorders>
              <w:top w:val="nil"/>
              <w:left w:val="nil"/>
              <w:bottom w:val="nil"/>
              <w:right w:val="nil"/>
            </w:tcBorders>
            <w:shd w:val="clear" w:color="auto" w:fill="auto"/>
            <w:noWrap/>
            <w:vAlign w:val="center"/>
            <w:hideMark/>
          </w:tcPr>
          <w:p w14:paraId="4A950BB3"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Recursos recebidos em 2020</w:t>
            </w:r>
          </w:p>
        </w:tc>
        <w:tc>
          <w:tcPr>
            <w:tcW w:w="889" w:type="pct"/>
            <w:tcBorders>
              <w:top w:val="nil"/>
              <w:left w:val="nil"/>
              <w:bottom w:val="nil"/>
              <w:right w:val="nil"/>
            </w:tcBorders>
            <w:shd w:val="clear" w:color="auto" w:fill="auto"/>
            <w:noWrap/>
            <w:vAlign w:val="center"/>
            <w:hideMark/>
          </w:tcPr>
          <w:p w14:paraId="52EEA187" w14:textId="77777777" w:rsidR="0013173C" w:rsidRPr="00252D7B" w:rsidRDefault="0013173C" w:rsidP="00F6584E">
            <w:pPr>
              <w:spacing w:after="120"/>
              <w:rPr>
                <w:rFonts w:asciiTheme="minorHAnsi" w:hAnsiTheme="minorHAnsi" w:cstheme="minorHAnsi"/>
                <w:color w:val="000000"/>
                <w:sz w:val="20"/>
                <w:szCs w:val="20"/>
              </w:rPr>
            </w:pPr>
          </w:p>
        </w:tc>
        <w:tc>
          <w:tcPr>
            <w:tcW w:w="1225" w:type="pct"/>
            <w:tcBorders>
              <w:top w:val="nil"/>
              <w:left w:val="nil"/>
              <w:bottom w:val="nil"/>
              <w:right w:val="nil"/>
            </w:tcBorders>
            <w:shd w:val="clear" w:color="auto" w:fill="auto"/>
            <w:vAlign w:val="center"/>
            <w:hideMark/>
          </w:tcPr>
          <w:p w14:paraId="27B7872B"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334.815.344</w:t>
            </w:r>
          </w:p>
        </w:tc>
      </w:tr>
      <w:tr w:rsidR="0013173C" w:rsidRPr="00252D7B" w14:paraId="09EC9B9D" w14:textId="77777777" w:rsidTr="00F6584E">
        <w:trPr>
          <w:trHeight w:hRule="exact" w:val="227"/>
        </w:trPr>
        <w:tc>
          <w:tcPr>
            <w:tcW w:w="2887" w:type="pct"/>
            <w:gridSpan w:val="3"/>
            <w:tcBorders>
              <w:top w:val="nil"/>
              <w:left w:val="nil"/>
              <w:bottom w:val="single" w:sz="8" w:space="0" w:color="auto"/>
              <w:right w:val="nil"/>
            </w:tcBorders>
            <w:shd w:val="clear" w:color="auto" w:fill="auto"/>
            <w:noWrap/>
            <w:vAlign w:val="center"/>
            <w:hideMark/>
          </w:tcPr>
          <w:p w14:paraId="33F2CAF5"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Recursos recebidos em 2021</w:t>
            </w:r>
          </w:p>
        </w:tc>
        <w:tc>
          <w:tcPr>
            <w:tcW w:w="889" w:type="pct"/>
            <w:tcBorders>
              <w:top w:val="nil"/>
              <w:left w:val="nil"/>
              <w:bottom w:val="single" w:sz="8" w:space="0" w:color="auto"/>
              <w:right w:val="nil"/>
            </w:tcBorders>
            <w:shd w:val="clear" w:color="auto" w:fill="auto"/>
            <w:noWrap/>
            <w:vAlign w:val="center"/>
            <w:hideMark/>
          </w:tcPr>
          <w:p w14:paraId="0460D806"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 </w:t>
            </w:r>
          </w:p>
        </w:tc>
        <w:tc>
          <w:tcPr>
            <w:tcW w:w="1225" w:type="pct"/>
            <w:tcBorders>
              <w:top w:val="nil"/>
              <w:left w:val="nil"/>
              <w:bottom w:val="single" w:sz="8" w:space="0" w:color="auto"/>
              <w:right w:val="nil"/>
            </w:tcBorders>
            <w:shd w:val="clear" w:color="auto" w:fill="auto"/>
            <w:vAlign w:val="center"/>
            <w:hideMark/>
          </w:tcPr>
          <w:p w14:paraId="124C0871"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385.151.436</w:t>
            </w:r>
          </w:p>
        </w:tc>
      </w:tr>
      <w:tr w:rsidR="0013173C" w:rsidRPr="00252D7B" w14:paraId="09CD880C" w14:textId="77777777" w:rsidTr="00F6584E">
        <w:trPr>
          <w:trHeight w:hRule="exact" w:val="227"/>
        </w:trPr>
        <w:tc>
          <w:tcPr>
            <w:tcW w:w="2887" w:type="pct"/>
            <w:gridSpan w:val="3"/>
            <w:tcBorders>
              <w:top w:val="single" w:sz="8" w:space="0" w:color="auto"/>
              <w:left w:val="nil"/>
              <w:bottom w:val="single" w:sz="8" w:space="0" w:color="auto"/>
              <w:right w:val="nil"/>
            </w:tcBorders>
            <w:shd w:val="clear" w:color="auto" w:fill="auto"/>
            <w:noWrap/>
            <w:vAlign w:val="center"/>
            <w:hideMark/>
          </w:tcPr>
          <w:p w14:paraId="551A913A" w14:textId="77777777" w:rsidR="0013173C" w:rsidRPr="00252D7B" w:rsidRDefault="0013173C" w:rsidP="00F6584E">
            <w:pPr>
              <w:spacing w:after="120"/>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TOTAL AFAC EM 31/12/2021</w:t>
            </w:r>
          </w:p>
        </w:tc>
        <w:tc>
          <w:tcPr>
            <w:tcW w:w="889" w:type="pct"/>
            <w:tcBorders>
              <w:top w:val="nil"/>
              <w:left w:val="nil"/>
              <w:bottom w:val="single" w:sz="8" w:space="0" w:color="auto"/>
              <w:right w:val="nil"/>
            </w:tcBorders>
            <w:shd w:val="clear" w:color="auto" w:fill="auto"/>
            <w:noWrap/>
            <w:vAlign w:val="center"/>
            <w:hideMark/>
          </w:tcPr>
          <w:p w14:paraId="77424AF0"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w:t>
            </w:r>
          </w:p>
        </w:tc>
        <w:tc>
          <w:tcPr>
            <w:tcW w:w="1225" w:type="pct"/>
            <w:tcBorders>
              <w:top w:val="single" w:sz="8" w:space="0" w:color="auto"/>
              <w:left w:val="nil"/>
              <w:bottom w:val="single" w:sz="8" w:space="0" w:color="auto"/>
              <w:right w:val="nil"/>
            </w:tcBorders>
            <w:shd w:val="clear" w:color="auto" w:fill="auto"/>
            <w:vAlign w:val="center"/>
            <w:hideMark/>
          </w:tcPr>
          <w:p w14:paraId="4541D678"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1.288.641.343</w:t>
            </w:r>
          </w:p>
        </w:tc>
      </w:tr>
    </w:tbl>
    <w:p w14:paraId="2CE8EEA8" w14:textId="77777777" w:rsidR="0013173C" w:rsidRPr="00252D7B" w:rsidRDefault="0013173C" w:rsidP="0013173C">
      <w:pPr>
        <w:rPr>
          <w:rFonts w:asciiTheme="minorHAnsi" w:hAnsiTheme="minorHAnsi" w:cstheme="minorHAnsi"/>
        </w:rPr>
      </w:pPr>
    </w:p>
    <w:p w14:paraId="7F1862A4" w14:textId="77777777" w:rsidR="0013173C" w:rsidRPr="008D0C4F" w:rsidRDefault="0013173C" w:rsidP="008D0C4F">
      <w:pPr>
        <w:pStyle w:val="Ttulo4"/>
        <w:rPr>
          <w:rFonts w:asciiTheme="minorHAnsi" w:hAnsiTheme="minorHAnsi" w:cstheme="minorHAnsi"/>
        </w:rPr>
      </w:pPr>
      <w:bookmarkStart w:id="708" w:name="_Toc97918850"/>
      <w:bookmarkStart w:id="709" w:name="_Toc103680652"/>
      <w:r w:rsidRPr="008D0C4F">
        <w:rPr>
          <w:rFonts w:asciiTheme="minorHAnsi" w:hAnsiTheme="minorHAnsi" w:cstheme="minorHAnsi"/>
        </w:rPr>
        <w:t>Prejuízos acumulados</w:t>
      </w:r>
      <w:bookmarkEnd w:id="708"/>
      <w:bookmarkEnd w:id="709"/>
    </w:p>
    <w:p w14:paraId="658D35F2" w14:textId="77777777" w:rsidR="0013173C" w:rsidRPr="00252D7B" w:rsidRDefault="0013173C" w:rsidP="0013173C">
      <w:pPr>
        <w:spacing w:before="120" w:after="120"/>
        <w:ind w:right="57"/>
        <w:jc w:val="both"/>
        <w:rPr>
          <w:rFonts w:asciiTheme="minorHAnsi" w:hAnsiTheme="minorHAnsi" w:cstheme="minorHAnsi"/>
          <w:sz w:val="24"/>
          <w:szCs w:val="24"/>
        </w:rPr>
      </w:pPr>
      <w:r w:rsidRPr="00252D7B">
        <w:rPr>
          <w:rFonts w:asciiTheme="minorHAnsi" w:hAnsiTheme="minorHAnsi" w:cstheme="minorHAnsi"/>
          <w:sz w:val="24"/>
          <w:szCs w:val="24"/>
        </w:rPr>
        <w:t>O Prejuízo Acumulado no valor de R$ 21,4 bilhões decorre das depreciações dos bens patrimoniais e amortizações dos bens intangíveis; dos efeitos inflacionários da atualização monetária dos Adiantamentos para Futuro Aumento de Capital; da constituição de provisões e atualizações monetárias; do resultado negativo da equivalência patrimonial sobre o investimento na Transnordestina Logística S/A;  da baixa de ativos imobilizados em decorrência da conclusão de Tomadas de Contas Especiais do TCU; e principalmente, pela provisão de perda ao valor recuperável dos ativos da Ferrovia Norte Sul e da Ferrovia de Integração Oeste Leste.</w:t>
      </w:r>
    </w:p>
    <w:p w14:paraId="755B753B" w14:textId="77777777" w:rsidR="0013173C" w:rsidRPr="00252D7B" w:rsidRDefault="0013173C" w:rsidP="0013173C">
      <w:pPr>
        <w:spacing w:before="120" w:after="120"/>
        <w:ind w:right="57"/>
        <w:jc w:val="both"/>
        <w:rPr>
          <w:rFonts w:asciiTheme="minorHAnsi" w:hAnsiTheme="minorHAnsi" w:cstheme="minorHAnsi"/>
          <w:sz w:val="24"/>
          <w:szCs w:val="24"/>
        </w:rPr>
      </w:pPr>
    </w:p>
    <w:p w14:paraId="50AD3CFD" w14:textId="77777777" w:rsidR="0013173C" w:rsidRPr="00252D7B" w:rsidRDefault="0013173C" w:rsidP="0013173C">
      <w:pPr>
        <w:spacing w:before="120" w:after="120"/>
        <w:ind w:right="57"/>
        <w:jc w:val="both"/>
        <w:rPr>
          <w:rFonts w:asciiTheme="minorHAnsi" w:hAnsiTheme="minorHAnsi" w:cstheme="minorHAnsi"/>
          <w:sz w:val="24"/>
          <w:szCs w:val="24"/>
        </w:rPr>
      </w:pPr>
    </w:p>
    <w:p w14:paraId="210986C3" w14:textId="77777777" w:rsidR="0013173C" w:rsidRPr="00252D7B" w:rsidRDefault="0013173C" w:rsidP="00F100A9">
      <w:pPr>
        <w:pStyle w:val="Ttulo2"/>
      </w:pPr>
      <w:bookmarkStart w:id="710" w:name="_Toc97918851"/>
      <w:bookmarkStart w:id="711" w:name="_Toc103680653"/>
      <w:r w:rsidRPr="00252D7B">
        <w:t>Principais contas de resultados</w:t>
      </w:r>
      <w:bookmarkEnd w:id="710"/>
      <w:bookmarkEnd w:id="711"/>
    </w:p>
    <w:p w14:paraId="058399F2" w14:textId="77777777" w:rsidR="0013173C" w:rsidRPr="00252D7B" w:rsidRDefault="0013173C" w:rsidP="0013173C">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As principais contas com destaques na Demonstração do Resultado do Exercício foram: Receita líquida; Despesas com pessoal; Gerais e Administrativas e Outras receitas e despesas operacionais.</w:t>
      </w:r>
    </w:p>
    <w:p w14:paraId="24B587BF" w14:textId="77777777" w:rsidR="0013173C" w:rsidRPr="00252D7B" w:rsidRDefault="0013173C" w:rsidP="0013173C">
      <w:pPr>
        <w:spacing w:before="120" w:after="120"/>
        <w:rPr>
          <w:rFonts w:asciiTheme="minorHAnsi" w:hAnsiTheme="minorHAnsi" w:cstheme="minorHAnsi"/>
        </w:rPr>
      </w:pPr>
    </w:p>
    <w:p w14:paraId="63257204" w14:textId="77777777" w:rsidR="0013173C" w:rsidRPr="00252D7B" w:rsidRDefault="0013173C" w:rsidP="008D0C4F">
      <w:pPr>
        <w:pStyle w:val="Ttulo3"/>
        <w:rPr>
          <w:rFonts w:asciiTheme="minorHAnsi" w:hAnsiTheme="minorHAnsi" w:cstheme="minorHAnsi"/>
        </w:rPr>
      </w:pPr>
      <w:bookmarkStart w:id="712" w:name="_Toc97918852"/>
      <w:bookmarkStart w:id="713" w:name="_Toc103680654"/>
      <w:r w:rsidRPr="00252D7B">
        <w:rPr>
          <w:rFonts w:asciiTheme="minorHAnsi" w:hAnsiTheme="minorHAnsi" w:cstheme="minorHAnsi"/>
        </w:rPr>
        <w:t>Receita líquida</w:t>
      </w:r>
      <w:bookmarkEnd w:id="712"/>
      <w:bookmarkEnd w:id="713"/>
    </w:p>
    <w:p w14:paraId="2E93F62B" w14:textId="77777777" w:rsidR="0013173C" w:rsidRPr="00252D7B" w:rsidRDefault="0013173C" w:rsidP="0013173C">
      <w:pPr>
        <w:spacing w:before="120" w:after="120"/>
        <w:ind w:right="57"/>
        <w:jc w:val="both"/>
        <w:rPr>
          <w:rFonts w:asciiTheme="minorHAnsi" w:hAnsiTheme="minorHAnsi" w:cstheme="minorHAnsi"/>
          <w:sz w:val="24"/>
          <w:szCs w:val="24"/>
        </w:rPr>
      </w:pPr>
      <w:r w:rsidRPr="00252D7B">
        <w:rPr>
          <w:rFonts w:asciiTheme="minorHAnsi" w:hAnsiTheme="minorHAnsi" w:cstheme="minorHAnsi"/>
          <w:sz w:val="24"/>
          <w:szCs w:val="24"/>
        </w:rPr>
        <w:t>As receitas operacionais da Valec compreendem as receitas de exploração da ferrovia e as receitas de permissões de uso de pátios. A receita líquida realizada no exercício de 2021 foi de R$ 3,18 milhões.</w:t>
      </w:r>
    </w:p>
    <w:p w14:paraId="7D57ACFA" w14:textId="77777777" w:rsidR="0013173C" w:rsidRPr="00252D7B" w:rsidRDefault="0013173C" w:rsidP="0013173C">
      <w:pPr>
        <w:spacing w:before="120" w:after="120"/>
        <w:ind w:right="57"/>
        <w:jc w:val="both"/>
        <w:rPr>
          <w:rFonts w:asciiTheme="minorHAnsi" w:hAnsiTheme="minorHAnsi" w:cstheme="minorHAnsi"/>
          <w:sz w:val="24"/>
          <w:szCs w:val="24"/>
        </w:rPr>
      </w:pPr>
    </w:p>
    <w:p w14:paraId="2793FF76" w14:textId="28CFE886" w:rsidR="0013173C" w:rsidRPr="005059B1" w:rsidRDefault="0013173C" w:rsidP="005059B1">
      <w:pPr>
        <w:pStyle w:val="Legenda"/>
        <w:jc w:val="center"/>
        <w:rPr>
          <w:rFonts w:asciiTheme="minorHAnsi" w:hAnsiTheme="minorHAnsi" w:cstheme="minorHAnsi"/>
          <w:sz w:val="20"/>
          <w:szCs w:val="20"/>
        </w:rPr>
      </w:pPr>
      <w:bookmarkStart w:id="714" w:name="_Toc97918926"/>
      <w:bookmarkStart w:id="715" w:name="_Toc103680712"/>
      <w:r w:rsidRPr="00252D7B">
        <w:rPr>
          <w:rFonts w:asciiTheme="minorHAnsi" w:hAnsiTheme="minorHAnsi" w:cstheme="minorHAnsi"/>
          <w:sz w:val="20"/>
          <w:szCs w:val="20"/>
        </w:rPr>
        <w:t xml:space="preserve">Tabela </w:t>
      </w:r>
      <w:r w:rsidRPr="005059B1">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Tabela \* ARABIC </w:instrText>
      </w:r>
      <w:r w:rsidRPr="005059B1">
        <w:rPr>
          <w:rFonts w:asciiTheme="minorHAnsi" w:hAnsiTheme="minorHAnsi" w:cstheme="minorHAnsi"/>
          <w:sz w:val="20"/>
          <w:szCs w:val="20"/>
        </w:rPr>
        <w:fldChar w:fldCharType="separate"/>
      </w:r>
      <w:r w:rsidR="00C12888">
        <w:rPr>
          <w:rFonts w:asciiTheme="minorHAnsi" w:hAnsiTheme="minorHAnsi" w:cstheme="minorHAnsi"/>
          <w:noProof/>
          <w:sz w:val="20"/>
          <w:szCs w:val="20"/>
        </w:rPr>
        <w:t>50</w:t>
      </w:r>
      <w:r w:rsidRPr="005059B1">
        <w:rPr>
          <w:rFonts w:asciiTheme="minorHAnsi" w:hAnsiTheme="minorHAnsi" w:cstheme="minorHAnsi"/>
          <w:sz w:val="20"/>
          <w:szCs w:val="20"/>
        </w:rPr>
        <w:fldChar w:fldCharType="end"/>
      </w:r>
      <w:r w:rsidRPr="00252D7B">
        <w:rPr>
          <w:rFonts w:asciiTheme="minorHAnsi" w:hAnsiTheme="minorHAnsi" w:cstheme="minorHAnsi"/>
          <w:sz w:val="20"/>
          <w:szCs w:val="20"/>
        </w:rPr>
        <w:t xml:space="preserve"> – Receitas líquidas</w:t>
      </w:r>
      <w:bookmarkEnd w:id="714"/>
      <w:bookmarkEnd w:id="715"/>
    </w:p>
    <w:tbl>
      <w:tblPr>
        <w:tblW w:w="5000" w:type="pct"/>
        <w:tblCellMar>
          <w:left w:w="70" w:type="dxa"/>
          <w:right w:w="70" w:type="dxa"/>
        </w:tblCellMar>
        <w:tblLook w:val="04A0" w:firstRow="1" w:lastRow="0" w:firstColumn="1" w:lastColumn="0" w:noHBand="0" w:noVBand="1"/>
      </w:tblPr>
      <w:tblGrid>
        <w:gridCol w:w="2862"/>
        <w:gridCol w:w="386"/>
        <w:gridCol w:w="1626"/>
        <w:gridCol w:w="1624"/>
        <w:gridCol w:w="1624"/>
        <w:gridCol w:w="1624"/>
      </w:tblGrid>
      <w:tr w:rsidR="0013173C" w:rsidRPr="00252D7B" w14:paraId="60B38060" w14:textId="77777777" w:rsidTr="00F6584E">
        <w:trPr>
          <w:trHeight w:val="227"/>
        </w:trPr>
        <w:tc>
          <w:tcPr>
            <w:tcW w:w="1667" w:type="pct"/>
            <w:gridSpan w:val="2"/>
            <w:tcBorders>
              <w:top w:val="nil"/>
              <w:left w:val="nil"/>
              <w:bottom w:val="single" w:sz="8" w:space="0" w:color="auto"/>
              <w:right w:val="nil"/>
            </w:tcBorders>
            <w:shd w:val="clear" w:color="auto" w:fill="auto"/>
            <w:noWrap/>
            <w:vAlign w:val="center"/>
            <w:hideMark/>
          </w:tcPr>
          <w:p w14:paraId="73BC2975" w14:textId="77777777" w:rsidR="0013173C" w:rsidRPr="00252D7B" w:rsidRDefault="0013173C" w:rsidP="00F6584E">
            <w:pPr>
              <w:spacing w:after="120"/>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RECEITAS LÍQUIDAS</w:t>
            </w:r>
          </w:p>
        </w:tc>
        <w:tc>
          <w:tcPr>
            <w:tcW w:w="833" w:type="pct"/>
            <w:tcBorders>
              <w:top w:val="nil"/>
              <w:left w:val="nil"/>
              <w:bottom w:val="single" w:sz="8" w:space="0" w:color="auto"/>
              <w:right w:val="nil"/>
            </w:tcBorders>
            <w:shd w:val="clear" w:color="auto" w:fill="auto"/>
            <w:noWrap/>
            <w:vAlign w:val="center"/>
            <w:hideMark/>
          </w:tcPr>
          <w:p w14:paraId="148F544F" w14:textId="77777777" w:rsidR="0013173C" w:rsidRPr="00252D7B" w:rsidRDefault="0013173C" w:rsidP="00F6584E">
            <w:pPr>
              <w:spacing w:after="120"/>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w:t>
            </w:r>
          </w:p>
        </w:tc>
        <w:tc>
          <w:tcPr>
            <w:tcW w:w="833" w:type="pct"/>
            <w:tcBorders>
              <w:top w:val="nil"/>
              <w:left w:val="nil"/>
              <w:bottom w:val="single" w:sz="8" w:space="0" w:color="auto"/>
              <w:right w:val="nil"/>
            </w:tcBorders>
            <w:shd w:val="clear" w:color="auto" w:fill="auto"/>
            <w:noWrap/>
            <w:vAlign w:val="center"/>
            <w:hideMark/>
          </w:tcPr>
          <w:p w14:paraId="59A21644"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w:t>
            </w:r>
          </w:p>
        </w:tc>
        <w:tc>
          <w:tcPr>
            <w:tcW w:w="833" w:type="pct"/>
            <w:tcBorders>
              <w:top w:val="nil"/>
              <w:left w:val="nil"/>
              <w:bottom w:val="single" w:sz="8" w:space="0" w:color="auto"/>
              <w:right w:val="nil"/>
            </w:tcBorders>
            <w:shd w:val="clear" w:color="auto" w:fill="auto"/>
            <w:noWrap/>
            <w:vAlign w:val="center"/>
            <w:hideMark/>
          </w:tcPr>
          <w:p w14:paraId="3A3D180E"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31/12/2021</w:t>
            </w:r>
          </w:p>
        </w:tc>
        <w:tc>
          <w:tcPr>
            <w:tcW w:w="833" w:type="pct"/>
            <w:tcBorders>
              <w:top w:val="nil"/>
              <w:left w:val="nil"/>
              <w:bottom w:val="single" w:sz="8" w:space="0" w:color="auto"/>
              <w:right w:val="nil"/>
            </w:tcBorders>
            <w:shd w:val="clear" w:color="auto" w:fill="auto"/>
            <w:noWrap/>
            <w:vAlign w:val="center"/>
            <w:hideMark/>
          </w:tcPr>
          <w:p w14:paraId="54D09366"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31/12/2020</w:t>
            </w:r>
          </w:p>
        </w:tc>
      </w:tr>
      <w:tr w:rsidR="0013173C" w:rsidRPr="00252D7B" w14:paraId="7C59A5E1" w14:textId="77777777" w:rsidTr="00F6584E">
        <w:trPr>
          <w:trHeight w:val="227"/>
        </w:trPr>
        <w:tc>
          <w:tcPr>
            <w:tcW w:w="1667" w:type="pct"/>
            <w:gridSpan w:val="2"/>
            <w:tcBorders>
              <w:top w:val="single" w:sz="8" w:space="0" w:color="auto"/>
              <w:left w:val="nil"/>
              <w:bottom w:val="nil"/>
              <w:right w:val="nil"/>
            </w:tcBorders>
            <w:shd w:val="clear" w:color="auto" w:fill="auto"/>
            <w:noWrap/>
            <w:vAlign w:val="center"/>
            <w:hideMark/>
          </w:tcPr>
          <w:p w14:paraId="6150D849"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Exploração de ferrovia</w:t>
            </w:r>
          </w:p>
        </w:tc>
        <w:tc>
          <w:tcPr>
            <w:tcW w:w="833" w:type="pct"/>
            <w:tcBorders>
              <w:top w:val="nil"/>
              <w:left w:val="nil"/>
              <w:bottom w:val="nil"/>
              <w:right w:val="nil"/>
            </w:tcBorders>
            <w:shd w:val="clear" w:color="auto" w:fill="auto"/>
            <w:noWrap/>
            <w:vAlign w:val="center"/>
            <w:hideMark/>
          </w:tcPr>
          <w:p w14:paraId="75865A8F" w14:textId="77777777" w:rsidR="0013173C" w:rsidRPr="00252D7B" w:rsidRDefault="0013173C" w:rsidP="00F6584E">
            <w:pPr>
              <w:spacing w:after="120"/>
              <w:rPr>
                <w:rFonts w:asciiTheme="minorHAnsi" w:hAnsiTheme="minorHAnsi" w:cstheme="minorHAnsi"/>
                <w:color w:val="000000"/>
                <w:sz w:val="20"/>
                <w:szCs w:val="20"/>
              </w:rPr>
            </w:pPr>
          </w:p>
        </w:tc>
        <w:tc>
          <w:tcPr>
            <w:tcW w:w="833" w:type="pct"/>
            <w:tcBorders>
              <w:top w:val="nil"/>
              <w:left w:val="nil"/>
              <w:bottom w:val="nil"/>
              <w:right w:val="nil"/>
            </w:tcBorders>
            <w:shd w:val="clear" w:color="auto" w:fill="auto"/>
            <w:noWrap/>
            <w:vAlign w:val="center"/>
            <w:hideMark/>
          </w:tcPr>
          <w:p w14:paraId="3E4D0B52" w14:textId="77777777" w:rsidR="0013173C" w:rsidRPr="00252D7B" w:rsidRDefault="0013173C" w:rsidP="00F6584E">
            <w:pPr>
              <w:spacing w:after="120"/>
              <w:rPr>
                <w:rFonts w:asciiTheme="minorHAnsi" w:hAnsiTheme="minorHAnsi" w:cstheme="minorHAnsi"/>
                <w:sz w:val="20"/>
                <w:szCs w:val="20"/>
              </w:rPr>
            </w:pPr>
          </w:p>
        </w:tc>
        <w:tc>
          <w:tcPr>
            <w:tcW w:w="833" w:type="pct"/>
            <w:tcBorders>
              <w:top w:val="nil"/>
              <w:left w:val="nil"/>
              <w:bottom w:val="nil"/>
              <w:right w:val="nil"/>
            </w:tcBorders>
            <w:shd w:val="clear" w:color="auto" w:fill="auto"/>
            <w:noWrap/>
            <w:vAlign w:val="center"/>
            <w:hideMark/>
          </w:tcPr>
          <w:p w14:paraId="2CB82DDE"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119.765</w:t>
            </w:r>
          </w:p>
        </w:tc>
        <w:tc>
          <w:tcPr>
            <w:tcW w:w="833" w:type="pct"/>
            <w:tcBorders>
              <w:top w:val="nil"/>
              <w:left w:val="nil"/>
              <w:bottom w:val="nil"/>
              <w:right w:val="nil"/>
            </w:tcBorders>
            <w:shd w:val="clear" w:color="auto" w:fill="auto"/>
            <w:noWrap/>
            <w:vAlign w:val="center"/>
            <w:hideMark/>
          </w:tcPr>
          <w:p w14:paraId="30C478C3"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20.909</w:t>
            </w:r>
          </w:p>
        </w:tc>
      </w:tr>
      <w:tr w:rsidR="0013173C" w:rsidRPr="00252D7B" w14:paraId="7302A67B" w14:textId="77777777" w:rsidTr="00F6584E">
        <w:trPr>
          <w:trHeight w:val="227"/>
        </w:trPr>
        <w:tc>
          <w:tcPr>
            <w:tcW w:w="2501" w:type="pct"/>
            <w:gridSpan w:val="3"/>
            <w:tcBorders>
              <w:top w:val="nil"/>
              <w:left w:val="nil"/>
              <w:bottom w:val="nil"/>
              <w:right w:val="nil"/>
            </w:tcBorders>
            <w:shd w:val="clear" w:color="auto" w:fill="auto"/>
            <w:noWrap/>
            <w:vAlign w:val="center"/>
            <w:hideMark/>
          </w:tcPr>
          <w:p w14:paraId="163DAF2A"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Receita com Subconcessão FIOL</w:t>
            </w:r>
          </w:p>
        </w:tc>
        <w:tc>
          <w:tcPr>
            <w:tcW w:w="833" w:type="pct"/>
            <w:tcBorders>
              <w:top w:val="nil"/>
              <w:left w:val="nil"/>
              <w:bottom w:val="nil"/>
              <w:right w:val="nil"/>
            </w:tcBorders>
            <w:shd w:val="clear" w:color="auto" w:fill="auto"/>
            <w:noWrap/>
            <w:vAlign w:val="center"/>
            <w:hideMark/>
          </w:tcPr>
          <w:p w14:paraId="57758CA3" w14:textId="77777777" w:rsidR="0013173C" w:rsidRPr="00252D7B" w:rsidRDefault="0013173C" w:rsidP="00F6584E">
            <w:pPr>
              <w:spacing w:after="120"/>
              <w:rPr>
                <w:rFonts w:asciiTheme="minorHAnsi" w:hAnsiTheme="minorHAnsi" w:cstheme="minorHAnsi"/>
                <w:color w:val="000000"/>
                <w:sz w:val="20"/>
                <w:szCs w:val="20"/>
              </w:rPr>
            </w:pPr>
          </w:p>
        </w:tc>
        <w:tc>
          <w:tcPr>
            <w:tcW w:w="833" w:type="pct"/>
            <w:tcBorders>
              <w:top w:val="nil"/>
              <w:left w:val="nil"/>
              <w:bottom w:val="nil"/>
              <w:right w:val="nil"/>
            </w:tcBorders>
            <w:shd w:val="clear" w:color="auto" w:fill="auto"/>
            <w:noWrap/>
            <w:vAlign w:val="center"/>
            <w:hideMark/>
          </w:tcPr>
          <w:p w14:paraId="53A133C3"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545.500</w:t>
            </w:r>
          </w:p>
        </w:tc>
        <w:tc>
          <w:tcPr>
            <w:tcW w:w="833" w:type="pct"/>
            <w:tcBorders>
              <w:top w:val="nil"/>
              <w:left w:val="nil"/>
              <w:bottom w:val="nil"/>
              <w:right w:val="nil"/>
            </w:tcBorders>
            <w:shd w:val="clear" w:color="auto" w:fill="auto"/>
            <w:noWrap/>
            <w:vAlign w:val="center"/>
            <w:hideMark/>
          </w:tcPr>
          <w:p w14:paraId="6A4BA4EA"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r>
      <w:tr w:rsidR="0013173C" w:rsidRPr="00252D7B" w14:paraId="1AED519D" w14:textId="77777777" w:rsidTr="00F6584E">
        <w:trPr>
          <w:trHeight w:val="227"/>
        </w:trPr>
        <w:tc>
          <w:tcPr>
            <w:tcW w:w="2501" w:type="pct"/>
            <w:gridSpan w:val="3"/>
            <w:tcBorders>
              <w:top w:val="nil"/>
              <w:left w:val="nil"/>
              <w:bottom w:val="nil"/>
              <w:right w:val="nil"/>
            </w:tcBorders>
            <w:shd w:val="clear" w:color="auto" w:fill="auto"/>
            <w:noWrap/>
            <w:vAlign w:val="center"/>
          </w:tcPr>
          <w:p w14:paraId="47B9B817"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Permissão de uso de pátios</w:t>
            </w:r>
          </w:p>
        </w:tc>
        <w:tc>
          <w:tcPr>
            <w:tcW w:w="833" w:type="pct"/>
            <w:tcBorders>
              <w:top w:val="nil"/>
              <w:left w:val="nil"/>
              <w:bottom w:val="nil"/>
              <w:right w:val="nil"/>
            </w:tcBorders>
            <w:shd w:val="clear" w:color="auto" w:fill="auto"/>
            <w:noWrap/>
            <w:vAlign w:val="center"/>
          </w:tcPr>
          <w:p w14:paraId="3AD82A7D" w14:textId="77777777" w:rsidR="0013173C" w:rsidRPr="00252D7B" w:rsidRDefault="0013173C" w:rsidP="00F6584E">
            <w:pPr>
              <w:spacing w:after="120"/>
              <w:rPr>
                <w:rFonts w:asciiTheme="minorHAnsi" w:hAnsiTheme="minorHAnsi" w:cstheme="minorHAnsi"/>
                <w:color w:val="000000"/>
                <w:sz w:val="20"/>
                <w:szCs w:val="20"/>
              </w:rPr>
            </w:pPr>
          </w:p>
        </w:tc>
        <w:tc>
          <w:tcPr>
            <w:tcW w:w="833" w:type="pct"/>
            <w:tcBorders>
              <w:top w:val="nil"/>
              <w:left w:val="nil"/>
              <w:bottom w:val="nil"/>
              <w:right w:val="nil"/>
            </w:tcBorders>
            <w:shd w:val="clear" w:color="auto" w:fill="auto"/>
            <w:noWrap/>
            <w:vAlign w:val="center"/>
          </w:tcPr>
          <w:p w14:paraId="11E2D8FA"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2.689.734</w:t>
            </w:r>
          </w:p>
        </w:tc>
        <w:tc>
          <w:tcPr>
            <w:tcW w:w="833" w:type="pct"/>
            <w:tcBorders>
              <w:top w:val="nil"/>
              <w:left w:val="nil"/>
              <w:bottom w:val="nil"/>
              <w:right w:val="nil"/>
            </w:tcBorders>
            <w:shd w:val="clear" w:color="auto" w:fill="auto"/>
            <w:noWrap/>
            <w:vAlign w:val="center"/>
          </w:tcPr>
          <w:p w14:paraId="46AAA0F2"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1.963.548</w:t>
            </w:r>
          </w:p>
        </w:tc>
      </w:tr>
      <w:tr w:rsidR="0013173C" w:rsidRPr="00252D7B" w14:paraId="58EAC906" w14:textId="77777777" w:rsidTr="00F6584E">
        <w:trPr>
          <w:trHeight w:val="227"/>
        </w:trPr>
        <w:tc>
          <w:tcPr>
            <w:tcW w:w="1667" w:type="pct"/>
            <w:gridSpan w:val="2"/>
            <w:tcBorders>
              <w:top w:val="nil"/>
              <w:left w:val="nil"/>
              <w:bottom w:val="single" w:sz="8" w:space="0" w:color="auto"/>
              <w:right w:val="nil"/>
            </w:tcBorders>
            <w:shd w:val="clear" w:color="auto" w:fill="auto"/>
            <w:noWrap/>
            <w:vAlign w:val="center"/>
            <w:hideMark/>
          </w:tcPr>
          <w:p w14:paraId="1D60A484"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lastRenderedPageBreak/>
              <w:t>Dedução de receita (-)</w:t>
            </w:r>
          </w:p>
        </w:tc>
        <w:tc>
          <w:tcPr>
            <w:tcW w:w="833" w:type="pct"/>
            <w:tcBorders>
              <w:top w:val="nil"/>
              <w:left w:val="nil"/>
              <w:bottom w:val="nil"/>
              <w:right w:val="nil"/>
            </w:tcBorders>
            <w:shd w:val="clear" w:color="auto" w:fill="auto"/>
            <w:noWrap/>
            <w:vAlign w:val="center"/>
            <w:hideMark/>
          </w:tcPr>
          <w:p w14:paraId="1F942370" w14:textId="77777777" w:rsidR="0013173C" w:rsidRPr="00252D7B" w:rsidRDefault="0013173C" w:rsidP="00F6584E">
            <w:pPr>
              <w:spacing w:after="120"/>
              <w:rPr>
                <w:rFonts w:asciiTheme="minorHAnsi" w:hAnsiTheme="minorHAnsi" w:cstheme="minorHAnsi"/>
                <w:color w:val="000000"/>
                <w:sz w:val="20"/>
                <w:szCs w:val="20"/>
              </w:rPr>
            </w:pPr>
          </w:p>
        </w:tc>
        <w:tc>
          <w:tcPr>
            <w:tcW w:w="833" w:type="pct"/>
            <w:tcBorders>
              <w:top w:val="nil"/>
              <w:left w:val="nil"/>
              <w:bottom w:val="nil"/>
              <w:right w:val="nil"/>
            </w:tcBorders>
            <w:shd w:val="clear" w:color="auto" w:fill="auto"/>
            <w:noWrap/>
            <w:vAlign w:val="center"/>
            <w:hideMark/>
          </w:tcPr>
          <w:p w14:paraId="11203E1B" w14:textId="77777777" w:rsidR="0013173C" w:rsidRPr="00252D7B" w:rsidRDefault="0013173C" w:rsidP="00F6584E">
            <w:pPr>
              <w:spacing w:after="120"/>
              <w:rPr>
                <w:rFonts w:asciiTheme="minorHAnsi" w:hAnsiTheme="minorHAnsi" w:cstheme="minorHAnsi"/>
                <w:sz w:val="20"/>
                <w:szCs w:val="20"/>
              </w:rPr>
            </w:pPr>
          </w:p>
        </w:tc>
        <w:tc>
          <w:tcPr>
            <w:tcW w:w="833" w:type="pct"/>
            <w:tcBorders>
              <w:top w:val="nil"/>
              <w:left w:val="nil"/>
              <w:bottom w:val="nil"/>
              <w:right w:val="nil"/>
            </w:tcBorders>
            <w:shd w:val="clear" w:color="auto" w:fill="auto"/>
            <w:noWrap/>
            <w:vAlign w:val="center"/>
            <w:hideMark/>
          </w:tcPr>
          <w:p w14:paraId="1CFB510D"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(166.989)</w:t>
            </w:r>
          </w:p>
        </w:tc>
        <w:tc>
          <w:tcPr>
            <w:tcW w:w="833" w:type="pct"/>
            <w:tcBorders>
              <w:top w:val="nil"/>
              <w:left w:val="nil"/>
              <w:bottom w:val="nil"/>
              <w:right w:val="nil"/>
            </w:tcBorders>
            <w:shd w:val="clear" w:color="auto" w:fill="auto"/>
            <w:noWrap/>
            <w:vAlign w:val="center"/>
            <w:hideMark/>
          </w:tcPr>
          <w:p w14:paraId="70611EE2"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(443.967)</w:t>
            </w:r>
          </w:p>
        </w:tc>
      </w:tr>
      <w:tr w:rsidR="0013173C" w:rsidRPr="00252D7B" w14:paraId="2BCB6845" w14:textId="77777777" w:rsidTr="00F6584E">
        <w:trPr>
          <w:trHeight w:val="227"/>
        </w:trPr>
        <w:tc>
          <w:tcPr>
            <w:tcW w:w="1469" w:type="pct"/>
            <w:tcBorders>
              <w:top w:val="nil"/>
              <w:left w:val="nil"/>
              <w:bottom w:val="single" w:sz="8" w:space="0" w:color="auto"/>
              <w:right w:val="nil"/>
            </w:tcBorders>
            <w:shd w:val="clear" w:color="auto" w:fill="auto"/>
            <w:noWrap/>
            <w:vAlign w:val="center"/>
            <w:hideMark/>
          </w:tcPr>
          <w:p w14:paraId="422ECE03" w14:textId="77777777" w:rsidR="0013173C" w:rsidRPr="00252D7B" w:rsidRDefault="0013173C" w:rsidP="00F6584E">
            <w:pPr>
              <w:spacing w:after="120"/>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xml:space="preserve"> TOTAL </w:t>
            </w:r>
          </w:p>
        </w:tc>
        <w:tc>
          <w:tcPr>
            <w:tcW w:w="198" w:type="pct"/>
            <w:tcBorders>
              <w:top w:val="nil"/>
              <w:left w:val="nil"/>
              <w:bottom w:val="single" w:sz="8" w:space="0" w:color="auto"/>
              <w:right w:val="nil"/>
            </w:tcBorders>
            <w:shd w:val="clear" w:color="auto" w:fill="auto"/>
            <w:noWrap/>
            <w:vAlign w:val="center"/>
            <w:hideMark/>
          </w:tcPr>
          <w:p w14:paraId="18A212F9"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 </w:t>
            </w:r>
          </w:p>
        </w:tc>
        <w:tc>
          <w:tcPr>
            <w:tcW w:w="833" w:type="pct"/>
            <w:tcBorders>
              <w:top w:val="single" w:sz="8" w:space="0" w:color="auto"/>
              <w:left w:val="nil"/>
              <w:bottom w:val="single" w:sz="8" w:space="0" w:color="auto"/>
              <w:right w:val="nil"/>
            </w:tcBorders>
            <w:shd w:val="clear" w:color="auto" w:fill="auto"/>
            <w:noWrap/>
            <w:vAlign w:val="center"/>
            <w:hideMark/>
          </w:tcPr>
          <w:p w14:paraId="1CBE91AF"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 </w:t>
            </w:r>
          </w:p>
        </w:tc>
        <w:tc>
          <w:tcPr>
            <w:tcW w:w="833" w:type="pct"/>
            <w:tcBorders>
              <w:top w:val="single" w:sz="8" w:space="0" w:color="auto"/>
              <w:left w:val="nil"/>
              <w:bottom w:val="single" w:sz="8" w:space="0" w:color="auto"/>
              <w:right w:val="nil"/>
            </w:tcBorders>
            <w:shd w:val="clear" w:color="auto" w:fill="auto"/>
            <w:noWrap/>
            <w:vAlign w:val="center"/>
            <w:hideMark/>
          </w:tcPr>
          <w:p w14:paraId="55E79507"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w:t>
            </w:r>
          </w:p>
        </w:tc>
        <w:tc>
          <w:tcPr>
            <w:tcW w:w="833" w:type="pct"/>
            <w:tcBorders>
              <w:top w:val="single" w:sz="8" w:space="0" w:color="auto"/>
              <w:left w:val="nil"/>
              <w:bottom w:val="single" w:sz="8" w:space="0" w:color="auto"/>
              <w:right w:val="nil"/>
            </w:tcBorders>
            <w:shd w:val="clear" w:color="auto" w:fill="auto"/>
            <w:noWrap/>
            <w:vAlign w:val="center"/>
            <w:hideMark/>
          </w:tcPr>
          <w:p w14:paraId="304D1F10"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3.188.010</w:t>
            </w:r>
          </w:p>
        </w:tc>
        <w:tc>
          <w:tcPr>
            <w:tcW w:w="833" w:type="pct"/>
            <w:tcBorders>
              <w:top w:val="single" w:sz="8" w:space="0" w:color="auto"/>
              <w:left w:val="nil"/>
              <w:bottom w:val="single" w:sz="8" w:space="0" w:color="auto"/>
              <w:right w:val="nil"/>
            </w:tcBorders>
            <w:shd w:val="clear" w:color="auto" w:fill="auto"/>
            <w:noWrap/>
            <w:vAlign w:val="center"/>
            <w:hideMark/>
          </w:tcPr>
          <w:p w14:paraId="19AD6369"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1.540.490</w:t>
            </w:r>
          </w:p>
        </w:tc>
      </w:tr>
    </w:tbl>
    <w:p w14:paraId="1AB783A9" w14:textId="77777777" w:rsidR="00F100A9" w:rsidRPr="00F100A9" w:rsidRDefault="00F100A9" w:rsidP="00F100A9">
      <w:pPr>
        <w:jc w:val="both"/>
        <w:rPr>
          <w:rFonts w:asciiTheme="minorHAnsi" w:hAnsiTheme="minorHAnsi" w:cstheme="minorHAnsi"/>
          <w:color w:val="000000"/>
          <w:sz w:val="24"/>
          <w:szCs w:val="24"/>
        </w:rPr>
      </w:pPr>
      <w:bookmarkStart w:id="716" w:name="_Toc97918853"/>
    </w:p>
    <w:p w14:paraId="356BF097" w14:textId="61EB4B60" w:rsidR="0013173C" w:rsidRPr="00252D7B" w:rsidRDefault="0013173C" w:rsidP="008D0C4F">
      <w:pPr>
        <w:pStyle w:val="Ttulo3"/>
        <w:rPr>
          <w:rFonts w:asciiTheme="minorHAnsi" w:hAnsiTheme="minorHAnsi" w:cstheme="minorHAnsi"/>
        </w:rPr>
      </w:pPr>
      <w:bookmarkStart w:id="717" w:name="_Toc103680655"/>
      <w:r w:rsidRPr="00252D7B">
        <w:rPr>
          <w:rFonts w:asciiTheme="minorHAnsi" w:hAnsiTheme="minorHAnsi" w:cstheme="minorHAnsi"/>
        </w:rPr>
        <w:t>Despesas com pessoal</w:t>
      </w:r>
      <w:bookmarkEnd w:id="716"/>
      <w:bookmarkEnd w:id="717"/>
    </w:p>
    <w:p w14:paraId="08F99C50" w14:textId="77777777" w:rsidR="0013173C" w:rsidRPr="00252D7B" w:rsidRDefault="0013173C" w:rsidP="0013173C">
      <w:pPr>
        <w:spacing w:before="120" w:after="120"/>
        <w:jc w:val="both"/>
        <w:rPr>
          <w:rFonts w:asciiTheme="minorHAnsi" w:hAnsiTheme="minorHAnsi" w:cstheme="minorHAnsi"/>
          <w:color w:val="000000"/>
          <w:sz w:val="24"/>
          <w:szCs w:val="24"/>
        </w:rPr>
      </w:pPr>
      <w:r w:rsidRPr="00252D7B">
        <w:rPr>
          <w:rFonts w:asciiTheme="minorHAnsi" w:hAnsiTheme="minorHAnsi" w:cstheme="minorHAnsi"/>
          <w:color w:val="000000"/>
          <w:sz w:val="24"/>
          <w:szCs w:val="24"/>
        </w:rPr>
        <w:t>As despesas com pessoal, incluindo remuneração, encargos e benefícios totalizaram no exercício de 2021 R$ 115 milhões:</w:t>
      </w:r>
    </w:p>
    <w:p w14:paraId="6AEE592A" w14:textId="77777777" w:rsidR="0013173C" w:rsidRPr="00252D7B" w:rsidRDefault="0013173C" w:rsidP="0013173C">
      <w:pPr>
        <w:jc w:val="both"/>
        <w:rPr>
          <w:rFonts w:asciiTheme="minorHAnsi" w:hAnsiTheme="minorHAnsi" w:cstheme="minorHAnsi"/>
          <w:color w:val="000000"/>
          <w:sz w:val="24"/>
          <w:szCs w:val="24"/>
        </w:rPr>
      </w:pPr>
    </w:p>
    <w:p w14:paraId="54DF91A0" w14:textId="297639EF" w:rsidR="0013173C" w:rsidRPr="005059B1" w:rsidRDefault="0013173C" w:rsidP="005059B1">
      <w:pPr>
        <w:pStyle w:val="Legenda"/>
        <w:jc w:val="center"/>
        <w:rPr>
          <w:rFonts w:asciiTheme="minorHAnsi" w:hAnsiTheme="minorHAnsi" w:cstheme="minorHAnsi"/>
          <w:sz w:val="20"/>
          <w:szCs w:val="20"/>
        </w:rPr>
      </w:pPr>
      <w:bookmarkStart w:id="718" w:name="_Toc97918927"/>
      <w:bookmarkStart w:id="719" w:name="_Toc103680713"/>
      <w:r w:rsidRPr="00252D7B">
        <w:rPr>
          <w:rFonts w:asciiTheme="minorHAnsi" w:hAnsiTheme="minorHAnsi" w:cstheme="minorHAnsi"/>
          <w:sz w:val="20"/>
          <w:szCs w:val="20"/>
        </w:rPr>
        <w:t xml:space="preserve">Tabela </w:t>
      </w:r>
      <w:r w:rsidRPr="005059B1">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Tabela \* ARABIC </w:instrText>
      </w:r>
      <w:r w:rsidRPr="005059B1">
        <w:rPr>
          <w:rFonts w:asciiTheme="minorHAnsi" w:hAnsiTheme="minorHAnsi" w:cstheme="minorHAnsi"/>
          <w:sz w:val="20"/>
          <w:szCs w:val="20"/>
        </w:rPr>
        <w:fldChar w:fldCharType="separate"/>
      </w:r>
      <w:r w:rsidR="00C12888">
        <w:rPr>
          <w:rFonts w:asciiTheme="minorHAnsi" w:hAnsiTheme="minorHAnsi" w:cstheme="minorHAnsi"/>
          <w:noProof/>
          <w:sz w:val="20"/>
          <w:szCs w:val="20"/>
        </w:rPr>
        <w:t>51</w:t>
      </w:r>
      <w:r w:rsidRPr="005059B1">
        <w:rPr>
          <w:rFonts w:asciiTheme="minorHAnsi" w:hAnsiTheme="minorHAnsi" w:cstheme="minorHAnsi"/>
          <w:sz w:val="20"/>
          <w:szCs w:val="20"/>
        </w:rPr>
        <w:fldChar w:fldCharType="end"/>
      </w:r>
      <w:r w:rsidRPr="00252D7B">
        <w:rPr>
          <w:rFonts w:asciiTheme="minorHAnsi" w:hAnsiTheme="minorHAnsi" w:cstheme="minorHAnsi"/>
          <w:sz w:val="20"/>
          <w:szCs w:val="20"/>
        </w:rPr>
        <w:t xml:space="preserve"> – Despesa com pessoal</w:t>
      </w:r>
      <w:bookmarkEnd w:id="718"/>
      <w:bookmarkEnd w:id="719"/>
    </w:p>
    <w:tbl>
      <w:tblPr>
        <w:tblW w:w="5000" w:type="pct"/>
        <w:tblCellMar>
          <w:left w:w="70" w:type="dxa"/>
          <w:right w:w="70" w:type="dxa"/>
        </w:tblCellMar>
        <w:tblLook w:val="04A0" w:firstRow="1" w:lastRow="0" w:firstColumn="1" w:lastColumn="0" w:noHBand="0" w:noVBand="1"/>
      </w:tblPr>
      <w:tblGrid>
        <w:gridCol w:w="5622"/>
        <w:gridCol w:w="2062"/>
        <w:gridCol w:w="2062"/>
      </w:tblGrid>
      <w:tr w:rsidR="0013173C" w:rsidRPr="00252D7B" w14:paraId="211B862D" w14:textId="77777777" w:rsidTr="00F6584E">
        <w:trPr>
          <w:trHeight w:hRule="exact" w:val="227"/>
        </w:trPr>
        <w:tc>
          <w:tcPr>
            <w:tcW w:w="2884" w:type="pct"/>
            <w:tcBorders>
              <w:top w:val="single" w:sz="8" w:space="0" w:color="auto"/>
              <w:left w:val="nil"/>
              <w:bottom w:val="single" w:sz="8" w:space="0" w:color="auto"/>
              <w:right w:val="nil"/>
            </w:tcBorders>
            <w:shd w:val="clear" w:color="auto" w:fill="auto"/>
            <w:noWrap/>
            <w:vAlign w:val="center"/>
            <w:hideMark/>
          </w:tcPr>
          <w:p w14:paraId="1FE27A39" w14:textId="77777777" w:rsidR="0013173C" w:rsidRPr="00252D7B" w:rsidRDefault="0013173C" w:rsidP="00F6584E">
            <w:pPr>
              <w:spacing w:after="120"/>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DESPESAS COM PESSOAL</w:t>
            </w:r>
          </w:p>
        </w:tc>
        <w:tc>
          <w:tcPr>
            <w:tcW w:w="1058" w:type="pct"/>
            <w:tcBorders>
              <w:top w:val="single" w:sz="8" w:space="0" w:color="auto"/>
              <w:left w:val="nil"/>
              <w:bottom w:val="single" w:sz="8" w:space="0" w:color="auto"/>
              <w:right w:val="nil"/>
            </w:tcBorders>
            <w:shd w:val="clear" w:color="auto" w:fill="auto"/>
            <w:vAlign w:val="center"/>
            <w:hideMark/>
          </w:tcPr>
          <w:p w14:paraId="4E77A10B"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31/12/2021</w:t>
            </w:r>
          </w:p>
        </w:tc>
        <w:tc>
          <w:tcPr>
            <w:tcW w:w="1058" w:type="pct"/>
            <w:tcBorders>
              <w:top w:val="single" w:sz="8" w:space="0" w:color="auto"/>
              <w:left w:val="nil"/>
              <w:bottom w:val="single" w:sz="8" w:space="0" w:color="auto"/>
              <w:right w:val="nil"/>
            </w:tcBorders>
            <w:shd w:val="clear" w:color="auto" w:fill="auto"/>
            <w:vAlign w:val="center"/>
            <w:hideMark/>
          </w:tcPr>
          <w:p w14:paraId="5E69EFA5"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31/12/2020</w:t>
            </w:r>
          </w:p>
        </w:tc>
      </w:tr>
      <w:tr w:rsidR="0013173C" w:rsidRPr="00252D7B" w14:paraId="044E2F98" w14:textId="77777777" w:rsidTr="00F6584E">
        <w:trPr>
          <w:trHeight w:hRule="exact" w:val="227"/>
        </w:trPr>
        <w:tc>
          <w:tcPr>
            <w:tcW w:w="2884" w:type="pct"/>
            <w:tcBorders>
              <w:top w:val="nil"/>
              <w:left w:val="nil"/>
              <w:bottom w:val="nil"/>
              <w:right w:val="nil"/>
            </w:tcBorders>
            <w:shd w:val="clear" w:color="auto" w:fill="auto"/>
            <w:noWrap/>
            <w:vAlign w:val="center"/>
            <w:hideMark/>
          </w:tcPr>
          <w:p w14:paraId="37F74224"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Remuneração (Salários, gratificações, 13º salário e férias)</w:t>
            </w:r>
          </w:p>
        </w:tc>
        <w:tc>
          <w:tcPr>
            <w:tcW w:w="1058" w:type="pct"/>
            <w:tcBorders>
              <w:top w:val="nil"/>
              <w:left w:val="nil"/>
              <w:bottom w:val="nil"/>
              <w:right w:val="nil"/>
            </w:tcBorders>
            <w:shd w:val="clear" w:color="auto" w:fill="auto"/>
            <w:vAlign w:val="center"/>
            <w:hideMark/>
          </w:tcPr>
          <w:p w14:paraId="23B13818"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(76.249.741)</w:t>
            </w:r>
          </w:p>
        </w:tc>
        <w:tc>
          <w:tcPr>
            <w:tcW w:w="1058" w:type="pct"/>
            <w:tcBorders>
              <w:top w:val="nil"/>
              <w:left w:val="nil"/>
              <w:bottom w:val="nil"/>
              <w:right w:val="nil"/>
            </w:tcBorders>
            <w:shd w:val="clear" w:color="auto" w:fill="auto"/>
            <w:vAlign w:val="center"/>
            <w:hideMark/>
          </w:tcPr>
          <w:p w14:paraId="60C1C277"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(78.918.075)</w:t>
            </w:r>
          </w:p>
        </w:tc>
      </w:tr>
      <w:tr w:rsidR="0013173C" w:rsidRPr="00252D7B" w14:paraId="3293457F" w14:textId="77777777" w:rsidTr="00F6584E">
        <w:trPr>
          <w:trHeight w:hRule="exact" w:val="227"/>
        </w:trPr>
        <w:tc>
          <w:tcPr>
            <w:tcW w:w="2884" w:type="pct"/>
            <w:tcBorders>
              <w:top w:val="nil"/>
              <w:left w:val="nil"/>
              <w:bottom w:val="nil"/>
              <w:right w:val="nil"/>
            </w:tcBorders>
            <w:shd w:val="clear" w:color="auto" w:fill="auto"/>
            <w:noWrap/>
            <w:vAlign w:val="center"/>
            <w:hideMark/>
          </w:tcPr>
          <w:p w14:paraId="46847DF6"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Encargos Sociais (INSS, FGTS e Prev. Complementar)</w:t>
            </w:r>
          </w:p>
        </w:tc>
        <w:tc>
          <w:tcPr>
            <w:tcW w:w="1058" w:type="pct"/>
            <w:tcBorders>
              <w:top w:val="nil"/>
              <w:left w:val="nil"/>
              <w:bottom w:val="nil"/>
              <w:right w:val="nil"/>
            </w:tcBorders>
            <w:shd w:val="clear" w:color="auto" w:fill="auto"/>
            <w:vAlign w:val="center"/>
            <w:hideMark/>
          </w:tcPr>
          <w:p w14:paraId="63E1127E"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(29.701.284)</w:t>
            </w:r>
          </w:p>
        </w:tc>
        <w:tc>
          <w:tcPr>
            <w:tcW w:w="1058" w:type="pct"/>
            <w:tcBorders>
              <w:top w:val="nil"/>
              <w:left w:val="nil"/>
              <w:bottom w:val="nil"/>
              <w:right w:val="nil"/>
            </w:tcBorders>
            <w:shd w:val="clear" w:color="auto" w:fill="auto"/>
            <w:vAlign w:val="center"/>
            <w:hideMark/>
          </w:tcPr>
          <w:p w14:paraId="4C8F5A98"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(30.161.739)</w:t>
            </w:r>
          </w:p>
        </w:tc>
      </w:tr>
      <w:tr w:rsidR="0013173C" w:rsidRPr="00252D7B" w14:paraId="52ADE128" w14:textId="77777777" w:rsidTr="00F6584E">
        <w:trPr>
          <w:trHeight w:hRule="exact" w:val="227"/>
        </w:trPr>
        <w:tc>
          <w:tcPr>
            <w:tcW w:w="2884" w:type="pct"/>
            <w:tcBorders>
              <w:top w:val="nil"/>
              <w:left w:val="nil"/>
              <w:bottom w:val="single" w:sz="8" w:space="0" w:color="auto"/>
              <w:right w:val="nil"/>
            </w:tcBorders>
            <w:shd w:val="clear" w:color="auto" w:fill="auto"/>
            <w:noWrap/>
            <w:vAlign w:val="center"/>
            <w:hideMark/>
          </w:tcPr>
          <w:p w14:paraId="56DDEF87"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Benefícios (transporte, creche, saúde e alimentação)</w:t>
            </w:r>
          </w:p>
        </w:tc>
        <w:tc>
          <w:tcPr>
            <w:tcW w:w="1058" w:type="pct"/>
            <w:tcBorders>
              <w:top w:val="nil"/>
              <w:left w:val="nil"/>
              <w:bottom w:val="single" w:sz="8" w:space="0" w:color="auto"/>
              <w:right w:val="nil"/>
            </w:tcBorders>
            <w:shd w:val="clear" w:color="auto" w:fill="auto"/>
            <w:vAlign w:val="center"/>
            <w:hideMark/>
          </w:tcPr>
          <w:p w14:paraId="1B3AF872"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(9.911.631)</w:t>
            </w:r>
          </w:p>
        </w:tc>
        <w:tc>
          <w:tcPr>
            <w:tcW w:w="1058" w:type="pct"/>
            <w:tcBorders>
              <w:top w:val="nil"/>
              <w:left w:val="nil"/>
              <w:bottom w:val="single" w:sz="8" w:space="0" w:color="auto"/>
              <w:right w:val="nil"/>
            </w:tcBorders>
            <w:shd w:val="clear" w:color="auto" w:fill="auto"/>
            <w:vAlign w:val="center"/>
            <w:hideMark/>
          </w:tcPr>
          <w:p w14:paraId="4059DE31"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(10.028.151)</w:t>
            </w:r>
          </w:p>
        </w:tc>
      </w:tr>
      <w:tr w:rsidR="0013173C" w:rsidRPr="00252D7B" w14:paraId="024F2F74" w14:textId="77777777" w:rsidTr="00F6584E">
        <w:trPr>
          <w:trHeight w:hRule="exact" w:val="227"/>
        </w:trPr>
        <w:tc>
          <w:tcPr>
            <w:tcW w:w="2884" w:type="pct"/>
            <w:tcBorders>
              <w:top w:val="nil"/>
              <w:left w:val="nil"/>
              <w:bottom w:val="single" w:sz="8" w:space="0" w:color="auto"/>
              <w:right w:val="nil"/>
            </w:tcBorders>
            <w:shd w:val="clear" w:color="auto" w:fill="auto"/>
            <w:noWrap/>
            <w:vAlign w:val="center"/>
            <w:hideMark/>
          </w:tcPr>
          <w:p w14:paraId="73A38FD3" w14:textId="77777777" w:rsidR="0013173C" w:rsidRPr="00252D7B" w:rsidRDefault="0013173C" w:rsidP="00F6584E">
            <w:pPr>
              <w:spacing w:after="120"/>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Total das Despesas com Pessoal</w:t>
            </w:r>
          </w:p>
        </w:tc>
        <w:tc>
          <w:tcPr>
            <w:tcW w:w="1058" w:type="pct"/>
            <w:tcBorders>
              <w:top w:val="nil"/>
              <w:left w:val="nil"/>
              <w:bottom w:val="single" w:sz="8" w:space="0" w:color="auto"/>
              <w:right w:val="nil"/>
            </w:tcBorders>
            <w:shd w:val="clear" w:color="auto" w:fill="auto"/>
            <w:vAlign w:val="center"/>
            <w:hideMark/>
          </w:tcPr>
          <w:p w14:paraId="64D178C0"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(115.862.656)</w:t>
            </w:r>
          </w:p>
        </w:tc>
        <w:tc>
          <w:tcPr>
            <w:tcW w:w="1058" w:type="pct"/>
            <w:tcBorders>
              <w:top w:val="nil"/>
              <w:left w:val="nil"/>
              <w:bottom w:val="single" w:sz="8" w:space="0" w:color="auto"/>
              <w:right w:val="nil"/>
            </w:tcBorders>
            <w:shd w:val="clear" w:color="auto" w:fill="auto"/>
            <w:vAlign w:val="center"/>
            <w:hideMark/>
          </w:tcPr>
          <w:p w14:paraId="53125B8E"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(119.107.965)</w:t>
            </w:r>
          </w:p>
        </w:tc>
      </w:tr>
      <w:tr w:rsidR="0013173C" w:rsidRPr="00252D7B" w14:paraId="08DE3B31" w14:textId="77777777" w:rsidTr="00F6584E">
        <w:trPr>
          <w:trHeight w:hRule="exact" w:val="227"/>
        </w:trPr>
        <w:tc>
          <w:tcPr>
            <w:tcW w:w="2884" w:type="pct"/>
            <w:tcBorders>
              <w:top w:val="nil"/>
              <w:left w:val="nil"/>
              <w:bottom w:val="single" w:sz="8" w:space="0" w:color="auto"/>
              <w:right w:val="nil"/>
            </w:tcBorders>
            <w:shd w:val="clear" w:color="auto" w:fill="auto"/>
            <w:noWrap/>
            <w:vAlign w:val="center"/>
            <w:hideMark/>
          </w:tcPr>
          <w:p w14:paraId="32DC38F4"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 xml:space="preserve">Quantidade de Funcionários </w:t>
            </w:r>
          </w:p>
        </w:tc>
        <w:tc>
          <w:tcPr>
            <w:tcW w:w="1058" w:type="pct"/>
            <w:tcBorders>
              <w:top w:val="nil"/>
              <w:left w:val="nil"/>
              <w:bottom w:val="single" w:sz="8" w:space="0" w:color="auto"/>
              <w:right w:val="nil"/>
            </w:tcBorders>
            <w:shd w:val="clear" w:color="auto" w:fill="auto"/>
            <w:vAlign w:val="center"/>
            <w:hideMark/>
          </w:tcPr>
          <w:p w14:paraId="4581AAE1"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643</w:t>
            </w:r>
          </w:p>
        </w:tc>
        <w:tc>
          <w:tcPr>
            <w:tcW w:w="1058" w:type="pct"/>
            <w:tcBorders>
              <w:top w:val="nil"/>
              <w:left w:val="nil"/>
              <w:bottom w:val="single" w:sz="8" w:space="0" w:color="auto"/>
              <w:right w:val="nil"/>
            </w:tcBorders>
            <w:shd w:val="clear" w:color="auto" w:fill="auto"/>
            <w:vAlign w:val="center"/>
            <w:hideMark/>
          </w:tcPr>
          <w:p w14:paraId="1A855A19"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665</w:t>
            </w:r>
          </w:p>
        </w:tc>
      </w:tr>
    </w:tbl>
    <w:p w14:paraId="50916C90" w14:textId="77777777" w:rsidR="0013173C" w:rsidRPr="00252D7B" w:rsidRDefault="0013173C" w:rsidP="0013173C">
      <w:pPr>
        <w:spacing w:before="120" w:after="120"/>
        <w:rPr>
          <w:rFonts w:asciiTheme="minorHAnsi" w:hAnsiTheme="minorHAnsi" w:cstheme="minorHAnsi"/>
          <w:sz w:val="20"/>
          <w:szCs w:val="20"/>
        </w:rPr>
      </w:pPr>
    </w:p>
    <w:p w14:paraId="75FEBF21" w14:textId="77777777" w:rsidR="0013173C" w:rsidRPr="00252D7B" w:rsidRDefault="0013173C" w:rsidP="008D0C4F">
      <w:pPr>
        <w:pStyle w:val="Ttulo3"/>
        <w:rPr>
          <w:rFonts w:asciiTheme="minorHAnsi" w:hAnsiTheme="minorHAnsi" w:cstheme="minorHAnsi"/>
        </w:rPr>
      </w:pPr>
      <w:bookmarkStart w:id="720" w:name="_Toc97918854"/>
      <w:bookmarkStart w:id="721" w:name="_Toc103680656"/>
      <w:r w:rsidRPr="00252D7B">
        <w:rPr>
          <w:rFonts w:asciiTheme="minorHAnsi" w:hAnsiTheme="minorHAnsi" w:cstheme="minorHAnsi"/>
        </w:rPr>
        <w:t>Despesas gerais e administrativas</w:t>
      </w:r>
      <w:bookmarkEnd w:id="720"/>
      <w:bookmarkEnd w:id="721"/>
    </w:p>
    <w:p w14:paraId="48F747A1" w14:textId="77777777" w:rsidR="0013173C" w:rsidRPr="00252D7B" w:rsidRDefault="0013173C" w:rsidP="0013173C">
      <w:pPr>
        <w:spacing w:before="120" w:after="120"/>
        <w:jc w:val="both"/>
        <w:rPr>
          <w:rFonts w:asciiTheme="minorHAnsi" w:hAnsiTheme="minorHAnsi" w:cstheme="minorHAnsi"/>
          <w:color w:val="000000"/>
          <w:sz w:val="24"/>
          <w:szCs w:val="24"/>
        </w:rPr>
      </w:pPr>
      <w:r w:rsidRPr="00252D7B">
        <w:rPr>
          <w:rFonts w:asciiTheme="minorHAnsi" w:hAnsiTheme="minorHAnsi" w:cstheme="minorHAnsi"/>
          <w:color w:val="000000"/>
          <w:sz w:val="24"/>
          <w:szCs w:val="24"/>
        </w:rPr>
        <w:t>As Despesas Gerais e Administrativas totalizaram o valor de R$ 26,4 milhões:</w:t>
      </w:r>
    </w:p>
    <w:p w14:paraId="5183C208" w14:textId="77777777" w:rsidR="0013173C" w:rsidRPr="00252D7B" w:rsidRDefault="0013173C" w:rsidP="0013173C">
      <w:pPr>
        <w:spacing w:before="120" w:after="120"/>
        <w:jc w:val="both"/>
        <w:rPr>
          <w:rFonts w:asciiTheme="minorHAnsi" w:hAnsiTheme="minorHAnsi" w:cstheme="minorHAnsi"/>
          <w:color w:val="000000"/>
          <w:sz w:val="24"/>
          <w:szCs w:val="24"/>
        </w:rPr>
      </w:pPr>
    </w:p>
    <w:p w14:paraId="46B77EE1" w14:textId="7D087946" w:rsidR="0013173C" w:rsidRPr="005059B1" w:rsidRDefault="0013173C" w:rsidP="005059B1">
      <w:pPr>
        <w:pStyle w:val="Legenda"/>
        <w:jc w:val="center"/>
        <w:rPr>
          <w:rFonts w:asciiTheme="minorHAnsi" w:hAnsiTheme="minorHAnsi" w:cstheme="minorHAnsi"/>
          <w:sz w:val="20"/>
          <w:szCs w:val="20"/>
        </w:rPr>
      </w:pPr>
      <w:bookmarkStart w:id="722" w:name="_Toc97918928"/>
      <w:bookmarkStart w:id="723" w:name="_Toc103680714"/>
      <w:r w:rsidRPr="00252D7B">
        <w:rPr>
          <w:rFonts w:asciiTheme="minorHAnsi" w:hAnsiTheme="minorHAnsi" w:cstheme="minorHAnsi"/>
          <w:sz w:val="20"/>
          <w:szCs w:val="20"/>
        </w:rPr>
        <w:t xml:space="preserve">Tabela </w:t>
      </w:r>
      <w:r w:rsidRPr="005059B1">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Tabela \* ARABIC </w:instrText>
      </w:r>
      <w:r w:rsidRPr="005059B1">
        <w:rPr>
          <w:rFonts w:asciiTheme="minorHAnsi" w:hAnsiTheme="minorHAnsi" w:cstheme="minorHAnsi"/>
          <w:sz w:val="20"/>
          <w:szCs w:val="20"/>
        </w:rPr>
        <w:fldChar w:fldCharType="separate"/>
      </w:r>
      <w:r w:rsidR="00C12888">
        <w:rPr>
          <w:rFonts w:asciiTheme="minorHAnsi" w:hAnsiTheme="minorHAnsi" w:cstheme="minorHAnsi"/>
          <w:noProof/>
          <w:sz w:val="20"/>
          <w:szCs w:val="20"/>
        </w:rPr>
        <w:t>52</w:t>
      </w:r>
      <w:r w:rsidRPr="005059B1">
        <w:rPr>
          <w:rFonts w:asciiTheme="minorHAnsi" w:hAnsiTheme="minorHAnsi" w:cstheme="minorHAnsi"/>
          <w:sz w:val="20"/>
          <w:szCs w:val="20"/>
        </w:rPr>
        <w:fldChar w:fldCharType="end"/>
      </w:r>
      <w:r w:rsidRPr="00252D7B">
        <w:rPr>
          <w:rFonts w:asciiTheme="minorHAnsi" w:hAnsiTheme="minorHAnsi" w:cstheme="minorHAnsi"/>
          <w:sz w:val="20"/>
          <w:szCs w:val="20"/>
        </w:rPr>
        <w:t xml:space="preserve"> – Despesas gerais e administrativas</w:t>
      </w:r>
      <w:bookmarkEnd w:id="722"/>
      <w:bookmarkEnd w:id="723"/>
    </w:p>
    <w:tbl>
      <w:tblPr>
        <w:tblW w:w="5000" w:type="pct"/>
        <w:tblCellMar>
          <w:left w:w="70" w:type="dxa"/>
          <w:right w:w="70" w:type="dxa"/>
        </w:tblCellMar>
        <w:tblLook w:val="04A0" w:firstRow="1" w:lastRow="0" w:firstColumn="1" w:lastColumn="0" w:noHBand="0" w:noVBand="1"/>
      </w:tblPr>
      <w:tblGrid>
        <w:gridCol w:w="5162"/>
        <w:gridCol w:w="748"/>
        <w:gridCol w:w="1918"/>
        <w:gridCol w:w="1918"/>
      </w:tblGrid>
      <w:tr w:rsidR="0013173C" w:rsidRPr="00252D7B" w14:paraId="1AC7D3E4" w14:textId="77777777" w:rsidTr="00F6584E">
        <w:trPr>
          <w:trHeight w:hRule="exact" w:val="227"/>
        </w:trPr>
        <w:tc>
          <w:tcPr>
            <w:tcW w:w="3032" w:type="pct"/>
            <w:gridSpan w:val="2"/>
            <w:tcBorders>
              <w:top w:val="single" w:sz="8" w:space="0" w:color="auto"/>
              <w:left w:val="nil"/>
              <w:bottom w:val="single" w:sz="8" w:space="0" w:color="auto"/>
              <w:right w:val="nil"/>
            </w:tcBorders>
            <w:shd w:val="clear" w:color="auto" w:fill="auto"/>
            <w:noWrap/>
            <w:vAlign w:val="center"/>
            <w:hideMark/>
          </w:tcPr>
          <w:p w14:paraId="088B4CA4" w14:textId="77777777" w:rsidR="0013173C" w:rsidRPr="00252D7B" w:rsidRDefault="0013173C" w:rsidP="00F6584E">
            <w:pPr>
              <w:spacing w:after="120"/>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DESPESAS GERAIS E ADMINISTRATIVAS</w:t>
            </w:r>
          </w:p>
        </w:tc>
        <w:tc>
          <w:tcPr>
            <w:tcW w:w="984" w:type="pct"/>
            <w:tcBorders>
              <w:top w:val="single" w:sz="8" w:space="0" w:color="auto"/>
              <w:left w:val="nil"/>
              <w:bottom w:val="single" w:sz="8" w:space="0" w:color="auto"/>
              <w:right w:val="nil"/>
            </w:tcBorders>
            <w:shd w:val="clear" w:color="auto" w:fill="auto"/>
            <w:vAlign w:val="center"/>
            <w:hideMark/>
          </w:tcPr>
          <w:p w14:paraId="6307ED51"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31/12/2021</w:t>
            </w:r>
          </w:p>
        </w:tc>
        <w:tc>
          <w:tcPr>
            <w:tcW w:w="984" w:type="pct"/>
            <w:tcBorders>
              <w:top w:val="single" w:sz="8" w:space="0" w:color="auto"/>
              <w:left w:val="nil"/>
              <w:bottom w:val="single" w:sz="8" w:space="0" w:color="auto"/>
              <w:right w:val="nil"/>
            </w:tcBorders>
            <w:shd w:val="clear" w:color="auto" w:fill="auto"/>
            <w:vAlign w:val="center"/>
            <w:hideMark/>
          </w:tcPr>
          <w:p w14:paraId="4228300A"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31/12/2020</w:t>
            </w:r>
          </w:p>
        </w:tc>
      </w:tr>
      <w:tr w:rsidR="0013173C" w:rsidRPr="00252D7B" w14:paraId="3C7469D9" w14:textId="77777777" w:rsidTr="00F6584E">
        <w:trPr>
          <w:trHeight w:hRule="exact" w:val="227"/>
        </w:trPr>
        <w:tc>
          <w:tcPr>
            <w:tcW w:w="3032" w:type="pct"/>
            <w:gridSpan w:val="2"/>
            <w:tcBorders>
              <w:top w:val="nil"/>
              <w:left w:val="nil"/>
              <w:bottom w:val="nil"/>
              <w:right w:val="nil"/>
            </w:tcBorders>
            <w:shd w:val="clear" w:color="auto" w:fill="auto"/>
            <w:noWrap/>
            <w:vAlign w:val="center"/>
            <w:hideMark/>
          </w:tcPr>
          <w:p w14:paraId="7F1886A6"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Sentenças e Depósitos judiciais</w:t>
            </w:r>
          </w:p>
        </w:tc>
        <w:tc>
          <w:tcPr>
            <w:tcW w:w="984" w:type="pct"/>
            <w:tcBorders>
              <w:top w:val="nil"/>
              <w:left w:val="nil"/>
              <w:bottom w:val="nil"/>
              <w:right w:val="nil"/>
            </w:tcBorders>
            <w:shd w:val="clear" w:color="auto" w:fill="auto"/>
            <w:vAlign w:val="center"/>
            <w:hideMark/>
          </w:tcPr>
          <w:p w14:paraId="6AF290AD"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(6.040.118)</w:t>
            </w:r>
          </w:p>
        </w:tc>
        <w:tc>
          <w:tcPr>
            <w:tcW w:w="984" w:type="pct"/>
            <w:tcBorders>
              <w:top w:val="nil"/>
              <w:left w:val="nil"/>
              <w:bottom w:val="nil"/>
              <w:right w:val="nil"/>
            </w:tcBorders>
            <w:shd w:val="clear" w:color="auto" w:fill="auto"/>
            <w:vAlign w:val="center"/>
            <w:hideMark/>
          </w:tcPr>
          <w:p w14:paraId="76A53F25"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(3.704.392)</w:t>
            </w:r>
          </w:p>
        </w:tc>
      </w:tr>
      <w:tr w:rsidR="0013173C" w:rsidRPr="00252D7B" w14:paraId="4E1D7F11" w14:textId="77777777" w:rsidTr="00F6584E">
        <w:trPr>
          <w:trHeight w:hRule="exact" w:val="227"/>
        </w:trPr>
        <w:tc>
          <w:tcPr>
            <w:tcW w:w="3032" w:type="pct"/>
            <w:gridSpan w:val="2"/>
            <w:tcBorders>
              <w:top w:val="nil"/>
              <w:left w:val="nil"/>
              <w:bottom w:val="nil"/>
              <w:right w:val="nil"/>
            </w:tcBorders>
            <w:shd w:val="clear" w:color="auto" w:fill="auto"/>
            <w:noWrap/>
            <w:vAlign w:val="center"/>
            <w:hideMark/>
          </w:tcPr>
          <w:p w14:paraId="590D89F7"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Material de Expediente e Combustíveis</w:t>
            </w:r>
          </w:p>
        </w:tc>
        <w:tc>
          <w:tcPr>
            <w:tcW w:w="984" w:type="pct"/>
            <w:tcBorders>
              <w:top w:val="nil"/>
              <w:left w:val="nil"/>
              <w:bottom w:val="nil"/>
              <w:right w:val="nil"/>
            </w:tcBorders>
            <w:shd w:val="clear" w:color="auto" w:fill="auto"/>
            <w:noWrap/>
            <w:vAlign w:val="center"/>
            <w:hideMark/>
          </w:tcPr>
          <w:p w14:paraId="7772A44A"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(262.521)</w:t>
            </w:r>
          </w:p>
        </w:tc>
        <w:tc>
          <w:tcPr>
            <w:tcW w:w="984" w:type="pct"/>
            <w:tcBorders>
              <w:top w:val="nil"/>
              <w:left w:val="nil"/>
              <w:bottom w:val="nil"/>
              <w:right w:val="nil"/>
            </w:tcBorders>
            <w:shd w:val="clear" w:color="auto" w:fill="auto"/>
            <w:vAlign w:val="center"/>
            <w:hideMark/>
          </w:tcPr>
          <w:p w14:paraId="0415A9BE"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(245.871)</w:t>
            </w:r>
          </w:p>
        </w:tc>
      </w:tr>
      <w:tr w:rsidR="0013173C" w:rsidRPr="00252D7B" w14:paraId="5D73A36C" w14:textId="77777777" w:rsidTr="00F6584E">
        <w:trPr>
          <w:trHeight w:hRule="exact" w:val="227"/>
        </w:trPr>
        <w:tc>
          <w:tcPr>
            <w:tcW w:w="3032" w:type="pct"/>
            <w:gridSpan w:val="2"/>
            <w:tcBorders>
              <w:top w:val="nil"/>
              <w:left w:val="nil"/>
              <w:bottom w:val="nil"/>
              <w:right w:val="nil"/>
            </w:tcBorders>
            <w:shd w:val="clear" w:color="auto" w:fill="auto"/>
            <w:noWrap/>
            <w:vAlign w:val="center"/>
            <w:hideMark/>
          </w:tcPr>
          <w:p w14:paraId="5CA08CFC"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Assessoria, Consultoria, Locação de mão-de-obra, limpeza e vigilância</w:t>
            </w:r>
          </w:p>
        </w:tc>
        <w:tc>
          <w:tcPr>
            <w:tcW w:w="984" w:type="pct"/>
            <w:tcBorders>
              <w:top w:val="nil"/>
              <w:left w:val="nil"/>
              <w:bottom w:val="nil"/>
              <w:right w:val="nil"/>
            </w:tcBorders>
            <w:shd w:val="clear" w:color="auto" w:fill="auto"/>
            <w:noWrap/>
            <w:vAlign w:val="center"/>
            <w:hideMark/>
          </w:tcPr>
          <w:p w14:paraId="164D8946"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(19.262.296)</w:t>
            </w:r>
          </w:p>
        </w:tc>
        <w:tc>
          <w:tcPr>
            <w:tcW w:w="984" w:type="pct"/>
            <w:tcBorders>
              <w:top w:val="nil"/>
              <w:left w:val="nil"/>
              <w:bottom w:val="nil"/>
              <w:right w:val="nil"/>
            </w:tcBorders>
            <w:shd w:val="clear" w:color="auto" w:fill="auto"/>
            <w:vAlign w:val="center"/>
            <w:hideMark/>
          </w:tcPr>
          <w:p w14:paraId="37980138"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(15.516.229)</w:t>
            </w:r>
          </w:p>
        </w:tc>
      </w:tr>
      <w:tr w:rsidR="0013173C" w:rsidRPr="00252D7B" w14:paraId="4C3BE33A" w14:textId="77777777" w:rsidTr="00F6584E">
        <w:trPr>
          <w:trHeight w:hRule="exact" w:val="227"/>
        </w:trPr>
        <w:tc>
          <w:tcPr>
            <w:tcW w:w="3032" w:type="pct"/>
            <w:gridSpan w:val="2"/>
            <w:tcBorders>
              <w:top w:val="nil"/>
              <w:left w:val="nil"/>
              <w:bottom w:val="nil"/>
              <w:right w:val="nil"/>
            </w:tcBorders>
            <w:shd w:val="clear" w:color="auto" w:fill="auto"/>
            <w:noWrap/>
            <w:vAlign w:val="center"/>
            <w:hideMark/>
          </w:tcPr>
          <w:p w14:paraId="38515D85"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Locação de Imóveis e Equipamentos</w:t>
            </w:r>
          </w:p>
        </w:tc>
        <w:tc>
          <w:tcPr>
            <w:tcW w:w="984" w:type="pct"/>
            <w:tcBorders>
              <w:top w:val="nil"/>
              <w:left w:val="nil"/>
              <w:bottom w:val="nil"/>
              <w:right w:val="nil"/>
            </w:tcBorders>
            <w:shd w:val="clear" w:color="auto" w:fill="auto"/>
            <w:noWrap/>
            <w:vAlign w:val="center"/>
            <w:hideMark/>
          </w:tcPr>
          <w:p w14:paraId="247D97C0"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(292.779)</w:t>
            </w:r>
          </w:p>
        </w:tc>
        <w:tc>
          <w:tcPr>
            <w:tcW w:w="984" w:type="pct"/>
            <w:tcBorders>
              <w:top w:val="nil"/>
              <w:left w:val="nil"/>
              <w:bottom w:val="nil"/>
              <w:right w:val="nil"/>
            </w:tcBorders>
            <w:shd w:val="clear" w:color="auto" w:fill="auto"/>
            <w:vAlign w:val="center"/>
            <w:hideMark/>
          </w:tcPr>
          <w:p w14:paraId="013371D4"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(790.843)</w:t>
            </w:r>
          </w:p>
          <w:p w14:paraId="2DA273A9" w14:textId="77777777" w:rsidR="0013173C" w:rsidRPr="00252D7B" w:rsidRDefault="0013173C" w:rsidP="00F6584E">
            <w:pPr>
              <w:spacing w:after="120"/>
              <w:jc w:val="center"/>
              <w:rPr>
                <w:rFonts w:asciiTheme="minorHAnsi" w:hAnsiTheme="minorHAnsi" w:cstheme="minorHAnsi"/>
                <w:color w:val="000000"/>
                <w:sz w:val="20"/>
                <w:szCs w:val="20"/>
              </w:rPr>
            </w:pPr>
            <w:r w:rsidRPr="00252D7B">
              <w:rPr>
                <w:rFonts w:asciiTheme="minorHAnsi" w:hAnsiTheme="minorHAnsi" w:cstheme="minorHAnsi"/>
                <w:color w:val="000000"/>
                <w:sz w:val="20"/>
                <w:szCs w:val="20"/>
              </w:rPr>
              <w:t>)</w:t>
            </w:r>
          </w:p>
        </w:tc>
      </w:tr>
      <w:tr w:rsidR="0013173C" w:rsidRPr="00252D7B" w14:paraId="52D12AFD" w14:textId="77777777" w:rsidTr="00F6584E">
        <w:trPr>
          <w:trHeight w:hRule="exact" w:val="227"/>
        </w:trPr>
        <w:tc>
          <w:tcPr>
            <w:tcW w:w="3032" w:type="pct"/>
            <w:gridSpan w:val="2"/>
            <w:tcBorders>
              <w:top w:val="nil"/>
              <w:left w:val="nil"/>
              <w:bottom w:val="nil"/>
              <w:right w:val="nil"/>
            </w:tcBorders>
            <w:shd w:val="clear" w:color="auto" w:fill="auto"/>
            <w:noWrap/>
            <w:vAlign w:val="center"/>
            <w:hideMark/>
          </w:tcPr>
          <w:p w14:paraId="3088FC54"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Energia, Água e Telecomunicações</w:t>
            </w:r>
          </w:p>
        </w:tc>
        <w:tc>
          <w:tcPr>
            <w:tcW w:w="984" w:type="pct"/>
            <w:tcBorders>
              <w:top w:val="nil"/>
              <w:left w:val="nil"/>
              <w:bottom w:val="nil"/>
              <w:right w:val="nil"/>
            </w:tcBorders>
            <w:shd w:val="clear" w:color="auto" w:fill="auto"/>
            <w:noWrap/>
            <w:vAlign w:val="center"/>
            <w:hideMark/>
          </w:tcPr>
          <w:p w14:paraId="1244F2FE"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(259.622)</w:t>
            </w:r>
          </w:p>
        </w:tc>
        <w:tc>
          <w:tcPr>
            <w:tcW w:w="984" w:type="pct"/>
            <w:tcBorders>
              <w:top w:val="nil"/>
              <w:left w:val="nil"/>
              <w:bottom w:val="nil"/>
              <w:right w:val="nil"/>
            </w:tcBorders>
            <w:shd w:val="clear" w:color="auto" w:fill="auto"/>
            <w:vAlign w:val="center"/>
            <w:hideMark/>
          </w:tcPr>
          <w:p w14:paraId="7A2AB0E5"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(173.245)</w:t>
            </w:r>
          </w:p>
        </w:tc>
      </w:tr>
      <w:tr w:rsidR="0013173C" w:rsidRPr="00252D7B" w14:paraId="07BEC9D4" w14:textId="77777777" w:rsidTr="00F6584E">
        <w:trPr>
          <w:trHeight w:hRule="exact" w:val="227"/>
        </w:trPr>
        <w:tc>
          <w:tcPr>
            <w:tcW w:w="3032" w:type="pct"/>
            <w:gridSpan w:val="2"/>
            <w:tcBorders>
              <w:top w:val="nil"/>
              <w:left w:val="nil"/>
              <w:bottom w:val="nil"/>
              <w:right w:val="nil"/>
            </w:tcBorders>
            <w:shd w:val="clear" w:color="auto" w:fill="auto"/>
            <w:noWrap/>
            <w:vAlign w:val="center"/>
            <w:hideMark/>
          </w:tcPr>
          <w:p w14:paraId="3D6B1808"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Impostos e Taxas</w:t>
            </w:r>
          </w:p>
        </w:tc>
        <w:tc>
          <w:tcPr>
            <w:tcW w:w="984" w:type="pct"/>
            <w:tcBorders>
              <w:top w:val="nil"/>
              <w:left w:val="nil"/>
              <w:bottom w:val="nil"/>
              <w:right w:val="nil"/>
            </w:tcBorders>
            <w:shd w:val="clear" w:color="auto" w:fill="auto"/>
            <w:noWrap/>
            <w:vAlign w:val="center"/>
            <w:hideMark/>
          </w:tcPr>
          <w:p w14:paraId="5085C8DE"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(311.961)</w:t>
            </w:r>
          </w:p>
        </w:tc>
        <w:tc>
          <w:tcPr>
            <w:tcW w:w="984" w:type="pct"/>
            <w:tcBorders>
              <w:top w:val="nil"/>
              <w:left w:val="nil"/>
              <w:bottom w:val="nil"/>
              <w:right w:val="nil"/>
            </w:tcBorders>
            <w:shd w:val="clear" w:color="auto" w:fill="auto"/>
            <w:vAlign w:val="center"/>
            <w:hideMark/>
          </w:tcPr>
          <w:p w14:paraId="3777BDF2"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(251.298)</w:t>
            </w:r>
          </w:p>
        </w:tc>
      </w:tr>
      <w:tr w:rsidR="0013173C" w:rsidRPr="00252D7B" w14:paraId="156EB779" w14:textId="77777777" w:rsidTr="00F6584E">
        <w:trPr>
          <w:trHeight w:hRule="exact" w:val="227"/>
        </w:trPr>
        <w:tc>
          <w:tcPr>
            <w:tcW w:w="3032" w:type="pct"/>
            <w:gridSpan w:val="2"/>
            <w:tcBorders>
              <w:top w:val="nil"/>
              <w:left w:val="nil"/>
              <w:bottom w:val="nil"/>
              <w:right w:val="nil"/>
            </w:tcBorders>
            <w:shd w:val="clear" w:color="auto" w:fill="auto"/>
            <w:noWrap/>
            <w:vAlign w:val="center"/>
          </w:tcPr>
          <w:p w14:paraId="3D51867C"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Ajuste para Perdas Estimadas</w:t>
            </w:r>
          </w:p>
        </w:tc>
        <w:tc>
          <w:tcPr>
            <w:tcW w:w="984" w:type="pct"/>
            <w:tcBorders>
              <w:top w:val="nil"/>
              <w:left w:val="nil"/>
              <w:bottom w:val="nil"/>
              <w:right w:val="nil"/>
            </w:tcBorders>
            <w:shd w:val="clear" w:color="auto" w:fill="auto"/>
            <w:noWrap/>
            <w:vAlign w:val="center"/>
          </w:tcPr>
          <w:p w14:paraId="7BA10CEC"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(17.879)</w:t>
            </w:r>
          </w:p>
        </w:tc>
        <w:tc>
          <w:tcPr>
            <w:tcW w:w="984" w:type="pct"/>
            <w:tcBorders>
              <w:top w:val="nil"/>
              <w:left w:val="nil"/>
              <w:bottom w:val="nil"/>
              <w:right w:val="nil"/>
            </w:tcBorders>
            <w:shd w:val="clear" w:color="auto" w:fill="auto"/>
            <w:vAlign w:val="center"/>
          </w:tcPr>
          <w:p w14:paraId="6C79BDAE"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r>
      <w:tr w:rsidR="0013173C" w:rsidRPr="00252D7B" w14:paraId="2D9F9116" w14:textId="77777777" w:rsidTr="00F6584E">
        <w:trPr>
          <w:trHeight w:hRule="exact" w:val="227"/>
        </w:trPr>
        <w:tc>
          <w:tcPr>
            <w:tcW w:w="3032" w:type="pct"/>
            <w:gridSpan w:val="2"/>
            <w:tcBorders>
              <w:top w:val="nil"/>
              <w:left w:val="nil"/>
              <w:bottom w:val="nil"/>
              <w:right w:val="nil"/>
            </w:tcBorders>
            <w:shd w:val="clear" w:color="auto" w:fill="auto"/>
            <w:noWrap/>
            <w:vAlign w:val="center"/>
          </w:tcPr>
          <w:p w14:paraId="538148CA"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Baixa de direitos com créditos previdenciários a compensar*</w:t>
            </w:r>
          </w:p>
        </w:tc>
        <w:tc>
          <w:tcPr>
            <w:tcW w:w="984" w:type="pct"/>
            <w:tcBorders>
              <w:top w:val="nil"/>
              <w:left w:val="nil"/>
              <w:bottom w:val="nil"/>
              <w:right w:val="nil"/>
            </w:tcBorders>
            <w:shd w:val="clear" w:color="auto" w:fill="auto"/>
            <w:noWrap/>
            <w:vAlign w:val="center"/>
          </w:tcPr>
          <w:p w14:paraId="21D25131"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984" w:type="pct"/>
            <w:tcBorders>
              <w:top w:val="nil"/>
              <w:left w:val="nil"/>
              <w:bottom w:val="nil"/>
              <w:right w:val="nil"/>
            </w:tcBorders>
            <w:shd w:val="clear" w:color="auto" w:fill="auto"/>
            <w:vAlign w:val="center"/>
          </w:tcPr>
          <w:p w14:paraId="1C81762E"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(132.240)</w:t>
            </w:r>
          </w:p>
        </w:tc>
      </w:tr>
      <w:tr w:rsidR="0013173C" w:rsidRPr="00252D7B" w14:paraId="40CF72DB" w14:textId="77777777" w:rsidTr="00F6584E">
        <w:trPr>
          <w:trHeight w:hRule="exact" w:val="227"/>
        </w:trPr>
        <w:tc>
          <w:tcPr>
            <w:tcW w:w="2648" w:type="pct"/>
            <w:tcBorders>
              <w:top w:val="single" w:sz="8" w:space="0" w:color="auto"/>
              <w:left w:val="nil"/>
              <w:bottom w:val="single" w:sz="8" w:space="0" w:color="auto"/>
              <w:right w:val="nil"/>
            </w:tcBorders>
            <w:shd w:val="clear" w:color="auto" w:fill="auto"/>
            <w:noWrap/>
            <w:vAlign w:val="center"/>
            <w:hideMark/>
          </w:tcPr>
          <w:p w14:paraId="5D8DD2AE" w14:textId="77777777" w:rsidR="0013173C" w:rsidRPr="00252D7B" w:rsidRDefault="0013173C" w:rsidP="00F6584E">
            <w:pPr>
              <w:spacing w:after="120"/>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xml:space="preserve">TOTAL </w:t>
            </w:r>
          </w:p>
        </w:tc>
        <w:tc>
          <w:tcPr>
            <w:tcW w:w="384" w:type="pct"/>
            <w:tcBorders>
              <w:top w:val="single" w:sz="8" w:space="0" w:color="auto"/>
              <w:left w:val="nil"/>
              <w:bottom w:val="single" w:sz="8" w:space="0" w:color="auto"/>
              <w:right w:val="nil"/>
            </w:tcBorders>
            <w:shd w:val="clear" w:color="auto" w:fill="auto"/>
            <w:noWrap/>
            <w:vAlign w:val="center"/>
            <w:hideMark/>
          </w:tcPr>
          <w:p w14:paraId="24D84750"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w:t>
            </w:r>
          </w:p>
        </w:tc>
        <w:tc>
          <w:tcPr>
            <w:tcW w:w="984" w:type="pct"/>
            <w:tcBorders>
              <w:top w:val="single" w:sz="8" w:space="0" w:color="auto"/>
              <w:left w:val="nil"/>
              <w:bottom w:val="single" w:sz="8" w:space="0" w:color="auto"/>
              <w:right w:val="nil"/>
            </w:tcBorders>
            <w:shd w:val="clear" w:color="auto" w:fill="auto"/>
            <w:noWrap/>
            <w:vAlign w:val="center"/>
            <w:hideMark/>
          </w:tcPr>
          <w:p w14:paraId="18348355"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(26.447.176)</w:t>
            </w:r>
          </w:p>
        </w:tc>
        <w:tc>
          <w:tcPr>
            <w:tcW w:w="984" w:type="pct"/>
            <w:tcBorders>
              <w:top w:val="single" w:sz="8" w:space="0" w:color="auto"/>
              <w:left w:val="nil"/>
              <w:bottom w:val="single" w:sz="8" w:space="0" w:color="auto"/>
              <w:right w:val="nil"/>
            </w:tcBorders>
            <w:shd w:val="clear" w:color="auto" w:fill="auto"/>
            <w:vAlign w:val="center"/>
            <w:hideMark/>
          </w:tcPr>
          <w:p w14:paraId="319F215B"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(20.814.118)</w:t>
            </w:r>
          </w:p>
        </w:tc>
      </w:tr>
    </w:tbl>
    <w:p w14:paraId="71760A61" w14:textId="77777777" w:rsidR="0013173C" w:rsidRPr="00252D7B" w:rsidRDefault="0013173C" w:rsidP="0013173C">
      <w:pPr>
        <w:spacing w:after="120"/>
        <w:ind w:right="57"/>
        <w:jc w:val="both"/>
        <w:rPr>
          <w:rFonts w:asciiTheme="minorHAnsi" w:hAnsiTheme="minorHAnsi" w:cstheme="minorHAnsi"/>
          <w:sz w:val="16"/>
          <w:szCs w:val="16"/>
        </w:rPr>
      </w:pPr>
      <w:r w:rsidRPr="00252D7B">
        <w:rPr>
          <w:rFonts w:asciiTheme="minorHAnsi" w:hAnsiTheme="minorHAnsi" w:cstheme="minorHAnsi"/>
          <w:sz w:val="16"/>
          <w:szCs w:val="16"/>
        </w:rPr>
        <w:t>*No exercício de 2021 foram classificados em Outras Despesas Operacionais.</w:t>
      </w:r>
    </w:p>
    <w:p w14:paraId="58792EBC" w14:textId="77777777" w:rsidR="0013173C" w:rsidRPr="00252D7B" w:rsidRDefault="0013173C" w:rsidP="0013173C">
      <w:pPr>
        <w:spacing w:before="120" w:after="120"/>
        <w:ind w:right="57"/>
        <w:jc w:val="both"/>
        <w:rPr>
          <w:rFonts w:asciiTheme="minorHAnsi" w:hAnsiTheme="minorHAnsi" w:cstheme="minorHAnsi"/>
        </w:rPr>
      </w:pPr>
      <w:r w:rsidRPr="00252D7B">
        <w:rPr>
          <w:rFonts w:asciiTheme="minorHAnsi" w:hAnsiTheme="minorHAnsi" w:cstheme="minorHAnsi"/>
        </w:rPr>
        <w:t>As despesas de locação foram sensibilizadas pela adoção do CPC – 06 (R2).</w:t>
      </w:r>
    </w:p>
    <w:p w14:paraId="3C02DA1C" w14:textId="77777777" w:rsidR="0013173C" w:rsidRPr="00252D7B" w:rsidRDefault="0013173C" w:rsidP="0013173C">
      <w:pPr>
        <w:spacing w:before="120" w:after="120"/>
        <w:rPr>
          <w:rFonts w:asciiTheme="minorHAnsi" w:hAnsiTheme="minorHAnsi" w:cstheme="minorHAnsi"/>
        </w:rPr>
      </w:pPr>
    </w:p>
    <w:p w14:paraId="547628A8" w14:textId="77777777" w:rsidR="0013173C" w:rsidRPr="00252D7B" w:rsidRDefault="0013173C" w:rsidP="008D0C4F">
      <w:pPr>
        <w:pStyle w:val="Ttulo3"/>
        <w:rPr>
          <w:rFonts w:asciiTheme="minorHAnsi" w:hAnsiTheme="minorHAnsi" w:cstheme="minorHAnsi"/>
        </w:rPr>
      </w:pPr>
      <w:bookmarkStart w:id="724" w:name="_Toc97918855"/>
      <w:bookmarkStart w:id="725" w:name="_Toc103680657"/>
      <w:r w:rsidRPr="00252D7B">
        <w:rPr>
          <w:rFonts w:asciiTheme="minorHAnsi" w:hAnsiTheme="minorHAnsi" w:cstheme="minorHAnsi"/>
        </w:rPr>
        <w:t>Outras receitas/ despesas operacionais 2021</w:t>
      </w:r>
      <w:bookmarkEnd w:id="724"/>
      <w:bookmarkEnd w:id="725"/>
    </w:p>
    <w:p w14:paraId="54028F9E" w14:textId="77777777" w:rsidR="0013173C" w:rsidRPr="00252D7B" w:rsidRDefault="0013173C" w:rsidP="0013173C">
      <w:pPr>
        <w:spacing w:before="120" w:after="120"/>
        <w:ind w:right="57"/>
        <w:jc w:val="both"/>
        <w:rPr>
          <w:rFonts w:asciiTheme="minorHAnsi" w:hAnsiTheme="minorHAnsi" w:cstheme="minorHAnsi"/>
          <w:sz w:val="24"/>
          <w:szCs w:val="24"/>
        </w:rPr>
      </w:pPr>
      <w:r w:rsidRPr="00252D7B">
        <w:rPr>
          <w:rFonts w:asciiTheme="minorHAnsi" w:hAnsiTheme="minorHAnsi" w:cstheme="minorHAnsi"/>
          <w:sz w:val="24"/>
          <w:szCs w:val="24"/>
        </w:rPr>
        <w:t xml:space="preserve">A rubrica “Outras Receitas/Despesas Operacionais” apresentou o valor negativo de R$ </w:t>
      </w:r>
      <w:r>
        <w:rPr>
          <w:rFonts w:asciiTheme="minorHAnsi" w:hAnsiTheme="minorHAnsi" w:cstheme="minorHAnsi"/>
          <w:sz w:val="24"/>
          <w:szCs w:val="24"/>
        </w:rPr>
        <w:t>1,2 bilhoes</w:t>
      </w:r>
      <w:r w:rsidRPr="00252D7B">
        <w:rPr>
          <w:rFonts w:asciiTheme="minorHAnsi" w:hAnsiTheme="minorHAnsi" w:cstheme="minorHAnsi"/>
          <w:sz w:val="24"/>
          <w:szCs w:val="24"/>
        </w:rPr>
        <w:t xml:space="preserve"> e compreende as provisões para contingências e suas reversões, Termo de Execução Descentralizada (TED), baixa de depósitos retidos de fornecedores, doações/transferências recebidas, multas administrativas, baixa de ativos imobilizados e intangíveis e resultado da equivalência patrimonial sobre o investimento da Valec em outra companhia.</w:t>
      </w:r>
    </w:p>
    <w:p w14:paraId="014C9165" w14:textId="77777777" w:rsidR="0013173C" w:rsidRPr="00252D7B" w:rsidRDefault="0013173C" w:rsidP="0013173C">
      <w:pPr>
        <w:widowControl/>
        <w:autoSpaceDE/>
        <w:autoSpaceDN/>
        <w:spacing w:after="160" w:line="259" w:lineRule="auto"/>
        <w:rPr>
          <w:rFonts w:asciiTheme="minorHAnsi" w:hAnsiTheme="minorHAnsi" w:cstheme="minorHAnsi"/>
          <w:sz w:val="24"/>
          <w:szCs w:val="24"/>
        </w:rPr>
      </w:pPr>
      <w:r w:rsidRPr="00252D7B">
        <w:rPr>
          <w:rFonts w:asciiTheme="minorHAnsi" w:hAnsiTheme="minorHAnsi" w:cstheme="minorHAnsi"/>
          <w:sz w:val="24"/>
          <w:szCs w:val="24"/>
        </w:rPr>
        <w:br w:type="page"/>
      </w:r>
    </w:p>
    <w:p w14:paraId="71727FDE" w14:textId="74BB8F83" w:rsidR="0013173C" w:rsidRPr="005059B1" w:rsidRDefault="0013173C" w:rsidP="005059B1">
      <w:pPr>
        <w:pStyle w:val="Legenda"/>
        <w:jc w:val="center"/>
        <w:rPr>
          <w:rFonts w:asciiTheme="minorHAnsi" w:hAnsiTheme="minorHAnsi" w:cstheme="minorHAnsi"/>
          <w:sz w:val="20"/>
          <w:szCs w:val="20"/>
        </w:rPr>
      </w:pPr>
      <w:bookmarkStart w:id="726" w:name="_Toc97918929"/>
      <w:bookmarkStart w:id="727" w:name="_Toc103680715"/>
      <w:r w:rsidRPr="00252D7B">
        <w:rPr>
          <w:rFonts w:asciiTheme="minorHAnsi" w:hAnsiTheme="minorHAnsi" w:cstheme="minorHAnsi"/>
          <w:sz w:val="20"/>
          <w:szCs w:val="20"/>
        </w:rPr>
        <w:lastRenderedPageBreak/>
        <w:t xml:space="preserve">Tabela </w:t>
      </w:r>
      <w:r w:rsidRPr="005059B1">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Tabela \* ARABIC </w:instrText>
      </w:r>
      <w:r w:rsidRPr="005059B1">
        <w:rPr>
          <w:rFonts w:asciiTheme="minorHAnsi" w:hAnsiTheme="minorHAnsi" w:cstheme="minorHAnsi"/>
          <w:sz w:val="20"/>
          <w:szCs w:val="20"/>
        </w:rPr>
        <w:fldChar w:fldCharType="separate"/>
      </w:r>
      <w:r w:rsidR="00C12888">
        <w:rPr>
          <w:rFonts w:asciiTheme="minorHAnsi" w:hAnsiTheme="minorHAnsi" w:cstheme="minorHAnsi"/>
          <w:noProof/>
          <w:sz w:val="20"/>
          <w:szCs w:val="20"/>
        </w:rPr>
        <w:t>53</w:t>
      </w:r>
      <w:r w:rsidRPr="005059B1">
        <w:rPr>
          <w:rFonts w:asciiTheme="minorHAnsi" w:hAnsiTheme="minorHAnsi" w:cstheme="minorHAnsi"/>
          <w:sz w:val="20"/>
          <w:szCs w:val="20"/>
        </w:rPr>
        <w:fldChar w:fldCharType="end"/>
      </w:r>
      <w:r w:rsidRPr="00252D7B">
        <w:rPr>
          <w:rFonts w:asciiTheme="minorHAnsi" w:hAnsiTheme="minorHAnsi" w:cstheme="minorHAnsi"/>
          <w:sz w:val="20"/>
          <w:szCs w:val="20"/>
        </w:rPr>
        <w:t xml:space="preserve"> –</w:t>
      </w:r>
      <w:r w:rsidR="005059B1">
        <w:rPr>
          <w:rFonts w:asciiTheme="minorHAnsi" w:hAnsiTheme="minorHAnsi" w:cstheme="minorHAnsi"/>
          <w:sz w:val="20"/>
          <w:szCs w:val="20"/>
        </w:rPr>
        <w:t xml:space="preserve"> </w:t>
      </w:r>
      <w:r w:rsidRPr="00252D7B">
        <w:rPr>
          <w:rFonts w:asciiTheme="minorHAnsi" w:hAnsiTheme="minorHAnsi" w:cstheme="minorHAnsi"/>
          <w:sz w:val="20"/>
          <w:szCs w:val="20"/>
        </w:rPr>
        <w:t>Outras receitas / despesas operacionais</w:t>
      </w:r>
      <w:bookmarkEnd w:id="726"/>
      <w:bookmarkEnd w:id="727"/>
    </w:p>
    <w:tbl>
      <w:tblPr>
        <w:tblW w:w="5000" w:type="pct"/>
        <w:tblCellMar>
          <w:left w:w="70" w:type="dxa"/>
          <w:right w:w="70" w:type="dxa"/>
        </w:tblCellMar>
        <w:tblLook w:val="04A0" w:firstRow="1" w:lastRow="0" w:firstColumn="1" w:lastColumn="0" w:noHBand="0" w:noVBand="1"/>
      </w:tblPr>
      <w:tblGrid>
        <w:gridCol w:w="6702"/>
        <w:gridCol w:w="211"/>
        <w:gridCol w:w="1446"/>
        <w:gridCol w:w="1387"/>
      </w:tblGrid>
      <w:tr w:rsidR="0013173C" w:rsidRPr="00252D7B" w14:paraId="072E60BC" w14:textId="77777777" w:rsidTr="00F6584E">
        <w:trPr>
          <w:trHeight w:hRule="exact" w:val="227"/>
        </w:trPr>
        <w:tc>
          <w:tcPr>
            <w:tcW w:w="3564" w:type="pct"/>
            <w:gridSpan w:val="2"/>
            <w:tcBorders>
              <w:top w:val="nil"/>
              <w:left w:val="nil"/>
              <w:bottom w:val="single" w:sz="8" w:space="0" w:color="auto"/>
              <w:right w:val="nil"/>
            </w:tcBorders>
            <w:shd w:val="clear" w:color="auto" w:fill="auto"/>
            <w:noWrap/>
            <w:vAlign w:val="center"/>
            <w:hideMark/>
          </w:tcPr>
          <w:p w14:paraId="50A05FFC" w14:textId="77777777" w:rsidR="0013173C" w:rsidRPr="00252D7B" w:rsidRDefault="0013173C" w:rsidP="00F6584E">
            <w:pPr>
              <w:spacing w:after="120"/>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OUTRAS RECEITAS/ DESPESAS OPERACIONAIS</w:t>
            </w:r>
          </w:p>
        </w:tc>
        <w:tc>
          <w:tcPr>
            <w:tcW w:w="721" w:type="pct"/>
            <w:tcBorders>
              <w:top w:val="nil"/>
              <w:left w:val="nil"/>
              <w:bottom w:val="single" w:sz="8" w:space="0" w:color="auto"/>
              <w:right w:val="nil"/>
            </w:tcBorders>
            <w:shd w:val="clear" w:color="auto" w:fill="auto"/>
            <w:noWrap/>
            <w:vAlign w:val="center"/>
            <w:hideMark/>
          </w:tcPr>
          <w:p w14:paraId="338F20FD"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31/12/2021</w:t>
            </w:r>
          </w:p>
        </w:tc>
        <w:tc>
          <w:tcPr>
            <w:tcW w:w="715" w:type="pct"/>
            <w:tcBorders>
              <w:top w:val="nil"/>
              <w:left w:val="nil"/>
              <w:bottom w:val="single" w:sz="8" w:space="0" w:color="auto"/>
              <w:right w:val="nil"/>
            </w:tcBorders>
            <w:shd w:val="clear" w:color="auto" w:fill="auto"/>
            <w:vAlign w:val="center"/>
            <w:hideMark/>
          </w:tcPr>
          <w:p w14:paraId="14F1469B"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31/12/2020</w:t>
            </w:r>
          </w:p>
        </w:tc>
      </w:tr>
      <w:tr w:rsidR="0013173C" w:rsidRPr="00252D7B" w14:paraId="0F32A327" w14:textId="77777777" w:rsidTr="00F6584E">
        <w:trPr>
          <w:trHeight w:hRule="exact" w:val="227"/>
        </w:trPr>
        <w:tc>
          <w:tcPr>
            <w:tcW w:w="3564" w:type="pct"/>
            <w:gridSpan w:val="2"/>
            <w:tcBorders>
              <w:top w:val="nil"/>
              <w:left w:val="nil"/>
              <w:bottom w:val="nil"/>
              <w:right w:val="nil"/>
            </w:tcBorders>
            <w:shd w:val="clear" w:color="auto" w:fill="auto"/>
            <w:noWrap/>
            <w:vAlign w:val="center"/>
            <w:hideMark/>
          </w:tcPr>
          <w:p w14:paraId="1941B729"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 xml:space="preserve">Provisão para Contingências </w:t>
            </w:r>
          </w:p>
        </w:tc>
        <w:tc>
          <w:tcPr>
            <w:tcW w:w="721" w:type="pct"/>
            <w:tcBorders>
              <w:top w:val="nil"/>
              <w:left w:val="nil"/>
              <w:bottom w:val="nil"/>
              <w:right w:val="nil"/>
            </w:tcBorders>
            <w:shd w:val="clear" w:color="auto" w:fill="auto"/>
            <w:noWrap/>
            <w:vAlign w:val="center"/>
            <w:hideMark/>
          </w:tcPr>
          <w:p w14:paraId="091C4F7A"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(1.258.801.719</w:t>
            </w:r>
            <w:r>
              <w:rPr>
                <w:rFonts w:asciiTheme="minorHAnsi" w:hAnsiTheme="minorHAnsi" w:cstheme="minorHAnsi"/>
                <w:color w:val="000000"/>
                <w:sz w:val="20"/>
                <w:szCs w:val="20"/>
              </w:rPr>
              <w:t>)</w:t>
            </w:r>
            <w:r w:rsidRPr="00252D7B">
              <w:rPr>
                <w:rFonts w:asciiTheme="minorHAnsi" w:hAnsiTheme="minorHAnsi" w:cstheme="minorHAnsi"/>
                <w:color w:val="000000"/>
                <w:sz w:val="20"/>
                <w:szCs w:val="20"/>
              </w:rPr>
              <w:t>)</w:t>
            </w:r>
          </w:p>
        </w:tc>
        <w:tc>
          <w:tcPr>
            <w:tcW w:w="715" w:type="pct"/>
            <w:tcBorders>
              <w:top w:val="nil"/>
              <w:left w:val="nil"/>
              <w:bottom w:val="nil"/>
              <w:right w:val="nil"/>
            </w:tcBorders>
            <w:shd w:val="clear" w:color="auto" w:fill="auto"/>
            <w:vAlign w:val="center"/>
            <w:hideMark/>
          </w:tcPr>
          <w:p w14:paraId="1E21BBE9"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(2.112.593.697)</w:t>
            </w:r>
          </w:p>
        </w:tc>
      </w:tr>
      <w:tr w:rsidR="0013173C" w:rsidRPr="00252D7B" w14:paraId="1778547E" w14:textId="77777777" w:rsidTr="00F6584E">
        <w:trPr>
          <w:trHeight w:hRule="exact" w:val="227"/>
        </w:trPr>
        <w:tc>
          <w:tcPr>
            <w:tcW w:w="3564" w:type="pct"/>
            <w:gridSpan w:val="2"/>
            <w:tcBorders>
              <w:top w:val="nil"/>
              <w:left w:val="nil"/>
              <w:bottom w:val="nil"/>
              <w:right w:val="nil"/>
            </w:tcBorders>
            <w:shd w:val="clear" w:color="auto" w:fill="auto"/>
            <w:noWrap/>
            <w:vAlign w:val="center"/>
            <w:hideMark/>
          </w:tcPr>
          <w:p w14:paraId="24A9C9EA"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Reversão de provisões para contingências</w:t>
            </w:r>
          </w:p>
        </w:tc>
        <w:tc>
          <w:tcPr>
            <w:tcW w:w="721" w:type="pct"/>
            <w:tcBorders>
              <w:top w:val="nil"/>
              <w:left w:val="nil"/>
              <w:bottom w:val="nil"/>
              <w:right w:val="nil"/>
            </w:tcBorders>
            <w:shd w:val="clear" w:color="auto" w:fill="auto"/>
            <w:noWrap/>
            <w:vAlign w:val="center"/>
            <w:hideMark/>
          </w:tcPr>
          <w:p w14:paraId="20B3D912"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53.369.519</w:t>
            </w:r>
          </w:p>
        </w:tc>
        <w:tc>
          <w:tcPr>
            <w:tcW w:w="715" w:type="pct"/>
            <w:tcBorders>
              <w:top w:val="nil"/>
              <w:left w:val="nil"/>
              <w:bottom w:val="nil"/>
              <w:right w:val="nil"/>
            </w:tcBorders>
            <w:shd w:val="clear" w:color="auto" w:fill="auto"/>
            <w:vAlign w:val="center"/>
            <w:hideMark/>
          </w:tcPr>
          <w:p w14:paraId="2E9B50D2"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2.357.458.534</w:t>
            </w:r>
          </w:p>
        </w:tc>
      </w:tr>
      <w:tr w:rsidR="0013173C" w:rsidRPr="00252D7B" w14:paraId="6F61755A" w14:textId="77777777" w:rsidTr="00F6584E">
        <w:trPr>
          <w:trHeight w:hRule="exact" w:val="227"/>
        </w:trPr>
        <w:tc>
          <w:tcPr>
            <w:tcW w:w="3564" w:type="pct"/>
            <w:gridSpan w:val="2"/>
            <w:tcBorders>
              <w:top w:val="nil"/>
              <w:left w:val="nil"/>
              <w:bottom w:val="nil"/>
              <w:right w:val="nil"/>
            </w:tcBorders>
            <w:shd w:val="clear" w:color="auto" w:fill="auto"/>
            <w:noWrap/>
            <w:vAlign w:val="center"/>
            <w:hideMark/>
          </w:tcPr>
          <w:p w14:paraId="7E4E3532"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Termo de Execução Descentralizada (TED)</w:t>
            </w:r>
          </w:p>
        </w:tc>
        <w:tc>
          <w:tcPr>
            <w:tcW w:w="721" w:type="pct"/>
            <w:tcBorders>
              <w:top w:val="nil"/>
              <w:left w:val="nil"/>
              <w:bottom w:val="nil"/>
              <w:right w:val="nil"/>
            </w:tcBorders>
            <w:shd w:val="clear" w:color="auto" w:fill="auto"/>
            <w:noWrap/>
            <w:vAlign w:val="center"/>
            <w:hideMark/>
          </w:tcPr>
          <w:p w14:paraId="195BADB0"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9.622.466</w:t>
            </w:r>
          </w:p>
        </w:tc>
        <w:tc>
          <w:tcPr>
            <w:tcW w:w="715" w:type="pct"/>
            <w:tcBorders>
              <w:top w:val="nil"/>
              <w:left w:val="nil"/>
              <w:bottom w:val="nil"/>
              <w:right w:val="nil"/>
            </w:tcBorders>
            <w:shd w:val="clear" w:color="auto" w:fill="auto"/>
            <w:vAlign w:val="center"/>
            <w:hideMark/>
          </w:tcPr>
          <w:p w14:paraId="6D22E96A"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5.731.504</w:t>
            </w:r>
          </w:p>
        </w:tc>
      </w:tr>
      <w:tr w:rsidR="0013173C" w:rsidRPr="00252D7B" w14:paraId="4B3F412D" w14:textId="77777777" w:rsidTr="00F6584E">
        <w:trPr>
          <w:trHeight w:hRule="exact" w:val="227"/>
        </w:trPr>
        <w:tc>
          <w:tcPr>
            <w:tcW w:w="3564" w:type="pct"/>
            <w:gridSpan w:val="2"/>
            <w:tcBorders>
              <w:top w:val="nil"/>
              <w:left w:val="nil"/>
              <w:bottom w:val="nil"/>
              <w:right w:val="nil"/>
            </w:tcBorders>
            <w:shd w:val="clear" w:color="auto" w:fill="auto"/>
            <w:noWrap/>
            <w:vAlign w:val="center"/>
            <w:hideMark/>
          </w:tcPr>
          <w:p w14:paraId="08DFE2A1"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Baixa de passivos (desapropriação, fornecedores e depósitos retidos de fornecedores)</w:t>
            </w:r>
          </w:p>
        </w:tc>
        <w:tc>
          <w:tcPr>
            <w:tcW w:w="721" w:type="pct"/>
            <w:tcBorders>
              <w:top w:val="nil"/>
              <w:left w:val="nil"/>
              <w:bottom w:val="nil"/>
              <w:right w:val="nil"/>
            </w:tcBorders>
            <w:shd w:val="clear" w:color="auto" w:fill="auto"/>
            <w:noWrap/>
            <w:vAlign w:val="center"/>
            <w:hideMark/>
          </w:tcPr>
          <w:p w14:paraId="1005E161"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12.632.818</w:t>
            </w:r>
          </w:p>
        </w:tc>
        <w:tc>
          <w:tcPr>
            <w:tcW w:w="715" w:type="pct"/>
            <w:tcBorders>
              <w:top w:val="nil"/>
              <w:left w:val="nil"/>
              <w:bottom w:val="nil"/>
              <w:right w:val="nil"/>
            </w:tcBorders>
            <w:shd w:val="clear" w:color="auto" w:fill="auto"/>
            <w:vAlign w:val="center"/>
            <w:hideMark/>
          </w:tcPr>
          <w:p w14:paraId="4CA40421"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532.545</w:t>
            </w:r>
          </w:p>
        </w:tc>
      </w:tr>
      <w:tr w:rsidR="0013173C" w:rsidRPr="00252D7B" w14:paraId="3D74DB6B" w14:textId="77777777" w:rsidTr="00F6584E">
        <w:trPr>
          <w:trHeight w:hRule="exact" w:val="227"/>
        </w:trPr>
        <w:tc>
          <w:tcPr>
            <w:tcW w:w="3564" w:type="pct"/>
            <w:gridSpan w:val="2"/>
            <w:tcBorders>
              <w:top w:val="nil"/>
              <w:left w:val="nil"/>
              <w:bottom w:val="nil"/>
              <w:right w:val="nil"/>
            </w:tcBorders>
            <w:shd w:val="clear" w:color="auto" w:fill="auto"/>
            <w:noWrap/>
            <w:vAlign w:val="center"/>
            <w:hideMark/>
          </w:tcPr>
          <w:p w14:paraId="54B4375C"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Doações/Transferências</w:t>
            </w:r>
          </w:p>
        </w:tc>
        <w:tc>
          <w:tcPr>
            <w:tcW w:w="721" w:type="pct"/>
            <w:tcBorders>
              <w:top w:val="nil"/>
              <w:left w:val="nil"/>
              <w:bottom w:val="nil"/>
              <w:right w:val="nil"/>
            </w:tcBorders>
            <w:shd w:val="clear" w:color="auto" w:fill="auto"/>
            <w:noWrap/>
            <w:vAlign w:val="center"/>
            <w:hideMark/>
          </w:tcPr>
          <w:p w14:paraId="20BCA05C"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715" w:type="pct"/>
            <w:tcBorders>
              <w:top w:val="nil"/>
              <w:left w:val="nil"/>
              <w:bottom w:val="nil"/>
              <w:right w:val="nil"/>
            </w:tcBorders>
            <w:shd w:val="clear" w:color="auto" w:fill="auto"/>
            <w:vAlign w:val="center"/>
            <w:hideMark/>
          </w:tcPr>
          <w:p w14:paraId="7F60BE63"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18.551.962</w:t>
            </w:r>
          </w:p>
        </w:tc>
      </w:tr>
      <w:tr w:rsidR="0013173C" w:rsidRPr="00252D7B" w14:paraId="35354151" w14:textId="77777777" w:rsidTr="00F6584E">
        <w:trPr>
          <w:trHeight w:hRule="exact" w:val="227"/>
        </w:trPr>
        <w:tc>
          <w:tcPr>
            <w:tcW w:w="3564" w:type="pct"/>
            <w:gridSpan w:val="2"/>
            <w:tcBorders>
              <w:top w:val="nil"/>
              <w:left w:val="nil"/>
              <w:bottom w:val="nil"/>
              <w:right w:val="nil"/>
            </w:tcBorders>
            <w:shd w:val="clear" w:color="auto" w:fill="auto"/>
            <w:noWrap/>
            <w:vAlign w:val="center"/>
            <w:hideMark/>
          </w:tcPr>
          <w:p w14:paraId="471270A9"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 xml:space="preserve">Multas administrativas </w:t>
            </w:r>
          </w:p>
        </w:tc>
        <w:tc>
          <w:tcPr>
            <w:tcW w:w="721" w:type="pct"/>
            <w:tcBorders>
              <w:top w:val="nil"/>
              <w:left w:val="nil"/>
              <w:bottom w:val="nil"/>
              <w:right w:val="nil"/>
            </w:tcBorders>
            <w:shd w:val="clear" w:color="auto" w:fill="auto"/>
            <w:noWrap/>
            <w:vAlign w:val="center"/>
            <w:hideMark/>
          </w:tcPr>
          <w:p w14:paraId="2978E69A"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c>
          <w:tcPr>
            <w:tcW w:w="715" w:type="pct"/>
            <w:tcBorders>
              <w:top w:val="nil"/>
              <w:left w:val="nil"/>
              <w:bottom w:val="nil"/>
              <w:right w:val="nil"/>
            </w:tcBorders>
            <w:shd w:val="clear" w:color="auto" w:fill="auto"/>
            <w:vAlign w:val="center"/>
            <w:hideMark/>
          </w:tcPr>
          <w:p w14:paraId="1E33684E"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5.900.208</w:t>
            </w:r>
          </w:p>
        </w:tc>
      </w:tr>
      <w:tr w:rsidR="0013173C" w:rsidRPr="00252D7B" w14:paraId="45AF3669" w14:textId="77777777" w:rsidTr="00F6584E">
        <w:trPr>
          <w:trHeight w:hRule="exact" w:val="227"/>
        </w:trPr>
        <w:tc>
          <w:tcPr>
            <w:tcW w:w="3564" w:type="pct"/>
            <w:gridSpan w:val="2"/>
            <w:tcBorders>
              <w:top w:val="nil"/>
              <w:left w:val="nil"/>
              <w:bottom w:val="nil"/>
              <w:right w:val="nil"/>
            </w:tcBorders>
            <w:shd w:val="clear" w:color="auto" w:fill="auto"/>
            <w:noWrap/>
            <w:vAlign w:val="center"/>
            <w:hideMark/>
          </w:tcPr>
          <w:p w14:paraId="5717971E"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Restituições</w:t>
            </w:r>
          </w:p>
        </w:tc>
        <w:tc>
          <w:tcPr>
            <w:tcW w:w="721" w:type="pct"/>
            <w:tcBorders>
              <w:top w:val="nil"/>
              <w:left w:val="nil"/>
              <w:bottom w:val="nil"/>
              <w:right w:val="nil"/>
            </w:tcBorders>
            <w:shd w:val="clear" w:color="auto" w:fill="auto"/>
            <w:noWrap/>
            <w:vAlign w:val="center"/>
            <w:hideMark/>
          </w:tcPr>
          <w:p w14:paraId="3F0D39CF"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1.859.243</w:t>
            </w:r>
          </w:p>
        </w:tc>
        <w:tc>
          <w:tcPr>
            <w:tcW w:w="715" w:type="pct"/>
            <w:tcBorders>
              <w:top w:val="nil"/>
              <w:left w:val="nil"/>
              <w:bottom w:val="nil"/>
              <w:right w:val="nil"/>
            </w:tcBorders>
            <w:shd w:val="clear" w:color="auto" w:fill="auto"/>
            <w:vAlign w:val="center"/>
            <w:hideMark/>
          </w:tcPr>
          <w:p w14:paraId="796F80DA"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r>
      <w:tr w:rsidR="0013173C" w:rsidRPr="00252D7B" w14:paraId="0386D25D" w14:textId="77777777" w:rsidTr="00F6584E">
        <w:trPr>
          <w:trHeight w:hRule="exact" w:val="227"/>
        </w:trPr>
        <w:tc>
          <w:tcPr>
            <w:tcW w:w="3564" w:type="pct"/>
            <w:gridSpan w:val="2"/>
            <w:tcBorders>
              <w:top w:val="nil"/>
              <w:left w:val="nil"/>
              <w:bottom w:val="nil"/>
              <w:right w:val="nil"/>
            </w:tcBorders>
            <w:shd w:val="clear" w:color="auto" w:fill="auto"/>
            <w:noWrap/>
            <w:vAlign w:val="center"/>
            <w:hideMark/>
          </w:tcPr>
          <w:p w14:paraId="6DC746DD"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Imposto a Recuperar (PIS e COFINS)</w:t>
            </w:r>
          </w:p>
        </w:tc>
        <w:tc>
          <w:tcPr>
            <w:tcW w:w="721" w:type="pct"/>
            <w:tcBorders>
              <w:top w:val="nil"/>
              <w:left w:val="nil"/>
              <w:bottom w:val="nil"/>
              <w:right w:val="nil"/>
            </w:tcBorders>
            <w:shd w:val="clear" w:color="auto" w:fill="auto"/>
            <w:noWrap/>
            <w:vAlign w:val="center"/>
            <w:hideMark/>
          </w:tcPr>
          <w:p w14:paraId="10F67BA2"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771.984</w:t>
            </w:r>
          </w:p>
        </w:tc>
        <w:tc>
          <w:tcPr>
            <w:tcW w:w="715" w:type="pct"/>
            <w:tcBorders>
              <w:top w:val="nil"/>
              <w:left w:val="nil"/>
              <w:bottom w:val="nil"/>
              <w:right w:val="nil"/>
            </w:tcBorders>
            <w:shd w:val="clear" w:color="auto" w:fill="auto"/>
            <w:vAlign w:val="center"/>
            <w:hideMark/>
          </w:tcPr>
          <w:p w14:paraId="5AF1A654"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r>
      <w:tr w:rsidR="0013173C" w:rsidRPr="00252D7B" w14:paraId="228CF384" w14:textId="77777777" w:rsidTr="00F6584E">
        <w:trPr>
          <w:trHeight w:hRule="exact" w:val="227"/>
        </w:trPr>
        <w:tc>
          <w:tcPr>
            <w:tcW w:w="3564" w:type="pct"/>
            <w:gridSpan w:val="2"/>
            <w:tcBorders>
              <w:top w:val="nil"/>
              <w:left w:val="nil"/>
              <w:bottom w:val="nil"/>
              <w:right w:val="nil"/>
            </w:tcBorders>
            <w:shd w:val="clear" w:color="auto" w:fill="auto"/>
            <w:noWrap/>
            <w:vAlign w:val="center"/>
          </w:tcPr>
          <w:p w14:paraId="6640F833"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Baixa de Tributos a recuperar/compensar</w:t>
            </w:r>
          </w:p>
        </w:tc>
        <w:tc>
          <w:tcPr>
            <w:tcW w:w="721" w:type="pct"/>
            <w:tcBorders>
              <w:top w:val="nil"/>
              <w:left w:val="nil"/>
              <w:bottom w:val="nil"/>
              <w:right w:val="nil"/>
            </w:tcBorders>
            <w:shd w:val="clear" w:color="auto" w:fill="auto"/>
            <w:noWrap/>
            <w:vAlign w:val="center"/>
          </w:tcPr>
          <w:p w14:paraId="657EA221"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(510.828)</w:t>
            </w:r>
          </w:p>
        </w:tc>
        <w:tc>
          <w:tcPr>
            <w:tcW w:w="715" w:type="pct"/>
            <w:tcBorders>
              <w:top w:val="nil"/>
              <w:left w:val="nil"/>
              <w:bottom w:val="nil"/>
              <w:right w:val="nil"/>
            </w:tcBorders>
            <w:shd w:val="clear" w:color="auto" w:fill="auto"/>
            <w:vAlign w:val="center"/>
          </w:tcPr>
          <w:p w14:paraId="461EB184"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0</w:t>
            </w:r>
          </w:p>
        </w:tc>
      </w:tr>
      <w:tr w:rsidR="0013173C" w:rsidRPr="00252D7B" w14:paraId="71EBEFAC" w14:textId="77777777" w:rsidTr="00F6584E">
        <w:trPr>
          <w:trHeight w:hRule="exact" w:val="227"/>
        </w:trPr>
        <w:tc>
          <w:tcPr>
            <w:tcW w:w="3564" w:type="pct"/>
            <w:gridSpan w:val="2"/>
            <w:tcBorders>
              <w:top w:val="nil"/>
              <w:left w:val="nil"/>
              <w:bottom w:val="nil"/>
              <w:right w:val="nil"/>
            </w:tcBorders>
            <w:shd w:val="clear" w:color="auto" w:fill="auto"/>
            <w:noWrap/>
            <w:vAlign w:val="center"/>
            <w:hideMark/>
          </w:tcPr>
          <w:p w14:paraId="1466CB46"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 xml:space="preserve">Baixa de Ativos – Imobilizado e Intangível </w:t>
            </w:r>
          </w:p>
        </w:tc>
        <w:tc>
          <w:tcPr>
            <w:tcW w:w="721" w:type="pct"/>
            <w:tcBorders>
              <w:top w:val="nil"/>
              <w:left w:val="nil"/>
              <w:bottom w:val="nil"/>
              <w:right w:val="nil"/>
            </w:tcBorders>
            <w:shd w:val="clear" w:color="auto" w:fill="auto"/>
            <w:noWrap/>
            <w:vAlign w:val="center"/>
            <w:hideMark/>
          </w:tcPr>
          <w:p w14:paraId="4690F85F"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(12.814.740)</w:t>
            </w:r>
          </w:p>
        </w:tc>
        <w:tc>
          <w:tcPr>
            <w:tcW w:w="715" w:type="pct"/>
            <w:tcBorders>
              <w:top w:val="nil"/>
              <w:left w:val="nil"/>
              <w:bottom w:val="nil"/>
              <w:right w:val="nil"/>
            </w:tcBorders>
            <w:shd w:val="clear" w:color="auto" w:fill="auto"/>
            <w:vAlign w:val="center"/>
            <w:hideMark/>
          </w:tcPr>
          <w:p w14:paraId="42953A57"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(573.773)</w:t>
            </w:r>
          </w:p>
        </w:tc>
      </w:tr>
      <w:tr w:rsidR="0013173C" w:rsidRPr="00252D7B" w14:paraId="1F1417F4" w14:textId="77777777" w:rsidTr="00F6584E">
        <w:trPr>
          <w:trHeight w:hRule="exact" w:val="227"/>
        </w:trPr>
        <w:tc>
          <w:tcPr>
            <w:tcW w:w="3457" w:type="pct"/>
            <w:tcBorders>
              <w:top w:val="nil"/>
              <w:left w:val="nil"/>
              <w:bottom w:val="single" w:sz="8" w:space="0" w:color="auto"/>
              <w:right w:val="nil"/>
            </w:tcBorders>
            <w:shd w:val="clear" w:color="auto" w:fill="auto"/>
            <w:noWrap/>
            <w:vAlign w:val="center"/>
            <w:hideMark/>
          </w:tcPr>
          <w:p w14:paraId="0356920C"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Resultado da Equivalência Patrimonial</w:t>
            </w:r>
          </w:p>
        </w:tc>
        <w:tc>
          <w:tcPr>
            <w:tcW w:w="107" w:type="pct"/>
            <w:tcBorders>
              <w:top w:val="nil"/>
              <w:left w:val="nil"/>
              <w:bottom w:val="nil"/>
              <w:right w:val="nil"/>
            </w:tcBorders>
            <w:shd w:val="clear" w:color="auto" w:fill="auto"/>
            <w:noWrap/>
            <w:vAlign w:val="center"/>
            <w:hideMark/>
          </w:tcPr>
          <w:p w14:paraId="2B2D93E1" w14:textId="77777777" w:rsidR="0013173C" w:rsidRPr="00252D7B" w:rsidRDefault="0013173C" w:rsidP="00F6584E">
            <w:pPr>
              <w:spacing w:after="120"/>
              <w:rPr>
                <w:rFonts w:asciiTheme="minorHAnsi" w:hAnsiTheme="minorHAnsi" w:cstheme="minorHAnsi"/>
                <w:color w:val="000000"/>
                <w:sz w:val="20"/>
                <w:szCs w:val="20"/>
              </w:rPr>
            </w:pPr>
          </w:p>
        </w:tc>
        <w:tc>
          <w:tcPr>
            <w:tcW w:w="721" w:type="pct"/>
            <w:tcBorders>
              <w:top w:val="nil"/>
              <w:left w:val="nil"/>
              <w:bottom w:val="nil"/>
              <w:right w:val="nil"/>
            </w:tcBorders>
            <w:shd w:val="clear" w:color="auto" w:fill="auto"/>
            <w:noWrap/>
            <w:vAlign w:val="center"/>
            <w:hideMark/>
          </w:tcPr>
          <w:p w14:paraId="0E8ED716"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w:t>
            </w:r>
            <w:r>
              <w:rPr>
                <w:rFonts w:asciiTheme="minorHAnsi" w:hAnsiTheme="minorHAnsi" w:cstheme="minorHAnsi"/>
                <w:color w:val="000000"/>
                <w:sz w:val="20"/>
                <w:szCs w:val="20"/>
              </w:rPr>
              <w:t>37.948.896</w:t>
            </w:r>
            <w:r w:rsidRPr="00252D7B">
              <w:rPr>
                <w:rFonts w:asciiTheme="minorHAnsi" w:hAnsiTheme="minorHAnsi" w:cstheme="minorHAnsi"/>
                <w:color w:val="000000"/>
                <w:sz w:val="20"/>
                <w:szCs w:val="20"/>
              </w:rPr>
              <w:t>)</w:t>
            </w:r>
          </w:p>
        </w:tc>
        <w:tc>
          <w:tcPr>
            <w:tcW w:w="715" w:type="pct"/>
            <w:tcBorders>
              <w:top w:val="nil"/>
              <w:left w:val="nil"/>
              <w:bottom w:val="nil"/>
              <w:right w:val="nil"/>
            </w:tcBorders>
            <w:shd w:val="clear" w:color="auto" w:fill="auto"/>
            <w:vAlign w:val="center"/>
            <w:hideMark/>
          </w:tcPr>
          <w:p w14:paraId="18DE3140"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(23.952.269)</w:t>
            </w:r>
          </w:p>
        </w:tc>
      </w:tr>
      <w:tr w:rsidR="0013173C" w:rsidRPr="00252D7B" w14:paraId="18014D12" w14:textId="77777777" w:rsidTr="00F6584E">
        <w:trPr>
          <w:trHeight w:hRule="exact" w:val="227"/>
        </w:trPr>
        <w:tc>
          <w:tcPr>
            <w:tcW w:w="3457" w:type="pct"/>
            <w:tcBorders>
              <w:top w:val="nil"/>
              <w:left w:val="nil"/>
              <w:bottom w:val="single" w:sz="8" w:space="0" w:color="auto"/>
              <w:right w:val="nil"/>
            </w:tcBorders>
            <w:shd w:val="clear" w:color="auto" w:fill="auto"/>
            <w:noWrap/>
            <w:vAlign w:val="center"/>
            <w:hideMark/>
          </w:tcPr>
          <w:p w14:paraId="60E7ABDA" w14:textId="77777777" w:rsidR="0013173C" w:rsidRPr="00252D7B" w:rsidRDefault="0013173C" w:rsidP="00F6584E">
            <w:pPr>
              <w:spacing w:after="120"/>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xml:space="preserve"> TOTAL </w:t>
            </w:r>
          </w:p>
        </w:tc>
        <w:tc>
          <w:tcPr>
            <w:tcW w:w="107" w:type="pct"/>
            <w:tcBorders>
              <w:top w:val="single" w:sz="8" w:space="0" w:color="auto"/>
              <w:left w:val="nil"/>
              <w:bottom w:val="single" w:sz="8" w:space="0" w:color="auto"/>
              <w:right w:val="nil"/>
            </w:tcBorders>
            <w:shd w:val="clear" w:color="auto" w:fill="auto"/>
            <w:noWrap/>
            <w:vAlign w:val="center"/>
            <w:hideMark/>
          </w:tcPr>
          <w:p w14:paraId="32B8BD96"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w:t>
            </w:r>
          </w:p>
        </w:tc>
        <w:tc>
          <w:tcPr>
            <w:tcW w:w="721" w:type="pct"/>
            <w:tcBorders>
              <w:top w:val="single" w:sz="8" w:space="0" w:color="auto"/>
              <w:left w:val="nil"/>
              <w:bottom w:val="single" w:sz="8" w:space="0" w:color="auto"/>
              <w:right w:val="nil"/>
            </w:tcBorders>
            <w:shd w:val="clear" w:color="auto" w:fill="auto"/>
            <w:noWrap/>
            <w:vAlign w:val="center"/>
            <w:hideMark/>
          </w:tcPr>
          <w:p w14:paraId="744DF2D7"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w:t>
            </w:r>
            <w:r>
              <w:rPr>
                <w:rFonts w:asciiTheme="minorHAnsi" w:hAnsiTheme="minorHAnsi" w:cstheme="minorHAnsi"/>
                <w:b/>
                <w:bCs/>
                <w:color w:val="000000"/>
                <w:sz w:val="20"/>
                <w:szCs w:val="20"/>
              </w:rPr>
              <w:t>1.231.820.153</w:t>
            </w:r>
            <w:r w:rsidRPr="00252D7B">
              <w:rPr>
                <w:rFonts w:asciiTheme="minorHAnsi" w:hAnsiTheme="minorHAnsi" w:cstheme="minorHAnsi"/>
                <w:b/>
                <w:bCs/>
                <w:color w:val="000000"/>
                <w:sz w:val="20"/>
                <w:szCs w:val="20"/>
              </w:rPr>
              <w:t>)</w:t>
            </w:r>
          </w:p>
        </w:tc>
        <w:tc>
          <w:tcPr>
            <w:tcW w:w="715" w:type="pct"/>
            <w:tcBorders>
              <w:top w:val="single" w:sz="8" w:space="0" w:color="auto"/>
              <w:left w:val="nil"/>
              <w:bottom w:val="single" w:sz="8" w:space="0" w:color="auto"/>
              <w:right w:val="nil"/>
            </w:tcBorders>
            <w:shd w:val="clear" w:color="auto" w:fill="auto"/>
            <w:vAlign w:val="center"/>
            <w:hideMark/>
          </w:tcPr>
          <w:p w14:paraId="6D6A09A7"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251.055.014</w:t>
            </w:r>
          </w:p>
        </w:tc>
      </w:tr>
    </w:tbl>
    <w:p w14:paraId="04F679B1" w14:textId="77777777" w:rsidR="0013173C" w:rsidRPr="00252D7B" w:rsidRDefault="0013173C" w:rsidP="0013173C">
      <w:pPr>
        <w:spacing w:before="120" w:after="120"/>
        <w:ind w:right="57"/>
        <w:jc w:val="both"/>
        <w:rPr>
          <w:rFonts w:asciiTheme="minorHAnsi" w:hAnsiTheme="minorHAnsi" w:cstheme="minorHAnsi"/>
          <w:sz w:val="24"/>
          <w:szCs w:val="24"/>
        </w:rPr>
      </w:pPr>
    </w:p>
    <w:p w14:paraId="7EA74015" w14:textId="77777777" w:rsidR="0013173C" w:rsidRPr="00252D7B" w:rsidRDefault="0013173C" w:rsidP="0013173C">
      <w:pPr>
        <w:spacing w:before="120" w:after="120"/>
        <w:ind w:right="57"/>
        <w:jc w:val="both"/>
        <w:rPr>
          <w:rFonts w:asciiTheme="minorHAnsi" w:hAnsiTheme="minorHAnsi" w:cstheme="minorHAnsi"/>
          <w:sz w:val="24"/>
          <w:szCs w:val="24"/>
        </w:rPr>
      </w:pPr>
      <w:r w:rsidRPr="00252D7B">
        <w:rPr>
          <w:rFonts w:asciiTheme="minorHAnsi" w:hAnsiTheme="minorHAnsi" w:cstheme="minorHAnsi"/>
          <w:sz w:val="24"/>
          <w:szCs w:val="24"/>
        </w:rPr>
        <w:t xml:space="preserve">O resultado com equivalência patrimonial negativo refere-se à participação acionária significativa na companhia Transnordestina Logística S/A, o qual totalizou R$ </w:t>
      </w:r>
      <w:r>
        <w:rPr>
          <w:rFonts w:asciiTheme="minorHAnsi" w:hAnsiTheme="minorHAnsi" w:cstheme="minorHAnsi"/>
          <w:sz w:val="24"/>
          <w:szCs w:val="24"/>
        </w:rPr>
        <w:t>37,9</w:t>
      </w:r>
      <w:r w:rsidRPr="00252D7B">
        <w:rPr>
          <w:rFonts w:asciiTheme="minorHAnsi" w:hAnsiTheme="minorHAnsi" w:cstheme="minorHAnsi"/>
          <w:sz w:val="24"/>
          <w:szCs w:val="24"/>
        </w:rPr>
        <w:t xml:space="preserve"> milhões, </w:t>
      </w:r>
      <w:r>
        <w:rPr>
          <w:rFonts w:asciiTheme="minorHAnsi" w:hAnsiTheme="minorHAnsi" w:cstheme="minorHAnsi"/>
          <w:sz w:val="24"/>
          <w:szCs w:val="24"/>
        </w:rPr>
        <w:t>em 2021.</w:t>
      </w:r>
    </w:p>
    <w:p w14:paraId="71525C16" w14:textId="77777777" w:rsidR="0013173C" w:rsidRPr="00252D7B" w:rsidRDefault="0013173C" w:rsidP="0013173C">
      <w:pPr>
        <w:spacing w:before="120" w:after="120"/>
        <w:ind w:right="57"/>
        <w:jc w:val="both"/>
        <w:rPr>
          <w:rFonts w:asciiTheme="minorHAnsi" w:hAnsiTheme="minorHAnsi" w:cstheme="minorHAnsi"/>
          <w:sz w:val="24"/>
          <w:szCs w:val="24"/>
        </w:rPr>
      </w:pPr>
    </w:p>
    <w:p w14:paraId="7FA3BEEF" w14:textId="155C7B3F" w:rsidR="0013173C" w:rsidRPr="005059B1" w:rsidRDefault="0013173C" w:rsidP="005059B1">
      <w:pPr>
        <w:pStyle w:val="Legenda"/>
        <w:jc w:val="center"/>
        <w:rPr>
          <w:rFonts w:asciiTheme="minorHAnsi" w:hAnsiTheme="minorHAnsi" w:cstheme="minorHAnsi"/>
          <w:sz w:val="20"/>
          <w:szCs w:val="20"/>
        </w:rPr>
      </w:pPr>
      <w:bookmarkStart w:id="728" w:name="_Toc97918930"/>
      <w:bookmarkStart w:id="729" w:name="_Toc103680716"/>
      <w:r w:rsidRPr="00252D7B">
        <w:rPr>
          <w:rFonts w:asciiTheme="minorHAnsi" w:hAnsiTheme="minorHAnsi" w:cstheme="minorHAnsi"/>
          <w:sz w:val="20"/>
          <w:szCs w:val="20"/>
        </w:rPr>
        <w:t xml:space="preserve">Tabela </w:t>
      </w:r>
      <w:r w:rsidRPr="005059B1">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Tabela \* ARABIC </w:instrText>
      </w:r>
      <w:r w:rsidRPr="005059B1">
        <w:rPr>
          <w:rFonts w:asciiTheme="minorHAnsi" w:hAnsiTheme="minorHAnsi" w:cstheme="minorHAnsi"/>
          <w:sz w:val="20"/>
          <w:szCs w:val="20"/>
        </w:rPr>
        <w:fldChar w:fldCharType="separate"/>
      </w:r>
      <w:r w:rsidR="00C12888">
        <w:rPr>
          <w:rFonts w:asciiTheme="minorHAnsi" w:hAnsiTheme="minorHAnsi" w:cstheme="minorHAnsi"/>
          <w:noProof/>
          <w:sz w:val="20"/>
          <w:szCs w:val="20"/>
        </w:rPr>
        <w:t>54</w:t>
      </w:r>
      <w:r w:rsidRPr="005059B1">
        <w:rPr>
          <w:rFonts w:asciiTheme="minorHAnsi" w:hAnsiTheme="minorHAnsi" w:cstheme="minorHAnsi"/>
          <w:sz w:val="20"/>
          <w:szCs w:val="20"/>
        </w:rPr>
        <w:fldChar w:fldCharType="end"/>
      </w:r>
      <w:r w:rsidRPr="00252D7B">
        <w:rPr>
          <w:rFonts w:asciiTheme="minorHAnsi" w:hAnsiTheme="minorHAnsi" w:cstheme="minorHAnsi"/>
          <w:sz w:val="20"/>
          <w:szCs w:val="20"/>
        </w:rPr>
        <w:t xml:space="preserve"> – Resultado da equivalência patrimonial</w:t>
      </w:r>
      <w:bookmarkEnd w:id="728"/>
      <w:bookmarkEnd w:id="729"/>
    </w:p>
    <w:tbl>
      <w:tblPr>
        <w:tblW w:w="5000" w:type="pct"/>
        <w:tblCellMar>
          <w:left w:w="70" w:type="dxa"/>
          <w:right w:w="70" w:type="dxa"/>
        </w:tblCellMar>
        <w:tblLook w:val="04A0" w:firstRow="1" w:lastRow="0" w:firstColumn="1" w:lastColumn="0" w:noHBand="0" w:noVBand="1"/>
      </w:tblPr>
      <w:tblGrid>
        <w:gridCol w:w="7226"/>
        <w:gridCol w:w="2520"/>
      </w:tblGrid>
      <w:tr w:rsidR="0013173C" w:rsidRPr="00252D7B" w14:paraId="7C9A6095" w14:textId="77777777" w:rsidTr="00F6584E">
        <w:trPr>
          <w:trHeight w:val="111"/>
        </w:trPr>
        <w:tc>
          <w:tcPr>
            <w:tcW w:w="3707" w:type="pct"/>
            <w:tcBorders>
              <w:bottom w:val="single" w:sz="4" w:space="0" w:color="auto"/>
            </w:tcBorders>
            <w:shd w:val="clear" w:color="auto" w:fill="auto"/>
            <w:noWrap/>
            <w:vAlign w:val="center"/>
            <w:hideMark/>
          </w:tcPr>
          <w:p w14:paraId="47E0DC45" w14:textId="77777777" w:rsidR="0013173C" w:rsidRPr="00252D7B" w:rsidRDefault="0013173C" w:rsidP="00F6584E">
            <w:pPr>
              <w:spacing w:after="120"/>
              <w:rPr>
                <w:rFonts w:asciiTheme="minorHAnsi" w:hAnsiTheme="minorHAnsi" w:cstheme="minorHAnsi"/>
                <w:b/>
                <w:bCs/>
                <w:sz w:val="20"/>
                <w:szCs w:val="20"/>
              </w:rPr>
            </w:pPr>
            <w:r w:rsidRPr="00252D7B">
              <w:rPr>
                <w:rFonts w:asciiTheme="minorHAnsi" w:hAnsiTheme="minorHAnsi" w:cstheme="minorHAnsi"/>
                <w:b/>
                <w:bCs/>
                <w:sz w:val="20"/>
                <w:szCs w:val="20"/>
              </w:rPr>
              <w:t>RESULTADO DA EQUIVALÊNCIA PATRIMONIAL</w:t>
            </w:r>
          </w:p>
        </w:tc>
        <w:tc>
          <w:tcPr>
            <w:tcW w:w="1293" w:type="pct"/>
            <w:tcBorders>
              <w:bottom w:val="single" w:sz="4" w:space="0" w:color="auto"/>
            </w:tcBorders>
            <w:shd w:val="clear" w:color="auto" w:fill="auto"/>
            <w:noWrap/>
            <w:vAlign w:val="center"/>
            <w:hideMark/>
          </w:tcPr>
          <w:p w14:paraId="186F303D" w14:textId="77777777" w:rsidR="0013173C" w:rsidRPr="00252D7B" w:rsidRDefault="0013173C" w:rsidP="00F6584E">
            <w:pPr>
              <w:spacing w:after="120"/>
              <w:jc w:val="right"/>
              <w:rPr>
                <w:rFonts w:asciiTheme="minorHAnsi" w:hAnsiTheme="minorHAnsi" w:cstheme="minorHAnsi"/>
                <w:b/>
                <w:bCs/>
                <w:sz w:val="20"/>
                <w:szCs w:val="20"/>
              </w:rPr>
            </w:pPr>
            <w:r w:rsidRPr="00252D7B">
              <w:rPr>
                <w:rFonts w:asciiTheme="minorHAnsi" w:hAnsiTheme="minorHAnsi" w:cstheme="minorHAnsi"/>
                <w:b/>
                <w:bCs/>
                <w:sz w:val="20"/>
                <w:szCs w:val="20"/>
              </w:rPr>
              <w:t> 31/12/2021</w:t>
            </w:r>
          </w:p>
        </w:tc>
      </w:tr>
      <w:tr w:rsidR="0013173C" w:rsidRPr="00252D7B" w14:paraId="46C82D2D" w14:textId="77777777" w:rsidTr="00F6584E">
        <w:trPr>
          <w:trHeight w:val="227"/>
        </w:trPr>
        <w:tc>
          <w:tcPr>
            <w:tcW w:w="3707" w:type="pct"/>
            <w:tcBorders>
              <w:top w:val="single" w:sz="4" w:space="0" w:color="auto"/>
            </w:tcBorders>
            <w:shd w:val="clear" w:color="auto" w:fill="auto"/>
            <w:noWrap/>
            <w:vAlign w:val="center"/>
            <w:hideMark/>
          </w:tcPr>
          <w:p w14:paraId="49783ED2" w14:textId="77777777" w:rsidR="0013173C" w:rsidRPr="00252D7B" w:rsidRDefault="0013173C" w:rsidP="00F6584E">
            <w:pPr>
              <w:spacing w:after="120"/>
              <w:rPr>
                <w:rFonts w:asciiTheme="minorHAnsi" w:hAnsiTheme="minorHAnsi" w:cstheme="minorHAnsi"/>
                <w:sz w:val="20"/>
                <w:szCs w:val="20"/>
              </w:rPr>
            </w:pPr>
            <w:r w:rsidRPr="00252D7B">
              <w:rPr>
                <w:rFonts w:asciiTheme="minorHAnsi" w:hAnsiTheme="minorHAnsi" w:cstheme="minorHAnsi"/>
                <w:sz w:val="20"/>
                <w:szCs w:val="20"/>
              </w:rPr>
              <w:t>Resultado de Equivalência Patrimonial Negativo – 1º tri/2021</w:t>
            </w:r>
          </w:p>
        </w:tc>
        <w:tc>
          <w:tcPr>
            <w:tcW w:w="1293" w:type="pct"/>
            <w:tcBorders>
              <w:top w:val="single" w:sz="4" w:space="0" w:color="auto"/>
            </w:tcBorders>
            <w:shd w:val="clear" w:color="auto" w:fill="auto"/>
            <w:noWrap/>
            <w:vAlign w:val="center"/>
            <w:hideMark/>
          </w:tcPr>
          <w:p w14:paraId="250EE086" w14:textId="77777777" w:rsidR="0013173C" w:rsidRPr="00252D7B" w:rsidRDefault="0013173C" w:rsidP="00F6584E">
            <w:pPr>
              <w:spacing w:after="120"/>
              <w:jc w:val="right"/>
              <w:rPr>
                <w:rFonts w:asciiTheme="minorHAnsi" w:hAnsiTheme="minorHAnsi" w:cstheme="minorHAnsi"/>
                <w:sz w:val="20"/>
                <w:szCs w:val="20"/>
              </w:rPr>
            </w:pPr>
            <w:r w:rsidRPr="00252D7B">
              <w:rPr>
                <w:rFonts w:asciiTheme="minorHAnsi" w:hAnsiTheme="minorHAnsi" w:cstheme="minorHAnsi"/>
                <w:sz w:val="20"/>
                <w:szCs w:val="20"/>
              </w:rPr>
              <w:t>(3.773.932)</w:t>
            </w:r>
          </w:p>
        </w:tc>
      </w:tr>
      <w:tr w:rsidR="0013173C" w:rsidRPr="00252D7B" w14:paraId="6D6641F7" w14:textId="77777777" w:rsidTr="00F6584E">
        <w:trPr>
          <w:trHeight w:val="227"/>
        </w:trPr>
        <w:tc>
          <w:tcPr>
            <w:tcW w:w="3707" w:type="pct"/>
            <w:tcBorders>
              <w:top w:val="single" w:sz="4" w:space="0" w:color="auto"/>
            </w:tcBorders>
            <w:shd w:val="clear" w:color="auto" w:fill="auto"/>
            <w:noWrap/>
            <w:vAlign w:val="center"/>
          </w:tcPr>
          <w:p w14:paraId="0879EF8B" w14:textId="77777777" w:rsidR="0013173C" w:rsidRPr="00252D7B" w:rsidRDefault="0013173C" w:rsidP="00F6584E">
            <w:pPr>
              <w:spacing w:after="120"/>
              <w:rPr>
                <w:rFonts w:asciiTheme="minorHAnsi" w:hAnsiTheme="minorHAnsi" w:cstheme="minorHAnsi"/>
                <w:sz w:val="20"/>
                <w:szCs w:val="20"/>
              </w:rPr>
            </w:pPr>
            <w:r w:rsidRPr="00252D7B">
              <w:rPr>
                <w:rFonts w:asciiTheme="minorHAnsi" w:hAnsiTheme="minorHAnsi" w:cstheme="minorHAnsi"/>
                <w:sz w:val="20"/>
                <w:szCs w:val="20"/>
              </w:rPr>
              <w:t>Resultado de Equivalência Patrimonial Negativo – 2º tri/2021</w:t>
            </w:r>
          </w:p>
        </w:tc>
        <w:tc>
          <w:tcPr>
            <w:tcW w:w="1293" w:type="pct"/>
            <w:tcBorders>
              <w:top w:val="single" w:sz="4" w:space="0" w:color="auto"/>
            </w:tcBorders>
            <w:shd w:val="clear" w:color="auto" w:fill="auto"/>
            <w:noWrap/>
            <w:vAlign w:val="center"/>
          </w:tcPr>
          <w:p w14:paraId="48E752F4" w14:textId="77777777" w:rsidR="0013173C" w:rsidRPr="00252D7B" w:rsidRDefault="0013173C" w:rsidP="00F6584E">
            <w:pPr>
              <w:spacing w:after="120"/>
              <w:jc w:val="right"/>
              <w:rPr>
                <w:rFonts w:asciiTheme="minorHAnsi" w:hAnsiTheme="minorHAnsi" w:cstheme="minorHAnsi"/>
                <w:sz w:val="20"/>
                <w:szCs w:val="20"/>
              </w:rPr>
            </w:pPr>
            <w:r w:rsidRPr="00252D7B">
              <w:rPr>
                <w:rFonts w:asciiTheme="minorHAnsi" w:hAnsiTheme="minorHAnsi" w:cstheme="minorHAnsi"/>
                <w:sz w:val="20"/>
                <w:szCs w:val="20"/>
              </w:rPr>
              <w:t>(12.503.398)</w:t>
            </w:r>
          </w:p>
        </w:tc>
      </w:tr>
      <w:tr w:rsidR="0013173C" w:rsidRPr="00252D7B" w14:paraId="293B7E3E" w14:textId="77777777" w:rsidTr="00F6584E">
        <w:trPr>
          <w:trHeight w:val="227"/>
        </w:trPr>
        <w:tc>
          <w:tcPr>
            <w:tcW w:w="3707" w:type="pct"/>
            <w:tcBorders>
              <w:top w:val="single" w:sz="4" w:space="0" w:color="auto"/>
            </w:tcBorders>
            <w:shd w:val="clear" w:color="auto" w:fill="auto"/>
            <w:noWrap/>
            <w:vAlign w:val="center"/>
          </w:tcPr>
          <w:p w14:paraId="06FD8D15" w14:textId="77777777" w:rsidR="0013173C" w:rsidRPr="00252D7B" w:rsidRDefault="0013173C" w:rsidP="00F6584E">
            <w:pPr>
              <w:spacing w:after="120"/>
              <w:rPr>
                <w:rFonts w:asciiTheme="minorHAnsi" w:hAnsiTheme="minorHAnsi" w:cstheme="minorHAnsi"/>
                <w:sz w:val="20"/>
                <w:szCs w:val="20"/>
              </w:rPr>
            </w:pPr>
            <w:r w:rsidRPr="00252D7B">
              <w:rPr>
                <w:rFonts w:asciiTheme="minorHAnsi" w:hAnsiTheme="minorHAnsi" w:cstheme="minorHAnsi"/>
                <w:sz w:val="20"/>
                <w:szCs w:val="20"/>
              </w:rPr>
              <w:t>Resultado de Equivalência Patrimonial Negativo – 3º tri/2021</w:t>
            </w:r>
          </w:p>
        </w:tc>
        <w:tc>
          <w:tcPr>
            <w:tcW w:w="1293" w:type="pct"/>
            <w:tcBorders>
              <w:top w:val="single" w:sz="4" w:space="0" w:color="auto"/>
            </w:tcBorders>
            <w:shd w:val="clear" w:color="auto" w:fill="auto"/>
            <w:noWrap/>
            <w:vAlign w:val="center"/>
          </w:tcPr>
          <w:p w14:paraId="481A04EB" w14:textId="77777777" w:rsidR="0013173C" w:rsidRPr="00252D7B" w:rsidRDefault="0013173C" w:rsidP="00F6584E">
            <w:pPr>
              <w:spacing w:after="120"/>
              <w:jc w:val="right"/>
              <w:rPr>
                <w:rFonts w:asciiTheme="minorHAnsi" w:hAnsiTheme="minorHAnsi" w:cstheme="minorHAnsi"/>
                <w:sz w:val="20"/>
                <w:szCs w:val="20"/>
              </w:rPr>
            </w:pPr>
            <w:r w:rsidRPr="00252D7B">
              <w:rPr>
                <w:rFonts w:asciiTheme="minorHAnsi" w:hAnsiTheme="minorHAnsi" w:cstheme="minorHAnsi"/>
                <w:sz w:val="20"/>
                <w:szCs w:val="20"/>
              </w:rPr>
              <w:t>(15.971.177)</w:t>
            </w:r>
          </w:p>
        </w:tc>
      </w:tr>
      <w:tr w:rsidR="0013173C" w:rsidRPr="00252D7B" w14:paraId="4531E2CC" w14:textId="77777777" w:rsidTr="00F6584E">
        <w:trPr>
          <w:trHeight w:val="227"/>
        </w:trPr>
        <w:tc>
          <w:tcPr>
            <w:tcW w:w="3707" w:type="pct"/>
            <w:tcBorders>
              <w:top w:val="single" w:sz="4" w:space="0" w:color="auto"/>
            </w:tcBorders>
            <w:shd w:val="clear" w:color="auto" w:fill="auto"/>
            <w:noWrap/>
            <w:vAlign w:val="center"/>
          </w:tcPr>
          <w:p w14:paraId="6A66E650" w14:textId="77777777" w:rsidR="0013173C" w:rsidRPr="00252D7B" w:rsidRDefault="0013173C" w:rsidP="00F6584E">
            <w:pPr>
              <w:spacing w:after="120"/>
              <w:rPr>
                <w:rFonts w:asciiTheme="minorHAnsi" w:hAnsiTheme="minorHAnsi" w:cstheme="minorHAnsi"/>
                <w:sz w:val="20"/>
                <w:szCs w:val="20"/>
              </w:rPr>
            </w:pPr>
            <w:r w:rsidRPr="00252D7B">
              <w:rPr>
                <w:rFonts w:asciiTheme="minorHAnsi" w:hAnsiTheme="minorHAnsi" w:cstheme="minorHAnsi"/>
                <w:sz w:val="20"/>
                <w:szCs w:val="20"/>
              </w:rPr>
              <w:t xml:space="preserve">Resultado de Equivalência Patrimonial Negativo – </w:t>
            </w:r>
            <w:r>
              <w:rPr>
                <w:rFonts w:asciiTheme="minorHAnsi" w:hAnsiTheme="minorHAnsi" w:cstheme="minorHAnsi"/>
                <w:sz w:val="20"/>
                <w:szCs w:val="20"/>
              </w:rPr>
              <w:t>4</w:t>
            </w:r>
            <w:r w:rsidRPr="00252D7B">
              <w:rPr>
                <w:rFonts w:asciiTheme="minorHAnsi" w:hAnsiTheme="minorHAnsi" w:cstheme="minorHAnsi"/>
                <w:sz w:val="20"/>
                <w:szCs w:val="20"/>
              </w:rPr>
              <w:t>º tri/2021</w:t>
            </w:r>
          </w:p>
        </w:tc>
        <w:tc>
          <w:tcPr>
            <w:tcW w:w="1293" w:type="pct"/>
            <w:tcBorders>
              <w:top w:val="single" w:sz="4" w:space="0" w:color="auto"/>
            </w:tcBorders>
            <w:shd w:val="clear" w:color="auto" w:fill="auto"/>
            <w:noWrap/>
            <w:vAlign w:val="center"/>
          </w:tcPr>
          <w:p w14:paraId="089E8A72" w14:textId="77777777" w:rsidR="0013173C" w:rsidRPr="00252D7B" w:rsidRDefault="0013173C" w:rsidP="00F6584E">
            <w:pPr>
              <w:spacing w:after="120"/>
              <w:jc w:val="right"/>
              <w:rPr>
                <w:rFonts w:asciiTheme="minorHAnsi" w:hAnsiTheme="minorHAnsi" w:cstheme="minorHAnsi"/>
                <w:sz w:val="20"/>
                <w:szCs w:val="20"/>
              </w:rPr>
            </w:pPr>
            <w:r>
              <w:rPr>
                <w:rFonts w:asciiTheme="minorHAnsi" w:hAnsiTheme="minorHAnsi" w:cstheme="minorHAnsi"/>
                <w:sz w:val="20"/>
                <w:szCs w:val="20"/>
              </w:rPr>
              <w:t>(5.700.389)</w:t>
            </w:r>
          </w:p>
        </w:tc>
      </w:tr>
      <w:tr w:rsidR="0013173C" w:rsidRPr="00252D7B" w14:paraId="15631C28" w14:textId="77777777" w:rsidTr="00F6584E">
        <w:trPr>
          <w:trHeight w:val="227"/>
        </w:trPr>
        <w:tc>
          <w:tcPr>
            <w:tcW w:w="3707" w:type="pct"/>
            <w:tcBorders>
              <w:top w:val="single" w:sz="4" w:space="0" w:color="auto"/>
              <w:bottom w:val="single" w:sz="4" w:space="0" w:color="auto"/>
            </w:tcBorders>
            <w:shd w:val="clear" w:color="auto" w:fill="auto"/>
            <w:noWrap/>
            <w:vAlign w:val="center"/>
            <w:hideMark/>
          </w:tcPr>
          <w:p w14:paraId="25D68C78" w14:textId="77777777" w:rsidR="0013173C" w:rsidRPr="00252D7B" w:rsidRDefault="0013173C" w:rsidP="00F6584E">
            <w:pPr>
              <w:spacing w:after="120"/>
              <w:rPr>
                <w:rFonts w:asciiTheme="minorHAnsi" w:hAnsiTheme="minorHAnsi" w:cstheme="minorHAnsi"/>
                <w:b/>
                <w:bCs/>
                <w:sz w:val="20"/>
                <w:szCs w:val="20"/>
              </w:rPr>
            </w:pPr>
            <w:r w:rsidRPr="00252D7B">
              <w:rPr>
                <w:rFonts w:asciiTheme="minorHAnsi" w:hAnsiTheme="minorHAnsi" w:cstheme="minorHAnsi"/>
                <w:b/>
                <w:bCs/>
                <w:sz w:val="20"/>
                <w:szCs w:val="20"/>
              </w:rPr>
              <w:t xml:space="preserve">TOTAL </w:t>
            </w:r>
          </w:p>
        </w:tc>
        <w:tc>
          <w:tcPr>
            <w:tcW w:w="1293" w:type="pct"/>
            <w:tcBorders>
              <w:top w:val="single" w:sz="4" w:space="0" w:color="auto"/>
              <w:bottom w:val="single" w:sz="4" w:space="0" w:color="auto"/>
            </w:tcBorders>
            <w:shd w:val="clear" w:color="auto" w:fill="auto"/>
            <w:noWrap/>
            <w:vAlign w:val="center"/>
            <w:hideMark/>
          </w:tcPr>
          <w:p w14:paraId="32D7A1B3" w14:textId="77777777" w:rsidR="0013173C" w:rsidRPr="00252D7B" w:rsidRDefault="0013173C" w:rsidP="00F6584E">
            <w:pPr>
              <w:spacing w:after="120"/>
              <w:jc w:val="right"/>
              <w:rPr>
                <w:rFonts w:asciiTheme="minorHAnsi" w:hAnsiTheme="minorHAnsi" w:cstheme="minorHAnsi"/>
                <w:b/>
                <w:bCs/>
                <w:sz w:val="20"/>
                <w:szCs w:val="20"/>
              </w:rPr>
            </w:pPr>
            <w:r w:rsidRPr="00252D7B">
              <w:rPr>
                <w:rFonts w:asciiTheme="minorHAnsi" w:hAnsiTheme="minorHAnsi" w:cstheme="minorHAnsi"/>
                <w:b/>
                <w:bCs/>
                <w:sz w:val="20"/>
                <w:szCs w:val="20"/>
              </w:rPr>
              <w:t>(</w:t>
            </w:r>
            <w:r>
              <w:rPr>
                <w:rFonts w:asciiTheme="minorHAnsi" w:hAnsiTheme="minorHAnsi" w:cstheme="minorHAnsi"/>
                <w:b/>
                <w:bCs/>
                <w:sz w:val="20"/>
                <w:szCs w:val="20"/>
              </w:rPr>
              <w:t>37.948.896</w:t>
            </w:r>
            <w:r w:rsidRPr="00252D7B">
              <w:rPr>
                <w:rFonts w:asciiTheme="minorHAnsi" w:hAnsiTheme="minorHAnsi" w:cstheme="minorHAnsi"/>
                <w:b/>
                <w:bCs/>
                <w:sz w:val="20"/>
                <w:szCs w:val="20"/>
              </w:rPr>
              <w:t>)</w:t>
            </w:r>
          </w:p>
        </w:tc>
      </w:tr>
    </w:tbl>
    <w:p w14:paraId="163BF2FD" w14:textId="77777777" w:rsidR="0013173C" w:rsidRPr="00252D7B" w:rsidRDefault="0013173C" w:rsidP="0013173C">
      <w:pPr>
        <w:spacing w:before="120" w:after="120"/>
        <w:ind w:right="57"/>
        <w:jc w:val="both"/>
        <w:rPr>
          <w:rFonts w:asciiTheme="minorHAnsi" w:hAnsiTheme="minorHAnsi" w:cstheme="minorHAnsi"/>
          <w:bCs/>
          <w:sz w:val="24"/>
          <w:szCs w:val="24"/>
          <w:shd w:val="clear" w:color="auto" w:fill="FFFFFF"/>
        </w:rPr>
      </w:pPr>
    </w:p>
    <w:p w14:paraId="14E5A031" w14:textId="77777777" w:rsidR="0013173C" w:rsidRPr="00252D7B" w:rsidRDefault="0013173C" w:rsidP="0013173C">
      <w:pPr>
        <w:spacing w:before="120" w:after="120"/>
        <w:rPr>
          <w:rFonts w:asciiTheme="minorHAnsi" w:hAnsiTheme="minorHAnsi" w:cstheme="minorHAnsi"/>
        </w:rPr>
      </w:pPr>
    </w:p>
    <w:p w14:paraId="483F27D4" w14:textId="77777777" w:rsidR="0013173C" w:rsidRPr="00252D7B" w:rsidRDefault="0013173C" w:rsidP="008D0C4F">
      <w:pPr>
        <w:pStyle w:val="Ttulo3"/>
        <w:rPr>
          <w:rFonts w:asciiTheme="minorHAnsi" w:hAnsiTheme="minorHAnsi" w:cstheme="minorHAnsi"/>
        </w:rPr>
      </w:pPr>
      <w:bookmarkStart w:id="730" w:name="_Toc97918856"/>
      <w:bookmarkStart w:id="731" w:name="_Toc103680658"/>
      <w:r w:rsidRPr="00252D7B">
        <w:rPr>
          <w:rFonts w:asciiTheme="minorHAnsi" w:hAnsiTheme="minorHAnsi" w:cstheme="minorHAnsi"/>
        </w:rPr>
        <w:t>Receitas financeiras</w:t>
      </w:r>
      <w:bookmarkEnd w:id="730"/>
      <w:bookmarkEnd w:id="731"/>
    </w:p>
    <w:p w14:paraId="39E7DA6A" w14:textId="77777777" w:rsidR="0013173C" w:rsidRPr="00252D7B" w:rsidRDefault="0013173C" w:rsidP="0013173C">
      <w:pPr>
        <w:rPr>
          <w:rFonts w:asciiTheme="minorHAnsi" w:hAnsiTheme="minorHAnsi" w:cstheme="minorHAnsi"/>
        </w:rPr>
      </w:pPr>
    </w:p>
    <w:p w14:paraId="0EB2EBA7" w14:textId="1D9FDD90" w:rsidR="0013173C" w:rsidRPr="005059B1" w:rsidRDefault="0013173C" w:rsidP="005059B1">
      <w:pPr>
        <w:pStyle w:val="Legenda"/>
        <w:jc w:val="center"/>
        <w:rPr>
          <w:rFonts w:asciiTheme="minorHAnsi" w:hAnsiTheme="minorHAnsi" w:cstheme="minorHAnsi"/>
          <w:sz w:val="20"/>
          <w:szCs w:val="20"/>
        </w:rPr>
      </w:pPr>
      <w:bookmarkStart w:id="732" w:name="_Toc97918931"/>
      <w:bookmarkStart w:id="733" w:name="_Toc103680717"/>
      <w:r w:rsidRPr="00252D7B">
        <w:rPr>
          <w:rFonts w:asciiTheme="minorHAnsi" w:hAnsiTheme="minorHAnsi" w:cstheme="minorHAnsi"/>
          <w:sz w:val="20"/>
          <w:szCs w:val="20"/>
        </w:rPr>
        <w:t xml:space="preserve">Tabela </w:t>
      </w:r>
      <w:r w:rsidRPr="005059B1">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Tabela \* ARABIC </w:instrText>
      </w:r>
      <w:r w:rsidRPr="005059B1">
        <w:rPr>
          <w:rFonts w:asciiTheme="minorHAnsi" w:hAnsiTheme="minorHAnsi" w:cstheme="minorHAnsi"/>
          <w:sz w:val="20"/>
          <w:szCs w:val="20"/>
        </w:rPr>
        <w:fldChar w:fldCharType="separate"/>
      </w:r>
      <w:r w:rsidR="00C12888">
        <w:rPr>
          <w:rFonts w:asciiTheme="minorHAnsi" w:hAnsiTheme="minorHAnsi" w:cstheme="minorHAnsi"/>
          <w:noProof/>
          <w:sz w:val="20"/>
          <w:szCs w:val="20"/>
        </w:rPr>
        <w:t>55</w:t>
      </w:r>
      <w:r w:rsidRPr="005059B1">
        <w:rPr>
          <w:rFonts w:asciiTheme="minorHAnsi" w:hAnsiTheme="minorHAnsi" w:cstheme="minorHAnsi"/>
          <w:sz w:val="20"/>
          <w:szCs w:val="20"/>
        </w:rPr>
        <w:fldChar w:fldCharType="end"/>
      </w:r>
      <w:r w:rsidRPr="00252D7B">
        <w:rPr>
          <w:rFonts w:asciiTheme="minorHAnsi" w:hAnsiTheme="minorHAnsi" w:cstheme="minorHAnsi"/>
          <w:sz w:val="20"/>
          <w:szCs w:val="20"/>
        </w:rPr>
        <w:t xml:space="preserve"> – Receitas financeiras</w:t>
      </w:r>
      <w:bookmarkEnd w:id="732"/>
      <w:bookmarkEnd w:id="733"/>
    </w:p>
    <w:tbl>
      <w:tblPr>
        <w:tblW w:w="5000" w:type="pct"/>
        <w:tblCellMar>
          <w:left w:w="70" w:type="dxa"/>
          <w:right w:w="70" w:type="dxa"/>
        </w:tblCellMar>
        <w:tblLook w:val="04A0" w:firstRow="1" w:lastRow="0" w:firstColumn="1" w:lastColumn="0" w:noHBand="0" w:noVBand="1"/>
      </w:tblPr>
      <w:tblGrid>
        <w:gridCol w:w="5685"/>
        <w:gridCol w:w="738"/>
        <w:gridCol w:w="1123"/>
        <w:gridCol w:w="1077"/>
        <w:gridCol w:w="1123"/>
      </w:tblGrid>
      <w:tr w:rsidR="0013173C" w:rsidRPr="00252D7B" w14:paraId="0D7F17A2" w14:textId="77777777" w:rsidTr="00F6584E">
        <w:trPr>
          <w:trHeight w:val="300"/>
        </w:trPr>
        <w:tc>
          <w:tcPr>
            <w:tcW w:w="2917" w:type="pct"/>
            <w:vMerge w:val="restart"/>
            <w:tcBorders>
              <w:top w:val="nil"/>
              <w:left w:val="nil"/>
              <w:bottom w:val="single" w:sz="8" w:space="0" w:color="000000"/>
              <w:right w:val="nil"/>
            </w:tcBorders>
            <w:shd w:val="clear" w:color="auto" w:fill="auto"/>
            <w:noWrap/>
            <w:vAlign w:val="bottom"/>
            <w:hideMark/>
          </w:tcPr>
          <w:p w14:paraId="010722AA" w14:textId="77777777" w:rsidR="0013173C" w:rsidRPr="00252D7B" w:rsidRDefault="0013173C" w:rsidP="00F6584E">
            <w:pPr>
              <w:spacing w:after="120"/>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RECEITAS FINANCEIRAS</w:t>
            </w:r>
          </w:p>
        </w:tc>
        <w:tc>
          <w:tcPr>
            <w:tcW w:w="379" w:type="pct"/>
            <w:vMerge w:val="restart"/>
            <w:tcBorders>
              <w:top w:val="nil"/>
              <w:left w:val="nil"/>
              <w:bottom w:val="single" w:sz="8" w:space="0" w:color="000000"/>
              <w:right w:val="nil"/>
            </w:tcBorders>
            <w:shd w:val="clear" w:color="auto" w:fill="auto"/>
            <w:vAlign w:val="bottom"/>
          </w:tcPr>
          <w:p w14:paraId="09C981B1" w14:textId="77777777" w:rsidR="0013173C" w:rsidRPr="00252D7B" w:rsidRDefault="0013173C" w:rsidP="00F6584E">
            <w:pPr>
              <w:spacing w:after="120"/>
              <w:jc w:val="right"/>
              <w:rPr>
                <w:rFonts w:asciiTheme="minorHAnsi" w:hAnsiTheme="minorHAnsi" w:cstheme="minorHAnsi"/>
                <w:b/>
                <w:bCs/>
                <w:color w:val="000000"/>
                <w:sz w:val="20"/>
                <w:szCs w:val="20"/>
              </w:rPr>
            </w:pPr>
          </w:p>
        </w:tc>
        <w:tc>
          <w:tcPr>
            <w:tcW w:w="576" w:type="pct"/>
            <w:vMerge w:val="restart"/>
            <w:tcBorders>
              <w:top w:val="nil"/>
              <w:left w:val="nil"/>
              <w:bottom w:val="single" w:sz="8" w:space="0" w:color="000000"/>
              <w:right w:val="nil"/>
            </w:tcBorders>
            <w:shd w:val="clear" w:color="auto" w:fill="auto"/>
            <w:vAlign w:val="bottom"/>
          </w:tcPr>
          <w:p w14:paraId="1281240B"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31/12/2021</w:t>
            </w:r>
          </w:p>
        </w:tc>
        <w:tc>
          <w:tcPr>
            <w:tcW w:w="553" w:type="pct"/>
            <w:tcBorders>
              <w:top w:val="nil"/>
              <w:left w:val="nil"/>
              <w:right w:val="nil"/>
            </w:tcBorders>
          </w:tcPr>
          <w:p w14:paraId="7F507692" w14:textId="77777777" w:rsidR="0013173C" w:rsidRPr="00252D7B" w:rsidRDefault="0013173C" w:rsidP="00F6584E">
            <w:pPr>
              <w:spacing w:after="120"/>
              <w:jc w:val="right"/>
              <w:rPr>
                <w:rFonts w:asciiTheme="minorHAnsi" w:hAnsiTheme="minorHAnsi" w:cstheme="minorHAnsi"/>
                <w:b/>
                <w:bCs/>
                <w:color w:val="000000"/>
                <w:sz w:val="20"/>
                <w:szCs w:val="20"/>
              </w:rPr>
            </w:pPr>
          </w:p>
        </w:tc>
        <w:tc>
          <w:tcPr>
            <w:tcW w:w="576" w:type="pct"/>
            <w:tcBorders>
              <w:top w:val="nil"/>
              <w:left w:val="nil"/>
              <w:right w:val="nil"/>
            </w:tcBorders>
            <w:vAlign w:val="bottom"/>
          </w:tcPr>
          <w:p w14:paraId="4CE1CCEA" w14:textId="77777777" w:rsidR="0013173C" w:rsidRPr="00252D7B" w:rsidRDefault="0013173C" w:rsidP="00F6584E">
            <w:pPr>
              <w:spacing w:after="120"/>
              <w:jc w:val="right"/>
              <w:rPr>
                <w:rFonts w:asciiTheme="minorHAnsi" w:hAnsiTheme="minorHAnsi" w:cstheme="minorHAnsi"/>
                <w:b/>
                <w:bCs/>
                <w:color w:val="000000"/>
                <w:sz w:val="20"/>
                <w:szCs w:val="20"/>
              </w:rPr>
            </w:pPr>
          </w:p>
        </w:tc>
      </w:tr>
      <w:tr w:rsidR="0013173C" w:rsidRPr="00252D7B" w14:paraId="5FB02609" w14:textId="77777777" w:rsidTr="00F6584E">
        <w:trPr>
          <w:trHeight w:val="315"/>
        </w:trPr>
        <w:tc>
          <w:tcPr>
            <w:tcW w:w="2917" w:type="pct"/>
            <w:vMerge/>
            <w:tcBorders>
              <w:top w:val="nil"/>
              <w:left w:val="nil"/>
              <w:bottom w:val="single" w:sz="8" w:space="0" w:color="000000"/>
              <w:right w:val="nil"/>
            </w:tcBorders>
            <w:vAlign w:val="bottom"/>
            <w:hideMark/>
          </w:tcPr>
          <w:p w14:paraId="5FBA6789" w14:textId="77777777" w:rsidR="0013173C" w:rsidRPr="00252D7B" w:rsidRDefault="0013173C" w:rsidP="00F6584E">
            <w:pPr>
              <w:spacing w:after="120"/>
              <w:rPr>
                <w:rFonts w:asciiTheme="minorHAnsi" w:hAnsiTheme="minorHAnsi" w:cstheme="minorHAnsi"/>
                <w:b/>
                <w:bCs/>
                <w:color w:val="000000"/>
                <w:sz w:val="20"/>
                <w:szCs w:val="20"/>
              </w:rPr>
            </w:pPr>
          </w:p>
        </w:tc>
        <w:tc>
          <w:tcPr>
            <w:tcW w:w="379" w:type="pct"/>
            <w:vMerge/>
            <w:tcBorders>
              <w:top w:val="nil"/>
              <w:left w:val="nil"/>
              <w:bottom w:val="single" w:sz="8" w:space="0" w:color="000000"/>
              <w:right w:val="nil"/>
            </w:tcBorders>
            <w:vAlign w:val="bottom"/>
          </w:tcPr>
          <w:p w14:paraId="0D22C9C4" w14:textId="77777777" w:rsidR="0013173C" w:rsidRPr="00252D7B" w:rsidRDefault="0013173C" w:rsidP="00F6584E">
            <w:pPr>
              <w:spacing w:after="120"/>
              <w:rPr>
                <w:rFonts w:asciiTheme="minorHAnsi" w:hAnsiTheme="minorHAnsi" w:cstheme="minorHAnsi"/>
                <w:b/>
                <w:bCs/>
                <w:color w:val="000000"/>
                <w:sz w:val="20"/>
                <w:szCs w:val="20"/>
              </w:rPr>
            </w:pPr>
          </w:p>
        </w:tc>
        <w:tc>
          <w:tcPr>
            <w:tcW w:w="576" w:type="pct"/>
            <w:vMerge/>
            <w:tcBorders>
              <w:top w:val="nil"/>
              <w:left w:val="nil"/>
              <w:bottom w:val="single" w:sz="8" w:space="0" w:color="000000"/>
              <w:right w:val="nil"/>
            </w:tcBorders>
            <w:shd w:val="clear" w:color="auto" w:fill="auto"/>
            <w:vAlign w:val="bottom"/>
            <w:hideMark/>
          </w:tcPr>
          <w:p w14:paraId="0AA31343" w14:textId="77777777" w:rsidR="0013173C" w:rsidRPr="00252D7B" w:rsidRDefault="0013173C" w:rsidP="00F6584E">
            <w:pPr>
              <w:spacing w:after="120"/>
              <w:rPr>
                <w:rFonts w:asciiTheme="minorHAnsi" w:hAnsiTheme="minorHAnsi" w:cstheme="minorHAnsi"/>
                <w:b/>
                <w:bCs/>
                <w:color w:val="000000"/>
                <w:sz w:val="20"/>
                <w:szCs w:val="20"/>
              </w:rPr>
            </w:pPr>
          </w:p>
        </w:tc>
        <w:tc>
          <w:tcPr>
            <w:tcW w:w="553" w:type="pct"/>
            <w:tcBorders>
              <w:left w:val="nil"/>
              <w:bottom w:val="single" w:sz="4" w:space="0" w:color="auto"/>
              <w:right w:val="nil"/>
            </w:tcBorders>
          </w:tcPr>
          <w:p w14:paraId="2D26A784" w14:textId="77777777" w:rsidR="0013173C" w:rsidRPr="00252D7B" w:rsidRDefault="0013173C" w:rsidP="00F6584E">
            <w:pPr>
              <w:spacing w:after="120"/>
              <w:jc w:val="right"/>
              <w:rPr>
                <w:rFonts w:asciiTheme="minorHAnsi" w:hAnsiTheme="minorHAnsi" w:cstheme="minorHAnsi"/>
                <w:b/>
                <w:bCs/>
                <w:color w:val="000000"/>
                <w:sz w:val="20"/>
                <w:szCs w:val="20"/>
              </w:rPr>
            </w:pPr>
          </w:p>
        </w:tc>
        <w:tc>
          <w:tcPr>
            <w:tcW w:w="576" w:type="pct"/>
            <w:tcBorders>
              <w:left w:val="nil"/>
              <w:bottom w:val="single" w:sz="4" w:space="0" w:color="auto"/>
              <w:right w:val="nil"/>
            </w:tcBorders>
            <w:vAlign w:val="bottom"/>
          </w:tcPr>
          <w:p w14:paraId="3EF532F1"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31/12/2020</w:t>
            </w:r>
          </w:p>
        </w:tc>
      </w:tr>
      <w:tr w:rsidR="0013173C" w:rsidRPr="00252D7B" w14:paraId="77221496" w14:textId="77777777" w:rsidTr="00F6584E">
        <w:trPr>
          <w:trHeight w:val="315"/>
        </w:trPr>
        <w:tc>
          <w:tcPr>
            <w:tcW w:w="2917" w:type="pct"/>
            <w:tcBorders>
              <w:top w:val="nil"/>
              <w:left w:val="nil"/>
              <w:bottom w:val="nil"/>
              <w:right w:val="nil"/>
            </w:tcBorders>
            <w:shd w:val="clear" w:color="auto" w:fill="auto"/>
            <w:noWrap/>
            <w:vAlign w:val="center"/>
          </w:tcPr>
          <w:p w14:paraId="03B002FC" w14:textId="77777777" w:rsidR="0013173C" w:rsidRPr="00252D7B" w:rsidRDefault="0013173C" w:rsidP="00F6584E">
            <w:pPr>
              <w:spacing w:after="120"/>
              <w:jc w:val="both"/>
              <w:rPr>
                <w:rFonts w:asciiTheme="minorHAnsi" w:hAnsiTheme="minorHAnsi" w:cstheme="minorHAnsi"/>
                <w:color w:val="000000"/>
                <w:sz w:val="20"/>
                <w:szCs w:val="20"/>
              </w:rPr>
            </w:pPr>
            <w:r w:rsidRPr="00252D7B">
              <w:rPr>
                <w:rFonts w:asciiTheme="minorHAnsi" w:hAnsiTheme="minorHAnsi" w:cstheme="minorHAnsi"/>
                <w:color w:val="000000"/>
                <w:sz w:val="20"/>
                <w:szCs w:val="20"/>
              </w:rPr>
              <w:t>Juros e Encargos de Mora sobre Receitas</w:t>
            </w:r>
          </w:p>
        </w:tc>
        <w:tc>
          <w:tcPr>
            <w:tcW w:w="379" w:type="pct"/>
            <w:tcBorders>
              <w:top w:val="nil"/>
              <w:left w:val="nil"/>
              <w:bottom w:val="nil"/>
              <w:right w:val="nil"/>
            </w:tcBorders>
            <w:shd w:val="clear" w:color="auto" w:fill="auto"/>
            <w:noWrap/>
            <w:vAlign w:val="bottom"/>
          </w:tcPr>
          <w:p w14:paraId="126F3D9D" w14:textId="77777777" w:rsidR="0013173C" w:rsidRPr="00252D7B" w:rsidRDefault="0013173C" w:rsidP="00F6584E">
            <w:pPr>
              <w:spacing w:after="120"/>
              <w:jc w:val="right"/>
              <w:rPr>
                <w:rFonts w:asciiTheme="minorHAnsi" w:hAnsiTheme="minorHAnsi" w:cstheme="minorHAnsi"/>
                <w:color w:val="000000"/>
                <w:sz w:val="20"/>
                <w:szCs w:val="20"/>
              </w:rPr>
            </w:pPr>
          </w:p>
        </w:tc>
        <w:tc>
          <w:tcPr>
            <w:tcW w:w="576" w:type="pct"/>
            <w:tcBorders>
              <w:top w:val="nil"/>
              <w:left w:val="nil"/>
              <w:bottom w:val="nil"/>
              <w:right w:val="nil"/>
            </w:tcBorders>
            <w:shd w:val="clear" w:color="auto" w:fill="auto"/>
            <w:noWrap/>
            <w:vAlign w:val="center"/>
          </w:tcPr>
          <w:p w14:paraId="509B6F20"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27.585</w:t>
            </w:r>
          </w:p>
        </w:tc>
        <w:tc>
          <w:tcPr>
            <w:tcW w:w="553" w:type="pct"/>
            <w:tcBorders>
              <w:top w:val="nil"/>
              <w:left w:val="nil"/>
              <w:bottom w:val="nil"/>
              <w:right w:val="nil"/>
            </w:tcBorders>
          </w:tcPr>
          <w:p w14:paraId="7602F637" w14:textId="77777777" w:rsidR="0013173C" w:rsidRPr="00252D7B" w:rsidRDefault="0013173C" w:rsidP="00F6584E">
            <w:pPr>
              <w:spacing w:after="120"/>
              <w:jc w:val="right"/>
              <w:rPr>
                <w:rFonts w:asciiTheme="minorHAnsi" w:hAnsiTheme="minorHAnsi" w:cstheme="minorHAnsi"/>
                <w:color w:val="000000"/>
                <w:sz w:val="20"/>
                <w:szCs w:val="20"/>
              </w:rPr>
            </w:pPr>
          </w:p>
        </w:tc>
        <w:tc>
          <w:tcPr>
            <w:tcW w:w="576" w:type="pct"/>
            <w:tcBorders>
              <w:top w:val="nil"/>
              <w:left w:val="nil"/>
              <w:bottom w:val="nil"/>
              <w:right w:val="nil"/>
            </w:tcBorders>
            <w:vAlign w:val="center"/>
          </w:tcPr>
          <w:p w14:paraId="6AAC82C8"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40.080</w:t>
            </w:r>
          </w:p>
        </w:tc>
      </w:tr>
      <w:tr w:rsidR="0013173C" w:rsidRPr="00252D7B" w14:paraId="27978059" w14:textId="77777777" w:rsidTr="00F6584E">
        <w:trPr>
          <w:trHeight w:val="315"/>
        </w:trPr>
        <w:tc>
          <w:tcPr>
            <w:tcW w:w="2917" w:type="pct"/>
            <w:tcBorders>
              <w:top w:val="nil"/>
              <w:left w:val="nil"/>
              <w:bottom w:val="nil"/>
              <w:right w:val="nil"/>
            </w:tcBorders>
            <w:shd w:val="clear" w:color="auto" w:fill="auto"/>
            <w:noWrap/>
            <w:vAlign w:val="center"/>
            <w:hideMark/>
          </w:tcPr>
          <w:p w14:paraId="717CA7D7" w14:textId="77777777" w:rsidR="0013173C" w:rsidRPr="00252D7B" w:rsidRDefault="0013173C" w:rsidP="00F6584E">
            <w:pPr>
              <w:spacing w:after="120"/>
              <w:rPr>
                <w:rFonts w:asciiTheme="minorHAnsi" w:hAnsiTheme="minorHAnsi" w:cstheme="minorHAnsi"/>
                <w:color w:val="000000"/>
                <w:sz w:val="20"/>
                <w:szCs w:val="20"/>
              </w:rPr>
            </w:pPr>
            <w:r w:rsidRPr="00252D7B">
              <w:rPr>
                <w:rFonts w:asciiTheme="minorHAnsi" w:hAnsiTheme="minorHAnsi" w:cstheme="minorHAnsi"/>
                <w:color w:val="000000"/>
                <w:sz w:val="20"/>
                <w:szCs w:val="20"/>
              </w:rPr>
              <w:t xml:space="preserve">Atualização Monetária dos Contratos de Permissão de Uso de Pátios </w:t>
            </w:r>
          </w:p>
        </w:tc>
        <w:tc>
          <w:tcPr>
            <w:tcW w:w="379" w:type="pct"/>
            <w:tcBorders>
              <w:top w:val="nil"/>
              <w:left w:val="nil"/>
              <w:bottom w:val="nil"/>
              <w:right w:val="nil"/>
            </w:tcBorders>
            <w:shd w:val="clear" w:color="auto" w:fill="auto"/>
            <w:noWrap/>
            <w:vAlign w:val="bottom"/>
          </w:tcPr>
          <w:p w14:paraId="563FCBEE" w14:textId="77777777" w:rsidR="0013173C" w:rsidRPr="00252D7B" w:rsidRDefault="0013173C" w:rsidP="00F6584E">
            <w:pPr>
              <w:spacing w:after="120"/>
              <w:jc w:val="right"/>
              <w:rPr>
                <w:rFonts w:asciiTheme="minorHAnsi" w:hAnsiTheme="minorHAnsi" w:cstheme="minorHAnsi"/>
                <w:color w:val="000000"/>
                <w:sz w:val="20"/>
                <w:szCs w:val="20"/>
              </w:rPr>
            </w:pPr>
          </w:p>
        </w:tc>
        <w:tc>
          <w:tcPr>
            <w:tcW w:w="576" w:type="pct"/>
            <w:tcBorders>
              <w:top w:val="nil"/>
              <w:left w:val="nil"/>
              <w:bottom w:val="nil"/>
              <w:right w:val="nil"/>
            </w:tcBorders>
            <w:shd w:val="clear" w:color="auto" w:fill="auto"/>
            <w:noWrap/>
            <w:vAlign w:val="center"/>
            <w:hideMark/>
          </w:tcPr>
          <w:p w14:paraId="687F47CB"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4.720.703</w:t>
            </w:r>
          </w:p>
        </w:tc>
        <w:tc>
          <w:tcPr>
            <w:tcW w:w="553" w:type="pct"/>
            <w:tcBorders>
              <w:top w:val="nil"/>
              <w:left w:val="nil"/>
              <w:bottom w:val="nil"/>
              <w:right w:val="nil"/>
            </w:tcBorders>
          </w:tcPr>
          <w:p w14:paraId="75F22AE2" w14:textId="77777777" w:rsidR="0013173C" w:rsidRPr="00252D7B" w:rsidRDefault="0013173C" w:rsidP="00F6584E">
            <w:pPr>
              <w:spacing w:after="120"/>
              <w:jc w:val="right"/>
              <w:rPr>
                <w:rFonts w:asciiTheme="minorHAnsi" w:hAnsiTheme="minorHAnsi" w:cstheme="minorHAnsi"/>
                <w:color w:val="000000"/>
                <w:sz w:val="20"/>
                <w:szCs w:val="20"/>
              </w:rPr>
            </w:pPr>
          </w:p>
        </w:tc>
        <w:tc>
          <w:tcPr>
            <w:tcW w:w="576" w:type="pct"/>
            <w:tcBorders>
              <w:top w:val="nil"/>
              <w:left w:val="nil"/>
              <w:bottom w:val="nil"/>
              <w:right w:val="nil"/>
            </w:tcBorders>
            <w:vAlign w:val="center"/>
          </w:tcPr>
          <w:p w14:paraId="66640EC5"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4.950.719</w:t>
            </w:r>
          </w:p>
        </w:tc>
      </w:tr>
      <w:tr w:rsidR="0013173C" w:rsidRPr="00252D7B" w14:paraId="2D31A5E6" w14:textId="77777777" w:rsidTr="00F6584E">
        <w:trPr>
          <w:trHeight w:val="315"/>
        </w:trPr>
        <w:tc>
          <w:tcPr>
            <w:tcW w:w="2917" w:type="pct"/>
            <w:tcBorders>
              <w:top w:val="single" w:sz="8" w:space="0" w:color="auto"/>
              <w:left w:val="nil"/>
              <w:bottom w:val="single" w:sz="8" w:space="0" w:color="auto"/>
              <w:right w:val="nil"/>
            </w:tcBorders>
            <w:shd w:val="clear" w:color="auto" w:fill="auto"/>
            <w:noWrap/>
            <w:vAlign w:val="bottom"/>
            <w:hideMark/>
          </w:tcPr>
          <w:p w14:paraId="7A239591" w14:textId="77777777" w:rsidR="0013173C" w:rsidRPr="00252D7B" w:rsidRDefault="0013173C" w:rsidP="00F6584E">
            <w:pPr>
              <w:spacing w:after="120"/>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TOTAL</w:t>
            </w:r>
          </w:p>
        </w:tc>
        <w:tc>
          <w:tcPr>
            <w:tcW w:w="379" w:type="pct"/>
            <w:tcBorders>
              <w:top w:val="single" w:sz="8" w:space="0" w:color="auto"/>
              <w:left w:val="nil"/>
              <w:bottom w:val="single" w:sz="8" w:space="0" w:color="auto"/>
              <w:right w:val="nil"/>
            </w:tcBorders>
            <w:shd w:val="clear" w:color="auto" w:fill="auto"/>
            <w:noWrap/>
            <w:vAlign w:val="bottom"/>
          </w:tcPr>
          <w:p w14:paraId="422DE791" w14:textId="77777777" w:rsidR="0013173C" w:rsidRPr="00252D7B" w:rsidRDefault="0013173C" w:rsidP="00F6584E">
            <w:pPr>
              <w:spacing w:after="120"/>
              <w:jc w:val="right"/>
              <w:rPr>
                <w:rFonts w:asciiTheme="minorHAnsi" w:hAnsiTheme="minorHAnsi" w:cstheme="minorHAnsi"/>
                <w:b/>
                <w:bCs/>
                <w:color w:val="000000"/>
                <w:sz w:val="20"/>
                <w:szCs w:val="20"/>
              </w:rPr>
            </w:pPr>
          </w:p>
        </w:tc>
        <w:tc>
          <w:tcPr>
            <w:tcW w:w="576" w:type="pct"/>
            <w:tcBorders>
              <w:top w:val="single" w:sz="8" w:space="0" w:color="auto"/>
              <w:left w:val="nil"/>
              <w:bottom w:val="single" w:sz="8" w:space="0" w:color="auto"/>
              <w:right w:val="nil"/>
            </w:tcBorders>
            <w:shd w:val="clear" w:color="auto" w:fill="auto"/>
            <w:noWrap/>
            <w:vAlign w:val="center"/>
            <w:hideMark/>
          </w:tcPr>
          <w:p w14:paraId="7619844F"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4.748.288</w:t>
            </w:r>
          </w:p>
        </w:tc>
        <w:tc>
          <w:tcPr>
            <w:tcW w:w="553" w:type="pct"/>
            <w:tcBorders>
              <w:top w:val="single" w:sz="8" w:space="0" w:color="auto"/>
              <w:left w:val="nil"/>
              <w:bottom w:val="single" w:sz="8" w:space="0" w:color="auto"/>
              <w:right w:val="nil"/>
            </w:tcBorders>
          </w:tcPr>
          <w:p w14:paraId="4BF5B459" w14:textId="77777777" w:rsidR="0013173C" w:rsidRPr="00252D7B" w:rsidRDefault="0013173C" w:rsidP="00F6584E">
            <w:pPr>
              <w:spacing w:after="120"/>
              <w:jc w:val="right"/>
              <w:rPr>
                <w:rFonts w:asciiTheme="minorHAnsi" w:hAnsiTheme="minorHAnsi" w:cstheme="minorHAnsi"/>
                <w:b/>
                <w:bCs/>
                <w:color w:val="000000"/>
                <w:sz w:val="20"/>
                <w:szCs w:val="20"/>
              </w:rPr>
            </w:pPr>
          </w:p>
        </w:tc>
        <w:tc>
          <w:tcPr>
            <w:tcW w:w="576" w:type="pct"/>
            <w:tcBorders>
              <w:top w:val="single" w:sz="8" w:space="0" w:color="auto"/>
              <w:left w:val="nil"/>
              <w:bottom w:val="single" w:sz="8" w:space="0" w:color="auto"/>
              <w:right w:val="nil"/>
            </w:tcBorders>
            <w:vAlign w:val="center"/>
          </w:tcPr>
          <w:p w14:paraId="2C1498AB"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4.990.799</w:t>
            </w:r>
          </w:p>
        </w:tc>
      </w:tr>
    </w:tbl>
    <w:p w14:paraId="64B630DC" w14:textId="77777777" w:rsidR="0013173C" w:rsidRPr="00252D7B" w:rsidRDefault="0013173C" w:rsidP="0013173C">
      <w:pPr>
        <w:spacing w:before="120" w:after="120"/>
        <w:ind w:right="57"/>
        <w:jc w:val="both"/>
        <w:rPr>
          <w:rFonts w:asciiTheme="minorHAnsi" w:hAnsiTheme="minorHAnsi" w:cstheme="minorHAnsi"/>
          <w:sz w:val="24"/>
          <w:szCs w:val="24"/>
        </w:rPr>
      </w:pPr>
    </w:p>
    <w:p w14:paraId="3C7D4CA0" w14:textId="77777777" w:rsidR="0013173C" w:rsidRPr="00252D7B" w:rsidRDefault="0013173C" w:rsidP="0013173C">
      <w:pPr>
        <w:spacing w:before="120" w:after="120"/>
        <w:ind w:right="57"/>
        <w:jc w:val="both"/>
        <w:rPr>
          <w:rFonts w:asciiTheme="minorHAnsi" w:hAnsiTheme="minorHAnsi" w:cstheme="minorHAnsi"/>
          <w:sz w:val="24"/>
          <w:szCs w:val="24"/>
        </w:rPr>
      </w:pPr>
      <w:r w:rsidRPr="00252D7B">
        <w:rPr>
          <w:rFonts w:asciiTheme="minorHAnsi" w:hAnsiTheme="minorHAnsi" w:cstheme="minorHAnsi"/>
          <w:sz w:val="24"/>
          <w:szCs w:val="24"/>
        </w:rPr>
        <w:t>As receitas financeiras da Valec reconhecidas são provindas das atualizações monetárias sobre os direitos a receber dos Contratos de Permissões de Uso de Pátios, bem como juros de mora por recebimento de receitas em atraso.</w:t>
      </w:r>
    </w:p>
    <w:p w14:paraId="2DF174C3" w14:textId="77777777" w:rsidR="0013173C" w:rsidRPr="00252D7B" w:rsidRDefault="0013173C" w:rsidP="0013173C">
      <w:pPr>
        <w:spacing w:before="120" w:after="120"/>
        <w:ind w:right="57"/>
        <w:jc w:val="both"/>
        <w:rPr>
          <w:rFonts w:asciiTheme="minorHAnsi" w:hAnsiTheme="minorHAnsi" w:cstheme="minorHAnsi"/>
          <w:sz w:val="24"/>
          <w:szCs w:val="24"/>
        </w:rPr>
      </w:pPr>
    </w:p>
    <w:p w14:paraId="23192021" w14:textId="77777777" w:rsidR="0013173C" w:rsidRPr="00252D7B" w:rsidRDefault="0013173C" w:rsidP="008D0C4F">
      <w:pPr>
        <w:pStyle w:val="Ttulo3"/>
        <w:rPr>
          <w:rFonts w:asciiTheme="minorHAnsi" w:hAnsiTheme="minorHAnsi" w:cstheme="minorHAnsi"/>
        </w:rPr>
      </w:pPr>
      <w:bookmarkStart w:id="734" w:name="_Toc97918857"/>
      <w:bookmarkStart w:id="735" w:name="_Toc103680659"/>
      <w:r w:rsidRPr="00252D7B">
        <w:rPr>
          <w:rFonts w:asciiTheme="minorHAnsi" w:hAnsiTheme="minorHAnsi" w:cstheme="minorHAnsi"/>
        </w:rPr>
        <w:lastRenderedPageBreak/>
        <w:t>Subvenção do Tesouro Nacional</w:t>
      </w:r>
      <w:bookmarkEnd w:id="734"/>
      <w:bookmarkEnd w:id="735"/>
    </w:p>
    <w:p w14:paraId="15F249D0" w14:textId="77777777" w:rsidR="0013173C" w:rsidRPr="00252D7B" w:rsidRDefault="0013173C" w:rsidP="0013173C">
      <w:pPr>
        <w:spacing w:before="120" w:after="120"/>
        <w:ind w:right="57"/>
        <w:jc w:val="both"/>
        <w:rPr>
          <w:rFonts w:asciiTheme="minorHAnsi" w:hAnsiTheme="minorHAnsi" w:cstheme="minorHAnsi"/>
        </w:rPr>
      </w:pPr>
      <w:r w:rsidRPr="00252D7B">
        <w:rPr>
          <w:rFonts w:asciiTheme="minorHAnsi" w:hAnsiTheme="minorHAnsi" w:cstheme="minorHAnsi"/>
          <w:sz w:val="24"/>
          <w:szCs w:val="24"/>
        </w:rPr>
        <w:t>A subvenção para custeio e pessoal repassada à Valec pela Secretaria do Tesouro Nacional totalizou em 2021 R$ 133,7 milhões</w:t>
      </w:r>
      <w:r w:rsidRPr="00252D7B">
        <w:rPr>
          <w:rFonts w:asciiTheme="minorHAnsi" w:hAnsiTheme="minorHAnsi" w:cstheme="minorHAnsi"/>
        </w:rPr>
        <w:t>.</w:t>
      </w:r>
    </w:p>
    <w:p w14:paraId="0B067068" w14:textId="77777777" w:rsidR="0013173C" w:rsidRPr="00252D7B" w:rsidRDefault="0013173C" w:rsidP="0013173C">
      <w:pPr>
        <w:spacing w:before="120" w:after="120"/>
        <w:ind w:right="57"/>
        <w:jc w:val="both"/>
        <w:rPr>
          <w:rFonts w:asciiTheme="minorHAnsi" w:hAnsiTheme="minorHAnsi" w:cstheme="minorHAnsi"/>
        </w:rPr>
      </w:pPr>
    </w:p>
    <w:p w14:paraId="1112EFF8" w14:textId="1102F981" w:rsidR="0013173C" w:rsidRPr="005059B1" w:rsidRDefault="0013173C" w:rsidP="005059B1">
      <w:pPr>
        <w:pStyle w:val="Legenda"/>
        <w:jc w:val="center"/>
        <w:rPr>
          <w:rFonts w:asciiTheme="minorHAnsi" w:hAnsiTheme="minorHAnsi" w:cstheme="minorHAnsi"/>
          <w:sz w:val="20"/>
          <w:szCs w:val="20"/>
        </w:rPr>
      </w:pPr>
      <w:bookmarkStart w:id="736" w:name="_Toc97918932"/>
      <w:bookmarkStart w:id="737" w:name="_Toc103680718"/>
      <w:r w:rsidRPr="00252D7B">
        <w:rPr>
          <w:rFonts w:asciiTheme="minorHAnsi" w:hAnsiTheme="minorHAnsi" w:cstheme="minorHAnsi"/>
          <w:sz w:val="20"/>
          <w:szCs w:val="20"/>
        </w:rPr>
        <w:t xml:space="preserve">Tabela </w:t>
      </w:r>
      <w:r w:rsidRPr="005059B1">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Tabela \* ARABIC </w:instrText>
      </w:r>
      <w:r w:rsidRPr="005059B1">
        <w:rPr>
          <w:rFonts w:asciiTheme="minorHAnsi" w:hAnsiTheme="minorHAnsi" w:cstheme="minorHAnsi"/>
          <w:sz w:val="20"/>
          <w:szCs w:val="20"/>
        </w:rPr>
        <w:fldChar w:fldCharType="separate"/>
      </w:r>
      <w:r w:rsidR="00C12888">
        <w:rPr>
          <w:rFonts w:asciiTheme="minorHAnsi" w:hAnsiTheme="minorHAnsi" w:cstheme="minorHAnsi"/>
          <w:noProof/>
          <w:sz w:val="20"/>
          <w:szCs w:val="20"/>
        </w:rPr>
        <w:t>56</w:t>
      </w:r>
      <w:r w:rsidRPr="005059B1">
        <w:rPr>
          <w:rFonts w:asciiTheme="minorHAnsi" w:hAnsiTheme="minorHAnsi" w:cstheme="minorHAnsi"/>
          <w:sz w:val="20"/>
          <w:szCs w:val="20"/>
        </w:rPr>
        <w:fldChar w:fldCharType="end"/>
      </w:r>
      <w:r w:rsidRPr="00252D7B">
        <w:rPr>
          <w:rFonts w:asciiTheme="minorHAnsi" w:hAnsiTheme="minorHAnsi" w:cstheme="minorHAnsi"/>
          <w:sz w:val="20"/>
          <w:szCs w:val="20"/>
        </w:rPr>
        <w:t xml:space="preserve"> – Subvenção do Tesouro Nacional</w:t>
      </w:r>
      <w:bookmarkEnd w:id="736"/>
      <w:bookmarkEnd w:id="737"/>
    </w:p>
    <w:tbl>
      <w:tblPr>
        <w:tblW w:w="5000" w:type="pct"/>
        <w:tblCellMar>
          <w:left w:w="70" w:type="dxa"/>
          <w:right w:w="70" w:type="dxa"/>
        </w:tblCellMar>
        <w:tblLook w:val="04A0" w:firstRow="1" w:lastRow="0" w:firstColumn="1" w:lastColumn="0" w:noHBand="0" w:noVBand="1"/>
      </w:tblPr>
      <w:tblGrid>
        <w:gridCol w:w="1495"/>
        <w:gridCol w:w="1495"/>
        <w:gridCol w:w="1495"/>
        <w:gridCol w:w="1495"/>
        <w:gridCol w:w="1916"/>
        <w:gridCol w:w="1850"/>
      </w:tblGrid>
      <w:tr w:rsidR="0013173C" w:rsidRPr="00252D7B" w14:paraId="611B851D" w14:textId="77777777" w:rsidTr="00F6584E">
        <w:trPr>
          <w:trHeight w:hRule="exact" w:val="227"/>
        </w:trPr>
        <w:tc>
          <w:tcPr>
            <w:tcW w:w="767" w:type="pct"/>
            <w:tcBorders>
              <w:top w:val="nil"/>
              <w:left w:val="nil"/>
              <w:bottom w:val="single" w:sz="8" w:space="0" w:color="auto"/>
              <w:right w:val="nil"/>
            </w:tcBorders>
            <w:shd w:val="clear" w:color="auto" w:fill="auto"/>
            <w:vAlign w:val="center"/>
            <w:hideMark/>
          </w:tcPr>
          <w:p w14:paraId="1E8CBAB0" w14:textId="77777777" w:rsidR="0013173C" w:rsidRPr="00252D7B" w:rsidRDefault="0013173C" w:rsidP="00F6584E">
            <w:pPr>
              <w:spacing w:after="120"/>
              <w:jc w:val="both"/>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EMPRESA</w:t>
            </w:r>
          </w:p>
        </w:tc>
        <w:tc>
          <w:tcPr>
            <w:tcW w:w="767" w:type="pct"/>
            <w:tcBorders>
              <w:top w:val="nil"/>
              <w:left w:val="nil"/>
              <w:bottom w:val="single" w:sz="8" w:space="0" w:color="auto"/>
              <w:right w:val="nil"/>
            </w:tcBorders>
            <w:shd w:val="clear" w:color="auto" w:fill="auto"/>
            <w:vAlign w:val="center"/>
            <w:hideMark/>
          </w:tcPr>
          <w:p w14:paraId="17E2B141"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w:t>
            </w:r>
          </w:p>
        </w:tc>
        <w:tc>
          <w:tcPr>
            <w:tcW w:w="767" w:type="pct"/>
            <w:tcBorders>
              <w:top w:val="nil"/>
              <w:left w:val="nil"/>
              <w:bottom w:val="single" w:sz="8" w:space="0" w:color="auto"/>
              <w:right w:val="nil"/>
            </w:tcBorders>
            <w:shd w:val="clear" w:color="auto" w:fill="auto"/>
            <w:vAlign w:val="center"/>
            <w:hideMark/>
          </w:tcPr>
          <w:p w14:paraId="6EB6D0BE"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PESSOAL</w:t>
            </w:r>
          </w:p>
        </w:tc>
        <w:tc>
          <w:tcPr>
            <w:tcW w:w="767" w:type="pct"/>
            <w:tcBorders>
              <w:top w:val="nil"/>
              <w:left w:val="nil"/>
              <w:bottom w:val="single" w:sz="8" w:space="0" w:color="auto"/>
              <w:right w:val="nil"/>
            </w:tcBorders>
            <w:shd w:val="clear" w:color="auto" w:fill="auto"/>
            <w:vAlign w:val="center"/>
            <w:hideMark/>
          </w:tcPr>
          <w:p w14:paraId="767309D2"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CUSTEIO</w:t>
            </w:r>
          </w:p>
        </w:tc>
        <w:tc>
          <w:tcPr>
            <w:tcW w:w="983" w:type="pct"/>
            <w:tcBorders>
              <w:top w:val="nil"/>
              <w:left w:val="nil"/>
              <w:bottom w:val="single" w:sz="8" w:space="0" w:color="auto"/>
              <w:right w:val="nil"/>
            </w:tcBorders>
            <w:shd w:val="clear" w:color="auto" w:fill="auto"/>
            <w:vAlign w:val="center"/>
            <w:hideMark/>
          </w:tcPr>
          <w:p w14:paraId="364CC6C9"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31/12/2021</w:t>
            </w:r>
          </w:p>
        </w:tc>
        <w:tc>
          <w:tcPr>
            <w:tcW w:w="949" w:type="pct"/>
            <w:tcBorders>
              <w:top w:val="nil"/>
              <w:left w:val="nil"/>
              <w:bottom w:val="single" w:sz="8" w:space="0" w:color="auto"/>
              <w:right w:val="nil"/>
            </w:tcBorders>
            <w:shd w:val="clear" w:color="auto" w:fill="auto"/>
            <w:vAlign w:val="center"/>
            <w:hideMark/>
          </w:tcPr>
          <w:p w14:paraId="3A72CC7C"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31/12/2020</w:t>
            </w:r>
          </w:p>
        </w:tc>
      </w:tr>
      <w:tr w:rsidR="0013173C" w:rsidRPr="00252D7B" w14:paraId="09D79BF4" w14:textId="77777777" w:rsidTr="00F6584E">
        <w:trPr>
          <w:trHeight w:hRule="exact" w:val="227"/>
        </w:trPr>
        <w:tc>
          <w:tcPr>
            <w:tcW w:w="767" w:type="pct"/>
            <w:tcBorders>
              <w:top w:val="nil"/>
              <w:left w:val="nil"/>
              <w:bottom w:val="nil"/>
              <w:right w:val="nil"/>
            </w:tcBorders>
            <w:shd w:val="clear" w:color="auto" w:fill="auto"/>
            <w:vAlign w:val="center"/>
            <w:hideMark/>
          </w:tcPr>
          <w:p w14:paraId="77CEA217" w14:textId="77777777" w:rsidR="0013173C" w:rsidRPr="00252D7B" w:rsidRDefault="0013173C" w:rsidP="00F6584E">
            <w:pPr>
              <w:spacing w:after="120"/>
              <w:jc w:val="both"/>
              <w:rPr>
                <w:rFonts w:asciiTheme="minorHAnsi" w:hAnsiTheme="minorHAnsi" w:cstheme="minorHAnsi"/>
                <w:color w:val="000000"/>
                <w:sz w:val="20"/>
                <w:szCs w:val="20"/>
              </w:rPr>
            </w:pPr>
            <w:r w:rsidRPr="00252D7B">
              <w:rPr>
                <w:rFonts w:asciiTheme="minorHAnsi" w:hAnsiTheme="minorHAnsi" w:cstheme="minorHAnsi"/>
                <w:color w:val="000000"/>
                <w:sz w:val="20"/>
                <w:szCs w:val="20"/>
              </w:rPr>
              <w:t>Valec</w:t>
            </w:r>
          </w:p>
        </w:tc>
        <w:tc>
          <w:tcPr>
            <w:tcW w:w="767" w:type="pct"/>
            <w:tcBorders>
              <w:top w:val="nil"/>
              <w:left w:val="nil"/>
              <w:bottom w:val="nil"/>
              <w:right w:val="nil"/>
            </w:tcBorders>
            <w:shd w:val="clear" w:color="auto" w:fill="auto"/>
            <w:vAlign w:val="center"/>
            <w:hideMark/>
          </w:tcPr>
          <w:p w14:paraId="4D2D5686" w14:textId="77777777" w:rsidR="0013173C" w:rsidRPr="00252D7B" w:rsidRDefault="0013173C" w:rsidP="00F6584E">
            <w:pPr>
              <w:spacing w:after="120"/>
              <w:jc w:val="both"/>
              <w:rPr>
                <w:rFonts w:asciiTheme="minorHAnsi" w:hAnsiTheme="minorHAnsi" w:cstheme="minorHAnsi"/>
                <w:color w:val="000000"/>
                <w:sz w:val="20"/>
                <w:szCs w:val="20"/>
              </w:rPr>
            </w:pPr>
          </w:p>
        </w:tc>
        <w:tc>
          <w:tcPr>
            <w:tcW w:w="767" w:type="pct"/>
            <w:tcBorders>
              <w:top w:val="nil"/>
              <w:left w:val="nil"/>
              <w:bottom w:val="nil"/>
              <w:right w:val="nil"/>
            </w:tcBorders>
            <w:shd w:val="clear" w:color="auto" w:fill="auto"/>
            <w:vAlign w:val="center"/>
            <w:hideMark/>
          </w:tcPr>
          <w:p w14:paraId="5F5D2A6B"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86.182.303</w:t>
            </w:r>
          </w:p>
        </w:tc>
        <w:tc>
          <w:tcPr>
            <w:tcW w:w="767" w:type="pct"/>
            <w:tcBorders>
              <w:top w:val="nil"/>
              <w:left w:val="nil"/>
              <w:bottom w:val="nil"/>
              <w:right w:val="nil"/>
            </w:tcBorders>
            <w:shd w:val="clear" w:color="auto" w:fill="auto"/>
            <w:vAlign w:val="center"/>
            <w:hideMark/>
          </w:tcPr>
          <w:p w14:paraId="14313F9D"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19.692.186</w:t>
            </w:r>
          </w:p>
        </w:tc>
        <w:tc>
          <w:tcPr>
            <w:tcW w:w="983" w:type="pct"/>
            <w:tcBorders>
              <w:top w:val="nil"/>
              <w:left w:val="nil"/>
              <w:bottom w:val="nil"/>
              <w:right w:val="nil"/>
            </w:tcBorders>
            <w:shd w:val="clear" w:color="auto" w:fill="auto"/>
            <w:vAlign w:val="center"/>
            <w:hideMark/>
          </w:tcPr>
          <w:p w14:paraId="40621D5D"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105.874.489</w:t>
            </w:r>
          </w:p>
        </w:tc>
        <w:tc>
          <w:tcPr>
            <w:tcW w:w="949" w:type="pct"/>
            <w:tcBorders>
              <w:top w:val="nil"/>
              <w:left w:val="nil"/>
              <w:bottom w:val="nil"/>
              <w:right w:val="nil"/>
            </w:tcBorders>
            <w:shd w:val="clear" w:color="auto" w:fill="auto"/>
            <w:vAlign w:val="center"/>
            <w:hideMark/>
          </w:tcPr>
          <w:p w14:paraId="0F0D3C86"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105.297.759</w:t>
            </w:r>
          </w:p>
        </w:tc>
      </w:tr>
      <w:tr w:rsidR="0013173C" w:rsidRPr="00252D7B" w14:paraId="29BBAC6F" w14:textId="77777777" w:rsidTr="00F6584E">
        <w:trPr>
          <w:trHeight w:hRule="exact" w:val="227"/>
        </w:trPr>
        <w:tc>
          <w:tcPr>
            <w:tcW w:w="767" w:type="pct"/>
            <w:tcBorders>
              <w:top w:val="nil"/>
              <w:left w:val="nil"/>
              <w:bottom w:val="nil"/>
              <w:right w:val="nil"/>
            </w:tcBorders>
            <w:shd w:val="clear" w:color="auto" w:fill="auto"/>
            <w:vAlign w:val="center"/>
            <w:hideMark/>
          </w:tcPr>
          <w:p w14:paraId="2F8686C1" w14:textId="77777777" w:rsidR="0013173C" w:rsidRPr="00252D7B" w:rsidRDefault="0013173C" w:rsidP="00F6584E">
            <w:pPr>
              <w:spacing w:after="120"/>
              <w:jc w:val="both"/>
              <w:rPr>
                <w:rFonts w:asciiTheme="minorHAnsi" w:hAnsiTheme="minorHAnsi" w:cstheme="minorHAnsi"/>
                <w:color w:val="000000"/>
                <w:sz w:val="20"/>
                <w:szCs w:val="20"/>
              </w:rPr>
            </w:pPr>
            <w:r w:rsidRPr="00252D7B">
              <w:rPr>
                <w:rFonts w:asciiTheme="minorHAnsi" w:hAnsiTheme="minorHAnsi" w:cstheme="minorHAnsi"/>
                <w:color w:val="000000"/>
                <w:sz w:val="20"/>
                <w:szCs w:val="20"/>
              </w:rPr>
              <w:t>Extinta RFFSA</w:t>
            </w:r>
          </w:p>
        </w:tc>
        <w:tc>
          <w:tcPr>
            <w:tcW w:w="767" w:type="pct"/>
            <w:tcBorders>
              <w:top w:val="nil"/>
              <w:left w:val="nil"/>
              <w:bottom w:val="nil"/>
              <w:right w:val="nil"/>
            </w:tcBorders>
            <w:shd w:val="clear" w:color="auto" w:fill="auto"/>
            <w:vAlign w:val="center"/>
            <w:hideMark/>
          </w:tcPr>
          <w:p w14:paraId="56EC6CE8" w14:textId="77777777" w:rsidR="0013173C" w:rsidRPr="00252D7B" w:rsidRDefault="0013173C" w:rsidP="00F6584E">
            <w:pPr>
              <w:spacing w:after="120"/>
              <w:jc w:val="both"/>
              <w:rPr>
                <w:rFonts w:asciiTheme="minorHAnsi" w:hAnsiTheme="minorHAnsi" w:cstheme="minorHAnsi"/>
                <w:color w:val="000000"/>
                <w:sz w:val="20"/>
                <w:szCs w:val="20"/>
              </w:rPr>
            </w:pPr>
          </w:p>
        </w:tc>
        <w:tc>
          <w:tcPr>
            <w:tcW w:w="767" w:type="pct"/>
            <w:tcBorders>
              <w:top w:val="nil"/>
              <w:left w:val="nil"/>
              <w:bottom w:val="nil"/>
              <w:right w:val="nil"/>
            </w:tcBorders>
            <w:shd w:val="clear" w:color="auto" w:fill="auto"/>
            <w:vAlign w:val="center"/>
            <w:hideMark/>
          </w:tcPr>
          <w:p w14:paraId="471AF578"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21.282.286</w:t>
            </w:r>
          </w:p>
        </w:tc>
        <w:tc>
          <w:tcPr>
            <w:tcW w:w="767" w:type="pct"/>
            <w:tcBorders>
              <w:top w:val="nil"/>
              <w:left w:val="nil"/>
              <w:bottom w:val="nil"/>
              <w:right w:val="nil"/>
            </w:tcBorders>
            <w:shd w:val="clear" w:color="auto" w:fill="auto"/>
            <w:vAlign w:val="center"/>
            <w:hideMark/>
          </w:tcPr>
          <w:p w14:paraId="7047D9BA"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1.494.452</w:t>
            </w:r>
          </w:p>
        </w:tc>
        <w:tc>
          <w:tcPr>
            <w:tcW w:w="983" w:type="pct"/>
            <w:tcBorders>
              <w:top w:val="nil"/>
              <w:left w:val="nil"/>
              <w:bottom w:val="nil"/>
              <w:right w:val="nil"/>
            </w:tcBorders>
            <w:shd w:val="clear" w:color="auto" w:fill="auto"/>
            <w:vAlign w:val="center"/>
            <w:hideMark/>
          </w:tcPr>
          <w:p w14:paraId="0F78AC4F"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22.776.738</w:t>
            </w:r>
          </w:p>
        </w:tc>
        <w:tc>
          <w:tcPr>
            <w:tcW w:w="949" w:type="pct"/>
            <w:tcBorders>
              <w:top w:val="nil"/>
              <w:left w:val="nil"/>
              <w:bottom w:val="nil"/>
              <w:right w:val="nil"/>
            </w:tcBorders>
            <w:shd w:val="clear" w:color="auto" w:fill="auto"/>
            <w:vAlign w:val="center"/>
            <w:hideMark/>
          </w:tcPr>
          <w:p w14:paraId="2377105E"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24.165.165</w:t>
            </w:r>
          </w:p>
        </w:tc>
      </w:tr>
      <w:tr w:rsidR="0013173C" w:rsidRPr="00252D7B" w14:paraId="3667036F" w14:textId="77777777" w:rsidTr="00F6584E">
        <w:trPr>
          <w:trHeight w:hRule="exact" w:val="227"/>
        </w:trPr>
        <w:tc>
          <w:tcPr>
            <w:tcW w:w="767" w:type="pct"/>
            <w:tcBorders>
              <w:top w:val="nil"/>
              <w:left w:val="nil"/>
              <w:bottom w:val="single" w:sz="8" w:space="0" w:color="auto"/>
              <w:right w:val="nil"/>
            </w:tcBorders>
            <w:shd w:val="clear" w:color="auto" w:fill="auto"/>
            <w:vAlign w:val="center"/>
            <w:hideMark/>
          </w:tcPr>
          <w:p w14:paraId="1FD2E057" w14:textId="77777777" w:rsidR="0013173C" w:rsidRPr="00252D7B" w:rsidRDefault="0013173C" w:rsidP="00F6584E">
            <w:pPr>
              <w:spacing w:after="120"/>
              <w:jc w:val="both"/>
              <w:rPr>
                <w:rFonts w:asciiTheme="minorHAnsi" w:hAnsiTheme="minorHAnsi" w:cstheme="minorHAnsi"/>
                <w:color w:val="000000"/>
                <w:sz w:val="20"/>
                <w:szCs w:val="20"/>
              </w:rPr>
            </w:pPr>
            <w:r w:rsidRPr="00252D7B">
              <w:rPr>
                <w:rFonts w:asciiTheme="minorHAnsi" w:hAnsiTheme="minorHAnsi" w:cstheme="minorHAnsi"/>
                <w:color w:val="000000"/>
                <w:sz w:val="20"/>
                <w:szCs w:val="20"/>
              </w:rPr>
              <w:t>Extinto GEIPOT</w:t>
            </w:r>
          </w:p>
        </w:tc>
        <w:tc>
          <w:tcPr>
            <w:tcW w:w="767" w:type="pct"/>
            <w:tcBorders>
              <w:top w:val="nil"/>
              <w:left w:val="nil"/>
              <w:bottom w:val="single" w:sz="8" w:space="0" w:color="auto"/>
              <w:right w:val="nil"/>
            </w:tcBorders>
            <w:shd w:val="clear" w:color="auto" w:fill="auto"/>
            <w:vAlign w:val="center"/>
            <w:hideMark/>
          </w:tcPr>
          <w:p w14:paraId="77F51E0D"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 </w:t>
            </w:r>
          </w:p>
        </w:tc>
        <w:tc>
          <w:tcPr>
            <w:tcW w:w="767" w:type="pct"/>
            <w:tcBorders>
              <w:top w:val="nil"/>
              <w:left w:val="nil"/>
              <w:bottom w:val="single" w:sz="8" w:space="0" w:color="auto"/>
              <w:right w:val="nil"/>
            </w:tcBorders>
            <w:shd w:val="clear" w:color="auto" w:fill="auto"/>
            <w:vAlign w:val="center"/>
            <w:hideMark/>
          </w:tcPr>
          <w:p w14:paraId="118EDE9F"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4.721.359</w:t>
            </w:r>
          </w:p>
        </w:tc>
        <w:tc>
          <w:tcPr>
            <w:tcW w:w="767" w:type="pct"/>
            <w:tcBorders>
              <w:top w:val="nil"/>
              <w:left w:val="nil"/>
              <w:bottom w:val="single" w:sz="8" w:space="0" w:color="auto"/>
              <w:right w:val="nil"/>
            </w:tcBorders>
            <w:shd w:val="clear" w:color="auto" w:fill="auto"/>
            <w:vAlign w:val="center"/>
            <w:hideMark/>
          </w:tcPr>
          <w:p w14:paraId="30FF4404"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335.459</w:t>
            </w:r>
          </w:p>
        </w:tc>
        <w:tc>
          <w:tcPr>
            <w:tcW w:w="983" w:type="pct"/>
            <w:tcBorders>
              <w:top w:val="nil"/>
              <w:left w:val="nil"/>
              <w:bottom w:val="single" w:sz="8" w:space="0" w:color="auto"/>
              <w:right w:val="nil"/>
            </w:tcBorders>
            <w:shd w:val="clear" w:color="auto" w:fill="auto"/>
            <w:vAlign w:val="center"/>
            <w:hideMark/>
          </w:tcPr>
          <w:p w14:paraId="4BE12784"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5.056.818</w:t>
            </w:r>
          </w:p>
        </w:tc>
        <w:tc>
          <w:tcPr>
            <w:tcW w:w="949" w:type="pct"/>
            <w:tcBorders>
              <w:top w:val="nil"/>
              <w:left w:val="nil"/>
              <w:bottom w:val="single" w:sz="8" w:space="0" w:color="auto"/>
              <w:right w:val="nil"/>
            </w:tcBorders>
            <w:shd w:val="clear" w:color="auto" w:fill="auto"/>
            <w:vAlign w:val="center"/>
            <w:hideMark/>
          </w:tcPr>
          <w:p w14:paraId="17B5D988" w14:textId="77777777" w:rsidR="0013173C" w:rsidRPr="00252D7B" w:rsidRDefault="0013173C" w:rsidP="00F6584E">
            <w:pPr>
              <w:spacing w:after="120"/>
              <w:jc w:val="right"/>
              <w:rPr>
                <w:rFonts w:asciiTheme="minorHAnsi" w:hAnsiTheme="minorHAnsi" w:cstheme="minorHAnsi"/>
                <w:color w:val="000000"/>
                <w:sz w:val="20"/>
                <w:szCs w:val="20"/>
              </w:rPr>
            </w:pPr>
            <w:r w:rsidRPr="00252D7B">
              <w:rPr>
                <w:rFonts w:asciiTheme="minorHAnsi" w:hAnsiTheme="minorHAnsi" w:cstheme="minorHAnsi"/>
                <w:color w:val="000000"/>
                <w:sz w:val="20"/>
                <w:szCs w:val="20"/>
              </w:rPr>
              <w:t>5.937.101</w:t>
            </w:r>
          </w:p>
        </w:tc>
      </w:tr>
      <w:tr w:rsidR="0013173C" w:rsidRPr="00252D7B" w14:paraId="316F71B9" w14:textId="77777777" w:rsidTr="00F6584E">
        <w:trPr>
          <w:trHeight w:hRule="exact" w:val="227"/>
        </w:trPr>
        <w:tc>
          <w:tcPr>
            <w:tcW w:w="767" w:type="pct"/>
            <w:tcBorders>
              <w:top w:val="nil"/>
              <w:left w:val="nil"/>
              <w:bottom w:val="single" w:sz="8" w:space="0" w:color="auto"/>
              <w:right w:val="nil"/>
            </w:tcBorders>
            <w:shd w:val="clear" w:color="auto" w:fill="auto"/>
            <w:vAlign w:val="center"/>
            <w:hideMark/>
          </w:tcPr>
          <w:p w14:paraId="28FB88AD" w14:textId="77777777" w:rsidR="0013173C" w:rsidRPr="00252D7B" w:rsidRDefault="0013173C" w:rsidP="00F6584E">
            <w:pPr>
              <w:spacing w:after="120"/>
              <w:jc w:val="both"/>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Total Geral</w:t>
            </w:r>
          </w:p>
        </w:tc>
        <w:tc>
          <w:tcPr>
            <w:tcW w:w="767" w:type="pct"/>
            <w:tcBorders>
              <w:top w:val="nil"/>
              <w:left w:val="nil"/>
              <w:bottom w:val="single" w:sz="8" w:space="0" w:color="auto"/>
              <w:right w:val="nil"/>
            </w:tcBorders>
            <w:shd w:val="clear" w:color="auto" w:fill="auto"/>
            <w:vAlign w:val="center"/>
            <w:hideMark/>
          </w:tcPr>
          <w:p w14:paraId="54B71609"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 </w:t>
            </w:r>
          </w:p>
        </w:tc>
        <w:tc>
          <w:tcPr>
            <w:tcW w:w="767" w:type="pct"/>
            <w:tcBorders>
              <w:top w:val="nil"/>
              <w:left w:val="nil"/>
              <w:bottom w:val="single" w:sz="8" w:space="0" w:color="auto"/>
              <w:right w:val="nil"/>
            </w:tcBorders>
            <w:shd w:val="clear" w:color="auto" w:fill="auto"/>
            <w:vAlign w:val="center"/>
            <w:hideMark/>
          </w:tcPr>
          <w:p w14:paraId="0ED53229"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112.185.948</w:t>
            </w:r>
          </w:p>
        </w:tc>
        <w:tc>
          <w:tcPr>
            <w:tcW w:w="767" w:type="pct"/>
            <w:tcBorders>
              <w:top w:val="nil"/>
              <w:left w:val="nil"/>
              <w:bottom w:val="single" w:sz="8" w:space="0" w:color="auto"/>
              <w:right w:val="nil"/>
            </w:tcBorders>
            <w:shd w:val="clear" w:color="auto" w:fill="auto"/>
            <w:vAlign w:val="center"/>
            <w:hideMark/>
          </w:tcPr>
          <w:p w14:paraId="23F20F09"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21.522.097</w:t>
            </w:r>
          </w:p>
        </w:tc>
        <w:tc>
          <w:tcPr>
            <w:tcW w:w="983" w:type="pct"/>
            <w:tcBorders>
              <w:top w:val="nil"/>
              <w:left w:val="nil"/>
              <w:bottom w:val="single" w:sz="8" w:space="0" w:color="auto"/>
              <w:right w:val="nil"/>
            </w:tcBorders>
            <w:shd w:val="clear" w:color="auto" w:fill="auto"/>
            <w:vAlign w:val="center"/>
            <w:hideMark/>
          </w:tcPr>
          <w:p w14:paraId="18379255"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133.708.045</w:t>
            </w:r>
          </w:p>
        </w:tc>
        <w:tc>
          <w:tcPr>
            <w:tcW w:w="949" w:type="pct"/>
            <w:tcBorders>
              <w:top w:val="nil"/>
              <w:left w:val="nil"/>
              <w:bottom w:val="single" w:sz="8" w:space="0" w:color="auto"/>
              <w:right w:val="nil"/>
            </w:tcBorders>
            <w:shd w:val="clear" w:color="auto" w:fill="auto"/>
            <w:vAlign w:val="center"/>
            <w:hideMark/>
          </w:tcPr>
          <w:p w14:paraId="26F573FD" w14:textId="77777777" w:rsidR="0013173C" w:rsidRPr="00252D7B" w:rsidRDefault="0013173C" w:rsidP="00F6584E">
            <w:pPr>
              <w:spacing w:after="120"/>
              <w:jc w:val="right"/>
              <w:rPr>
                <w:rFonts w:asciiTheme="minorHAnsi" w:hAnsiTheme="minorHAnsi" w:cstheme="minorHAnsi"/>
                <w:b/>
                <w:bCs/>
                <w:color w:val="000000"/>
                <w:sz w:val="20"/>
                <w:szCs w:val="20"/>
              </w:rPr>
            </w:pPr>
            <w:r w:rsidRPr="00252D7B">
              <w:rPr>
                <w:rFonts w:asciiTheme="minorHAnsi" w:hAnsiTheme="minorHAnsi" w:cstheme="minorHAnsi"/>
                <w:b/>
                <w:bCs/>
                <w:color w:val="000000"/>
                <w:sz w:val="20"/>
                <w:szCs w:val="20"/>
              </w:rPr>
              <w:t>135.400.025</w:t>
            </w:r>
          </w:p>
        </w:tc>
      </w:tr>
    </w:tbl>
    <w:p w14:paraId="1B6AA49F" w14:textId="77777777" w:rsidR="0013173C" w:rsidRPr="00252D7B" w:rsidRDefault="0013173C" w:rsidP="0013173C">
      <w:pPr>
        <w:spacing w:before="120" w:after="120"/>
        <w:rPr>
          <w:rFonts w:asciiTheme="minorHAnsi" w:hAnsiTheme="minorHAnsi" w:cstheme="minorHAnsi"/>
        </w:rPr>
      </w:pPr>
    </w:p>
    <w:p w14:paraId="653A1624" w14:textId="77777777" w:rsidR="0013173C" w:rsidRPr="00252D7B" w:rsidRDefault="0013173C" w:rsidP="0013173C">
      <w:pPr>
        <w:spacing w:before="120" w:after="120"/>
        <w:rPr>
          <w:rFonts w:asciiTheme="minorHAnsi" w:hAnsiTheme="minorHAnsi" w:cstheme="minorHAnsi"/>
        </w:rPr>
      </w:pPr>
    </w:p>
    <w:p w14:paraId="00704DA1" w14:textId="77777777" w:rsidR="0013173C" w:rsidRPr="00252D7B" w:rsidRDefault="0013173C" w:rsidP="00F100A9">
      <w:pPr>
        <w:pStyle w:val="Ttulo2"/>
      </w:pPr>
      <w:bookmarkStart w:id="738" w:name="_Toc97918858"/>
      <w:bookmarkStart w:id="739" w:name="_Toc103680660"/>
      <w:r w:rsidRPr="00252D7B">
        <w:t>Execução descentralizada com transferência de recursos</w:t>
      </w:r>
      <w:bookmarkEnd w:id="738"/>
      <w:bookmarkEnd w:id="739"/>
    </w:p>
    <w:p w14:paraId="6F5ED833" w14:textId="77777777" w:rsidR="0013173C" w:rsidRPr="00252D7B" w:rsidRDefault="0013173C" w:rsidP="0013173C">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Os Termos de Execução Descentralizada celebrados entre a Valec e órgãos vinculados à União para execução de serviços de interesse desta empresa, com valor a comprovar em 31 de dezembro de 2021, são:</w:t>
      </w:r>
    </w:p>
    <w:p w14:paraId="24991E02" w14:textId="77777777" w:rsidR="0013173C" w:rsidRPr="00252D7B" w:rsidRDefault="0013173C" w:rsidP="0013173C">
      <w:pPr>
        <w:spacing w:before="120" w:after="120"/>
        <w:jc w:val="both"/>
        <w:rPr>
          <w:rFonts w:asciiTheme="minorHAnsi" w:hAnsiTheme="minorHAnsi" w:cstheme="minorHAnsi"/>
          <w:sz w:val="24"/>
          <w:szCs w:val="24"/>
        </w:rPr>
      </w:pPr>
    </w:p>
    <w:p w14:paraId="2120ECF3" w14:textId="47BFDA22" w:rsidR="0013173C" w:rsidRPr="005059B1" w:rsidRDefault="0013173C" w:rsidP="005059B1">
      <w:pPr>
        <w:pStyle w:val="Legenda"/>
        <w:jc w:val="center"/>
        <w:rPr>
          <w:rFonts w:asciiTheme="minorHAnsi" w:hAnsiTheme="minorHAnsi" w:cstheme="minorHAnsi"/>
          <w:sz w:val="20"/>
          <w:szCs w:val="20"/>
        </w:rPr>
      </w:pPr>
      <w:bookmarkStart w:id="740" w:name="_Toc97918933"/>
      <w:bookmarkStart w:id="741" w:name="_Toc103680719"/>
      <w:r w:rsidRPr="00252D7B">
        <w:rPr>
          <w:rFonts w:asciiTheme="minorHAnsi" w:hAnsiTheme="minorHAnsi" w:cstheme="minorHAnsi"/>
          <w:sz w:val="20"/>
          <w:szCs w:val="20"/>
        </w:rPr>
        <w:t xml:space="preserve">Tabela </w:t>
      </w:r>
      <w:r w:rsidRPr="005059B1">
        <w:rPr>
          <w:rFonts w:asciiTheme="minorHAnsi" w:hAnsiTheme="minorHAnsi" w:cstheme="minorHAnsi"/>
          <w:sz w:val="20"/>
          <w:szCs w:val="20"/>
        </w:rPr>
        <w:fldChar w:fldCharType="begin"/>
      </w:r>
      <w:r w:rsidRPr="00252D7B">
        <w:rPr>
          <w:rFonts w:asciiTheme="minorHAnsi" w:hAnsiTheme="minorHAnsi" w:cstheme="minorHAnsi"/>
          <w:sz w:val="20"/>
          <w:szCs w:val="20"/>
        </w:rPr>
        <w:instrText xml:space="preserve"> SEQ Tabela \* ARABIC </w:instrText>
      </w:r>
      <w:r w:rsidRPr="005059B1">
        <w:rPr>
          <w:rFonts w:asciiTheme="minorHAnsi" w:hAnsiTheme="minorHAnsi" w:cstheme="minorHAnsi"/>
          <w:sz w:val="20"/>
          <w:szCs w:val="20"/>
        </w:rPr>
        <w:fldChar w:fldCharType="separate"/>
      </w:r>
      <w:r w:rsidR="00C12888">
        <w:rPr>
          <w:rFonts w:asciiTheme="minorHAnsi" w:hAnsiTheme="minorHAnsi" w:cstheme="minorHAnsi"/>
          <w:noProof/>
          <w:sz w:val="20"/>
          <w:szCs w:val="20"/>
        </w:rPr>
        <w:t>57</w:t>
      </w:r>
      <w:r w:rsidRPr="005059B1">
        <w:rPr>
          <w:rFonts w:asciiTheme="minorHAnsi" w:hAnsiTheme="minorHAnsi" w:cstheme="minorHAnsi"/>
          <w:sz w:val="20"/>
          <w:szCs w:val="20"/>
        </w:rPr>
        <w:fldChar w:fldCharType="end"/>
      </w:r>
      <w:r w:rsidRPr="00252D7B">
        <w:rPr>
          <w:rFonts w:asciiTheme="minorHAnsi" w:hAnsiTheme="minorHAnsi" w:cstheme="minorHAnsi"/>
          <w:sz w:val="20"/>
          <w:szCs w:val="20"/>
        </w:rPr>
        <w:t xml:space="preserve"> – Termos de execução descentralizada</w:t>
      </w:r>
      <w:bookmarkEnd w:id="740"/>
      <w:bookmarkEnd w:id="741"/>
    </w:p>
    <w:tbl>
      <w:tblPr>
        <w:tblW w:w="5000" w:type="pct"/>
        <w:shd w:val="clear" w:color="auto" w:fill="FFFFFF"/>
        <w:tblCellMar>
          <w:left w:w="0" w:type="dxa"/>
          <w:right w:w="0" w:type="dxa"/>
        </w:tblCellMar>
        <w:tblLook w:val="04A0" w:firstRow="1" w:lastRow="0" w:firstColumn="1" w:lastColumn="0" w:noHBand="0" w:noVBand="1"/>
      </w:tblPr>
      <w:tblGrid>
        <w:gridCol w:w="2016"/>
        <w:gridCol w:w="1709"/>
        <w:gridCol w:w="2179"/>
        <w:gridCol w:w="1906"/>
        <w:gridCol w:w="1936"/>
      </w:tblGrid>
      <w:tr w:rsidR="0013173C" w:rsidRPr="00252D7B" w14:paraId="71635139" w14:textId="77777777" w:rsidTr="00F6584E">
        <w:trPr>
          <w:trHeight w:hRule="exact" w:val="227"/>
        </w:trPr>
        <w:tc>
          <w:tcPr>
            <w:tcW w:w="1034" w:type="pct"/>
            <w:tcBorders>
              <w:bottom w:val="single" w:sz="8" w:space="0" w:color="000000"/>
            </w:tcBorders>
            <w:shd w:val="clear" w:color="auto" w:fill="FFFFFF"/>
            <w:noWrap/>
            <w:tcMar>
              <w:top w:w="15" w:type="dxa"/>
              <w:left w:w="15" w:type="dxa"/>
              <w:bottom w:w="0" w:type="dxa"/>
              <w:right w:w="15" w:type="dxa"/>
            </w:tcMar>
            <w:vAlign w:val="bottom"/>
            <w:hideMark/>
          </w:tcPr>
          <w:p w14:paraId="072EDEED" w14:textId="77777777" w:rsidR="0013173C" w:rsidRPr="00252D7B" w:rsidRDefault="0013173C" w:rsidP="00F6584E">
            <w:pPr>
              <w:spacing w:after="120"/>
              <w:jc w:val="center"/>
              <w:rPr>
                <w:rFonts w:asciiTheme="minorHAnsi" w:hAnsiTheme="minorHAnsi" w:cstheme="minorHAnsi"/>
                <w:b/>
                <w:bCs/>
                <w:sz w:val="20"/>
                <w:szCs w:val="20"/>
              </w:rPr>
            </w:pPr>
            <w:r w:rsidRPr="00252D7B">
              <w:rPr>
                <w:rFonts w:asciiTheme="minorHAnsi" w:hAnsiTheme="minorHAnsi" w:cstheme="minorHAnsi"/>
                <w:b/>
                <w:bCs/>
                <w:sz w:val="20"/>
                <w:szCs w:val="20"/>
              </w:rPr>
              <w:t>N° TED</w:t>
            </w:r>
          </w:p>
        </w:tc>
        <w:tc>
          <w:tcPr>
            <w:tcW w:w="877" w:type="pct"/>
            <w:tcBorders>
              <w:bottom w:val="single" w:sz="8" w:space="0" w:color="000000"/>
            </w:tcBorders>
            <w:shd w:val="clear" w:color="auto" w:fill="FFFFFF"/>
            <w:noWrap/>
            <w:tcMar>
              <w:top w:w="15" w:type="dxa"/>
              <w:left w:w="15" w:type="dxa"/>
              <w:bottom w:w="0" w:type="dxa"/>
              <w:right w:w="15" w:type="dxa"/>
            </w:tcMar>
            <w:vAlign w:val="bottom"/>
            <w:hideMark/>
          </w:tcPr>
          <w:p w14:paraId="2C2AE9DD" w14:textId="77777777" w:rsidR="0013173C" w:rsidRPr="00252D7B" w:rsidRDefault="0013173C" w:rsidP="00F6584E">
            <w:pPr>
              <w:spacing w:after="120"/>
              <w:jc w:val="center"/>
              <w:rPr>
                <w:rFonts w:asciiTheme="minorHAnsi" w:hAnsiTheme="minorHAnsi" w:cstheme="minorHAnsi"/>
                <w:b/>
                <w:bCs/>
                <w:sz w:val="20"/>
                <w:szCs w:val="20"/>
              </w:rPr>
            </w:pPr>
            <w:r w:rsidRPr="00252D7B">
              <w:rPr>
                <w:rFonts w:asciiTheme="minorHAnsi" w:hAnsiTheme="minorHAnsi" w:cstheme="minorHAnsi"/>
                <w:b/>
                <w:bCs/>
                <w:sz w:val="20"/>
                <w:szCs w:val="20"/>
              </w:rPr>
              <w:t>SIAFI</w:t>
            </w:r>
          </w:p>
        </w:tc>
        <w:tc>
          <w:tcPr>
            <w:tcW w:w="1118" w:type="pct"/>
            <w:tcBorders>
              <w:bottom w:val="single" w:sz="8" w:space="0" w:color="000000"/>
            </w:tcBorders>
            <w:shd w:val="clear" w:color="auto" w:fill="FFFFFF"/>
            <w:noWrap/>
            <w:tcMar>
              <w:top w:w="15" w:type="dxa"/>
              <w:left w:w="15" w:type="dxa"/>
              <w:bottom w:w="0" w:type="dxa"/>
              <w:right w:w="15" w:type="dxa"/>
            </w:tcMar>
            <w:vAlign w:val="bottom"/>
            <w:hideMark/>
          </w:tcPr>
          <w:p w14:paraId="055A8CDE" w14:textId="77777777" w:rsidR="0013173C" w:rsidRPr="00252D7B" w:rsidRDefault="0013173C" w:rsidP="00F6584E">
            <w:pPr>
              <w:spacing w:after="120"/>
              <w:jc w:val="center"/>
              <w:rPr>
                <w:rFonts w:asciiTheme="minorHAnsi" w:hAnsiTheme="minorHAnsi" w:cstheme="minorHAnsi"/>
                <w:b/>
                <w:bCs/>
                <w:sz w:val="20"/>
                <w:szCs w:val="20"/>
              </w:rPr>
            </w:pPr>
            <w:r w:rsidRPr="00252D7B">
              <w:rPr>
                <w:rFonts w:asciiTheme="minorHAnsi" w:hAnsiTheme="minorHAnsi" w:cstheme="minorHAnsi"/>
                <w:b/>
                <w:bCs/>
                <w:sz w:val="20"/>
                <w:szCs w:val="20"/>
              </w:rPr>
              <w:t>ÓRGÃO</w:t>
            </w:r>
          </w:p>
        </w:tc>
        <w:tc>
          <w:tcPr>
            <w:tcW w:w="978" w:type="pct"/>
            <w:tcBorders>
              <w:bottom w:val="single" w:sz="8" w:space="0" w:color="000000"/>
            </w:tcBorders>
            <w:shd w:val="clear" w:color="auto" w:fill="FFFFFF"/>
            <w:vAlign w:val="bottom"/>
          </w:tcPr>
          <w:p w14:paraId="7DDAE25B" w14:textId="77777777" w:rsidR="0013173C" w:rsidRPr="00252D7B" w:rsidRDefault="0013173C" w:rsidP="00F6584E">
            <w:pPr>
              <w:spacing w:after="120"/>
              <w:jc w:val="center"/>
              <w:rPr>
                <w:rFonts w:asciiTheme="minorHAnsi" w:hAnsiTheme="minorHAnsi" w:cstheme="minorHAnsi"/>
                <w:b/>
                <w:bCs/>
                <w:sz w:val="20"/>
                <w:szCs w:val="20"/>
              </w:rPr>
            </w:pPr>
            <w:r w:rsidRPr="00252D7B">
              <w:rPr>
                <w:rFonts w:asciiTheme="minorHAnsi" w:hAnsiTheme="minorHAnsi" w:cstheme="minorHAnsi"/>
                <w:b/>
                <w:bCs/>
                <w:sz w:val="20"/>
                <w:szCs w:val="20"/>
              </w:rPr>
              <w:t>VIGÊNCIA</w:t>
            </w:r>
          </w:p>
        </w:tc>
        <w:tc>
          <w:tcPr>
            <w:tcW w:w="993" w:type="pct"/>
            <w:tcBorders>
              <w:bottom w:val="single" w:sz="8" w:space="0" w:color="000000"/>
            </w:tcBorders>
            <w:shd w:val="clear" w:color="auto" w:fill="FFFFFF"/>
            <w:noWrap/>
            <w:tcMar>
              <w:top w:w="15" w:type="dxa"/>
              <w:left w:w="15" w:type="dxa"/>
              <w:bottom w:w="0" w:type="dxa"/>
              <w:right w:w="15" w:type="dxa"/>
            </w:tcMar>
            <w:vAlign w:val="bottom"/>
            <w:hideMark/>
          </w:tcPr>
          <w:p w14:paraId="512AC8B9" w14:textId="77777777" w:rsidR="0013173C" w:rsidRPr="00252D7B" w:rsidRDefault="0013173C" w:rsidP="00F6584E">
            <w:pPr>
              <w:spacing w:after="120"/>
              <w:jc w:val="right"/>
              <w:rPr>
                <w:rFonts w:asciiTheme="minorHAnsi" w:hAnsiTheme="minorHAnsi" w:cstheme="minorHAnsi"/>
                <w:b/>
                <w:bCs/>
                <w:sz w:val="20"/>
                <w:szCs w:val="20"/>
              </w:rPr>
            </w:pPr>
            <w:r w:rsidRPr="00252D7B">
              <w:rPr>
                <w:rFonts w:asciiTheme="minorHAnsi" w:hAnsiTheme="minorHAnsi" w:cstheme="minorHAnsi"/>
                <w:b/>
                <w:bCs/>
                <w:sz w:val="20"/>
                <w:szCs w:val="20"/>
              </w:rPr>
              <w:t>VALOR A COMPROVAR</w:t>
            </w:r>
          </w:p>
        </w:tc>
      </w:tr>
      <w:tr w:rsidR="0013173C" w:rsidRPr="00252D7B" w14:paraId="78F968DF" w14:textId="77777777" w:rsidTr="00F6584E">
        <w:trPr>
          <w:trHeight w:hRule="exact" w:val="227"/>
        </w:trPr>
        <w:tc>
          <w:tcPr>
            <w:tcW w:w="1034" w:type="pct"/>
            <w:shd w:val="clear" w:color="auto" w:fill="FFFFFF"/>
            <w:noWrap/>
            <w:tcMar>
              <w:top w:w="15" w:type="dxa"/>
              <w:left w:w="15" w:type="dxa"/>
              <w:bottom w:w="0" w:type="dxa"/>
              <w:right w:w="15" w:type="dxa"/>
            </w:tcMar>
            <w:vAlign w:val="bottom"/>
          </w:tcPr>
          <w:p w14:paraId="0A2FE6C1" w14:textId="77777777" w:rsidR="0013173C" w:rsidRPr="00252D7B" w:rsidRDefault="0013173C" w:rsidP="00F6584E">
            <w:pPr>
              <w:spacing w:after="120"/>
              <w:jc w:val="center"/>
              <w:rPr>
                <w:rFonts w:asciiTheme="minorHAnsi" w:hAnsiTheme="minorHAnsi" w:cstheme="minorHAnsi"/>
                <w:sz w:val="20"/>
                <w:szCs w:val="20"/>
              </w:rPr>
            </w:pPr>
            <w:r w:rsidRPr="00252D7B">
              <w:rPr>
                <w:rFonts w:asciiTheme="minorHAnsi" w:hAnsiTheme="minorHAnsi" w:cstheme="minorHAnsi"/>
                <w:sz w:val="20"/>
                <w:szCs w:val="20"/>
              </w:rPr>
              <w:t>002/2013</w:t>
            </w:r>
          </w:p>
        </w:tc>
        <w:tc>
          <w:tcPr>
            <w:tcW w:w="877" w:type="pct"/>
            <w:shd w:val="clear" w:color="auto" w:fill="FFFFFF"/>
            <w:noWrap/>
            <w:tcMar>
              <w:top w:w="15" w:type="dxa"/>
              <w:left w:w="15" w:type="dxa"/>
              <w:bottom w:w="0" w:type="dxa"/>
              <w:right w:w="15" w:type="dxa"/>
            </w:tcMar>
            <w:vAlign w:val="bottom"/>
          </w:tcPr>
          <w:p w14:paraId="6AB43514" w14:textId="77777777" w:rsidR="0013173C" w:rsidRPr="00252D7B" w:rsidRDefault="0013173C" w:rsidP="00F6584E">
            <w:pPr>
              <w:spacing w:after="120"/>
              <w:jc w:val="center"/>
              <w:rPr>
                <w:rFonts w:asciiTheme="minorHAnsi" w:hAnsiTheme="minorHAnsi" w:cstheme="minorHAnsi"/>
                <w:sz w:val="20"/>
                <w:szCs w:val="20"/>
              </w:rPr>
            </w:pPr>
            <w:r w:rsidRPr="00252D7B">
              <w:rPr>
                <w:rFonts w:asciiTheme="minorHAnsi" w:hAnsiTheme="minorHAnsi" w:cstheme="minorHAnsi"/>
                <w:sz w:val="20"/>
                <w:szCs w:val="20"/>
              </w:rPr>
              <w:t>676940</w:t>
            </w:r>
          </w:p>
        </w:tc>
        <w:tc>
          <w:tcPr>
            <w:tcW w:w="1118" w:type="pct"/>
            <w:shd w:val="clear" w:color="auto" w:fill="FFFFFF"/>
            <w:noWrap/>
            <w:tcMar>
              <w:top w:w="15" w:type="dxa"/>
              <w:left w:w="15" w:type="dxa"/>
              <w:bottom w:w="0" w:type="dxa"/>
              <w:right w:w="15" w:type="dxa"/>
            </w:tcMar>
            <w:vAlign w:val="bottom"/>
          </w:tcPr>
          <w:p w14:paraId="1E653E99" w14:textId="77777777" w:rsidR="0013173C" w:rsidRPr="00252D7B" w:rsidRDefault="0013173C" w:rsidP="00F6584E">
            <w:pPr>
              <w:spacing w:after="120"/>
              <w:jc w:val="center"/>
              <w:rPr>
                <w:rFonts w:asciiTheme="minorHAnsi" w:hAnsiTheme="minorHAnsi" w:cstheme="minorHAnsi"/>
                <w:sz w:val="20"/>
                <w:szCs w:val="20"/>
              </w:rPr>
            </w:pPr>
            <w:r w:rsidRPr="00252D7B">
              <w:rPr>
                <w:rFonts w:asciiTheme="minorHAnsi" w:hAnsiTheme="minorHAnsi" w:cstheme="minorHAnsi"/>
                <w:sz w:val="20"/>
                <w:szCs w:val="20"/>
              </w:rPr>
              <w:t>UFRB</w:t>
            </w:r>
          </w:p>
        </w:tc>
        <w:tc>
          <w:tcPr>
            <w:tcW w:w="978" w:type="pct"/>
            <w:shd w:val="clear" w:color="auto" w:fill="FFFFFF"/>
            <w:vAlign w:val="bottom"/>
          </w:tcPr>
          <w:p w14:paraId="2D1F3080" w14:textId="77777777" w:rsidR="0013173C" w:rsidRPr="00252D7B" w:rsidRDefault="0013173C" w:rsidP="00F6584E">
            <w:pPr>
              <w:spacing w:after="120"/>
              <w:jc w:val="center"/>
              <w:rPr>
                <w:rFonts w:asciiTheme="minorHAnsi" w:hAnsiTheme="minorHAnsi" w:cstheme="minorHAnsi"/>
                <w:sz w:val="20"/>
                <w:szCs w:val="20"/>
              </w:rPr>
            </w:pPr>
            <w:r w:rsidRPr="00252D7B">
              <w:rPr>
                <w:rFonts w:asciiTheme="minorHAnsi" w:hAnsiTheme="minorHAnsi" w:cstheme="minorHAnsi"/>
                <w:sz w:val="20"/>
                <w:szCs w:val="20"/>
              </w:rPr>
              <w:t>20.11.2020</w:t>
            </w:r>
          </w:p>
        </w:tc>
        <w:tc>
          <w:tcPr>
            <w:tcW w:w="993" w:type="pct"/>
            <w:shd w:val="clear" w:color="auto" w:fill="FFFFFF"/>
            <w:noWrap/>
            <w:tcMar>
              <w:top w:w="15" w:type="dxa"/>
              <w:left w:w="15" w:type="dxa"/>
              <w:bottom w:w="0" w:type="dxa"/>
              <w:right w:w="15" w:type="dxa"/>
            </w:tcMar>
            <w:vAlign w:val="bottom"/>
          </w:tcPr>
          <w:p w14:paraId="20946BD4" w14:textId="77777777" w:rsidR="0013173C" w:rsidRPr="00252D7B" w:rsidRDefault="0013173C" w:rsidP="00F6584E">
            <w:pPr>
              <w:spacing w:after="120"/>
              <w:jc w:val="right"/>
              <w:rPr>
                <w:rFonts w:asciiTheme="minorHAnsi" w:hAnsiTheme="minorHAnsi" w:cstheme="minorHAnsi"/>
                <w:sz w:val="20"/>
                <w:szCs w:val="20"/>
              </w:rPr>
            </w:pPr>
            <w:r w:rsidRPr="00252D7B">
              <w:rPr>
                <w:rFonts w:asciiTheme="minorHAnsi" w:hAnsiTheme="minorHAnsi" w:cstheme="minorHAnsi"/>
                <w:sz w:val="20"/>
                <w:szCs w:val="20"/>
              </w:rPr>
              <w:t>0</w:t>
            </w:r>
          </w:p>
        </w:tc>
      </w:tr>
      <w:tr w:rsidR="0013173C" w:rsidRPr="00252D7B" w14:paraId="07C8D1A1" w14:textId="77777777" w:rsidTr="00F6584E">
        <w:trPr>
          <w:trHeight w:hRule="exact" w:val="227"/>
        </w:trPr>
        <w:tc>
          <w:tcPr>
            <w:tcW w:w="1034" w:type="pct"/>
            <w:shd w:val="clear" w:color="auto" w:fill="FFFFFF"/>
            <w:noWrap/>
            <w:tcMar>
              <w:top w:w="15" w:type="dxa"/>
              <w:left w:w="15" w:type="dxa"/>
              <w:bottom w:w="0" w:type="dxa"/>
              <w:right w:w="15" w:type="dxa"/>
            </w:tcMar>
            <w:vAlign w:val="bottom"/>
          </w:tcPr>
          <w:p w14:paraId="13393072" w14:textId="77777777" w:rsidR="0013173C" w:rsidRPr="00252D7B" w:rsidRDefault="0013173C" w:rsidP="00F6584E">
            <w:pPr>
              <w:spacing w:after="120"/>
              <w:jc w:val="center"/>
              <w:rPr>
                <w:rFonts w:asciiTheme="minorHAnsi" w:hAnsiTheme="minorHAnsi" w:cstheme="minorHAnsi"/>
                <w:sz w:val="20"/>
                <w:szCs w:val="20"/>
              </w:rPr>
            </w:pPr>
            <w:r w:rsidRPr="00252D7B">
              <w:rPr>
                <w:rFonts w:asciiTheme="minorHAnsi" w:hAnsiTheme="minorHAnsi" w:cstheme="minorHAnsi"/>
                <w:sz w:val="20"/>
                <w:szCs w:val="20"/>
              </w:rPr>
              <w:t>003/2013</w:t>
            </w:r>
          </w:p>
        </w:tc>
        <w:tc>
          <w:tcPr>
            <w:tcW w:w="877" w:type="pct"/>
            <w:shd w:val="clear" w:color="auto" w:fill="FFFFFF"/>
            <w:noWrap/>
            <w:tcMar>
              <w:top w:w="15" w:type="dxa"/>
              <w:left w:w="15" w:type="dxa"/>
              <w:bottom w:w="0" w:type="dxa"/>
              <w:right w:w="15" w:type="dxa"/>
            </w:tcMar>
            <w:vAlign w:val="bottom"/>
          </w:tcPr>
          <w:p w14:paraId="14043B97" w14:textId="77777777" w:rsidR="0013173C" w:rsidRPr="00252D7B" w:rsidRDefault="0013173C" w:rsidP="00F6584E">
            <w:pPr>
              <w:spacing w:after="120"/>
              <w:jc w:val="center"/>
              <w:rPr>
                <w:rFonts w:asciiTheme="minorHAnsi" w:hAnsiTheme="minorHAnsi" w:cstheme="minorHAnsi"/>
                <w:sz w:val="20"/>
                <w:szCs w:val="20"/>
              </w:rPr>
            </w:pPr>
            <w:r w:rsidRPr="00252D7B">
              <w:rPr>
                <w:rFonts w:asciiTheme="minorHAnsi" w:hAnsiTheme="minorHAnsi" w:cstheme="minorHAnsi"/>
                <w:sz w:val="20"/>
                <w:szCs w:val="20"/>
              </w:rPr>
              <w:t>690654</w:t>
            </w:r>
          </w:p>
        </w:tc>
        <w:tc>
          <w:tcPr>
            <w:tcW w:w="1118" w:type="pct"/>
            <w:shd w:val="clear" w:color="auto" w:fill="FFFFFF"/>
            <w:noWrap/>
            <w:tcMar>
              <w:top w:w="15" w:type="dxa"/>
              <w:left w:w="15" w:type="dxa"/>
              <w:bottom w:w="0" w:type="dxa"/>
              <w:right w:w="15" w:type="dxa"/>
            </w:tcMar>
            <w:vAlign w:val="bottom"/>
          </w:tcPr>
          <w:p w14:paraId="016ECFD9" w14:textId="77777777" w:rsidR="0013173C" w:rsidRPr="00252D7B" w:rsidRDefault="0013173C" w:rsidP="00F6584E">
            <w:pPr>
              <w:spacing w:after="120"/>
              <w:jc w:val="center"/>
              <w:rPr>
                <w:rFonts w:asciiTheme="minorHAnsi" w:hAnsiTheme="minorHAnsi" w:cstheme="minorHAnsi"/>
                <w:sz w:val="20"/>
                <w:szCs w:val="20"/>
              </w:rPr>
            </w:pPr>
            <w:r w:rsidRPr="00252D7B">
              <w:rPr>
                <w:rFonts w:asciiTheme="minorHAnsi" w:hAnsiTheme="minorHAnsi" w:cstheme="minorHAnsi"/>
                <w:sz w:val="20"/>
                <w:szCs w:val="20"/>
              </w:rPr>
              <w:t>CBTU</w:t>
            </w:r>
          </w:p>
        </w:tc>
        <w:tc>
          <w:tcPr>
            <w:tcW w:w="978" w:type="pct"/>
            <w:shd w:val="clear" w:color="auto" w:fill="FFFFFF"/>
            <w:vAlign w:val="bottom"/>
          </w:tcPr>
          <w:p w14:paraId="13286FF5" w14:textId="77777777" w:rsidR="0013173C" w:rsidRPr="00252D7B" w:rsidRDefault="0013173C" w:rsidP="00F6584E">
            <w:pPr>
              <w:spacing w:after="120"/>
              <w:jc w:val="center"/>
              <w:rPr>
                <w:rFonts w:asciiTheme="minorHAnsi" w:hAnsiTheme="minorHAnsi" w:cstheme="minorHAnsi"/>
                <w:sz w:val="20"/>
                <w:szCs w:val="20"/>
              </w:rPr>
            </w:pPr>
            <w:r w:rsidRPr="00252D7B">
              <w:rPr>
                <w:rFonts w:asciiTheme="minorHAnsi" w:hAnsiTheme="minorHAnsi" w:cstheme="minorHAnsi"/>
                <w:sz w:val="20"/>
                <w:szCs w:val="20"/>
              </w:rPr>
              <w:t>28.03.2021</w:t>
            </w:r>
          </w:p>
        </w:tc>
        <w:tc>
          <w:tcPr>
            <w:tcW w:w="993" w:type="pct"/>
            <w:shd w:val="clear" w:color="auto" w:fill="FFFFFF"/>
            <w:noWrap/>
            <w:tcMar>
              <w:top w:w="15" w:type="dxa"/>
              <w:left w:w="15" w:type="dxa"/>
              <w:bottom w:w="0" w:type="dxa"/>
              <w:right w:w="15" w:type="dxa"/>
            </w:tcMar>
            <w:vAlign w:val="bottom"/>
          </w:tcPr>
          <w:p w14:paraId="115BBF5B" w14:textId="77777777" w:rsidR="0013173C" w:rsidRPr="00252D7B" w:rsidRDefault="0013173C" w:rsidP="00F6584E">
            <w:pPr>
              <w:spacing w:after="120"/>
              <w:jc w:val="right"/>
              <w:rPr>
                <w:rFonts w:asciiTheme="minorHAnsi" w:hAnsiTheme="minorHAnsi" w:cstheme="minorHAnsi"/>
                <w:sz w:val="20"/>
                <w:szCs w:val="20"/>
              </w:rPr>
            </w:pPr>
            <w:r w:rsidRPr="00252D7B">
              <w:rPr>
                <w:rFonts w:asciiTheme="minorHAnsi" w:hAnsiTheme="minorHAnsi" w:cstheme="minorHAnsi"/>
                <w:sz w:val="20"/>
                <w:szCs w:val="20"/>
              </w:rPr>
              <w:t>71.948</w:t>
            </w:r>
          </w:p>
        </w:tc>
      </w:tr>
      <w:tr w:rsidR="0013173C" w:rsidRPr="00252D7B" w14:paraId="698EF062" w14:textId="77777777" w:rsidTr="00F6584E">
        <w:trPr>
          <w:trHeight w:hRule="exact" w:val="227"/>
        </w:trPr>
        <w:tc>
          <w:tcPr>
            <w:tcW w:w="1034" w:type="pct"/>
            <w:shd w:val="clear" w:color="auto" w:fill="FFFFFF"/>
            <w:noWrap/>
            <w:tcMar>
              <w:top w:w="15" w:type="dxa"/>
              <w:left w:w="15" w:type="dxa"/>
              <w:bottom w:w="0" w:type="dxa"/>
              <w:right w:w="15" w:type="dxa"/>
            </w:tcMar>
            <w:vAlign w:val="bottom"/>
          </w:tcPr>
          <w:p w14:paraId="3E1EB4DD" w14:textId="77777777" w:rsidR="0013173C" w:rsidRPr="00252D7B" w:rsidRDefault="0013173C" w:rsidP="00F6584E">
            <w:pPr>
              <w:spacing w:after="120"/>
              <w:jc w:val="center"/>
              <w:rPr>
                <w:rFonts w:asciiTheme="minorHAnsi" w:hAnsiTheme="minorHAnsi" w:cstheme="minorHAnsi"/>
                <w:sz w:val="20"/>
                <w:szCs w:val="20"/>
              </w:rPr>
            </w:pPr>
            <w:r w:rsidRPr="00252D7B">
              <w:rPr>
                <w:rFonts w:asciiTheme="minorHAnsi" w:hAnsiTheme="minorHAnsi" w:cstheme="minorHAnsi"/>
                <w:sz w:val="20"/>
                <w:szCs w:val="20"/>
              </w:rPr>
              <w:t>001/2014</w:t>
            </w:r>
          </w:p>
        </w:tc>
        <w:tc>
          <w:tcPr>
            <w:tcW w:w="877" w:type="pct"/>
            <w:shd w:val="clear" w:color="auto" w:fill="FFFFFF"/>
            <w:noWrap/>
            <w:tcMar>
              <w:top w:w="15" w:type="dxa"/>
              <w:left w:w="15" w:type="dxa"/>
              <w:bottom w:w="0" w:type="dxa"/>
              <w:right w:w="15" w:type="dxa"/>
            </w:tcMar>
            <w:vAlign w:val="bottom"/>
          </w:tcPr>
          <w:p w14:paraId="3B0D5A4A" w14:textId="77777777" w:rsidR="0013173C" w:rsidRPr="00252D7B" w:rsidRDefault="0013173C" w:rsidP="00F6584E">
            <w:pPr>
              <w:spacing w:after="120"/>
              <w:jc w:val="center"/>
              <w:rPr>
                <w:rFonts w:asciiTheme="minorHAnsi" w:hAnsiTheme="minorHAnsi" w:cstheme="minorHAnsi"/>
                <w:sz w:val="20"/>
                <w:szCs w:val="20"/>
              </w:rPr>
            </w:pPr>
            <w:r w:rsidRPr="00252D7B">
              <w:rPr>
                <w:rFonts w:asciiTheme="minorHAnsi" w:hAnsiTheme="minorHAnsi" w:cstheme="minorHAnsi"/>
                <w:sz w:val="20"/>
                <w:szCs w:val="20"/>
              </w:rPr>
              <w:t>680152</w:t>
            </w:r>
          </w:p>
        </w:tc>
        <w:tc>
          <w:tcPr>
            <w:tcW w:w="1118" w:type="pct"/>
            <w:shd w:val="clear" w:color="auto" w:fill="FFFFFF"/>
            <w:noWrap/>
            <w:tcMar>
              <w:top w:w="15" w:type="dxa"/>
              <w:left w:w="15" w:type="dxa"/>
              <w:bottom w:w="0" w:type="dxa"/>
              <w:right w:w="15" w:type="dxa"/>
            </w:tcMar>
            <w:vAlign w:val="bottom"/>
          </w:tcPr>
          <w:p w14:paraId="0A4D9C82" w14:textId="77777777" w:rsidR="0013173C" w:rsidRPr="00252D7B" w:rsidRDefault="0013173C" w:rsidP="00F6584E">
            <w:pPr>
              <w:spacing w:after="120"/>
              <w:jc w:val="center"/>
              <w:rPr>
                <w:rFonts w:asciiTheme="minorHAnsi" w:hAnsiTheme="minorHAnsi" w:cstheme="minorHAnsi"/>
                <w:sz w:val="20"/>
                <w:szCs w:val="20"/>
              </w:rPr>
            </w:pPr>
            <w:r w:rsidRPr="00252D7B">
              <w:rPr>
                <w:rFonts w:asciiTheme="minorHAnsi" w:hAnsiTheme="minorHAnsi" w:cstheme="minorHAnsi"/>
                <w:sz w:val="20"/>
                <w:szCs w:val="20"/>
              </w:rPr>
              <w:t>UFRS</w:t>
            </w:r>
          </w:p>
        </w:tc>
        <w:tc>
          <w:tcPr>
            <w:tcW w:w="978" w:type="pct"/>
            <w:shd w:val="clear" w:color="auto" w:fill="FFFFFF"/>
            <w:vAlign w:val="bottom"/>
          </w:tcPr>
          <w:p w14:paraId="5E79CF9D" w14:textId="77777777" w:rsidR="0013173C" w:rsidRPr="00252D7B" w:rsidRDefault="0013173C" w:rsidP="00F6584E">
            <w:pPr>
              <w:spacing w:after="120"/>
              <w:jc w:val="center"/>
              <w:rPr>
                <w:rFonts w:asciiTheme="minorHAnsi" w:hAnsiTheme="minorHAnsi" w:cstheme="minorHAnsi"/>
                <w:sz w:val="20"/>
                <w:szCs w:val="20"/>
              </w:rPr>
            </w:pPr>
            <w:r w:rsidRPr="00252D7B">
              <w:rPr>
                <w:rFonts w:asciiTheme="minorHAnsi" w:hAnsiTheme="minorHAnsi" w:cstheme="minorHAnsi"/>
                <w:sz w:val="20"/>
                <w:szCs w:val="20"/>
              </w:rPr>
              <w:t>27.06.2018</w:t>
            </w:r>
          </w:p>
        </w:tc>
        <w:tc>
          <w:tcPr>
            <w:tcW w:w="993" w:type="pct"/>
            <w:shd w:val="clear" w:color="auto" w:fill="FFFFFF"/>
            <w:noWrap/>
            <w:tcMar>
              <w:top w:w="15" w:type="dxa"/>
              <w:left w:w="15" w:type="dxa"/>
              <w:bottom w:w="0" w:type="dxa"/>
              <w:right w:w="15" w:type="dxa"/>
            </w:tcMar>
            <w:vAlign w:val="bottom"/>
          </w:tcPr>
          <w:p w14:paraId="021E9035" w14:textId="77777777" w:rsidR="0013173C" w:rsidRPr="00252D7B" w:rsidRDefault="0013173C" w:rsidP="00F6584E">
            <w:pPr>
              <w:spacing w:after="120"/>
              <w:jc w:val="right"/>
              <w:rPr>
                <w:rFonts w:asciiTheme="minorHAnsi" w:hAnsiTheme="minorHAnsi" w:cstheme="minorHAnsi"/>
                <w:sz w:val="20"/>
                <w:szCs w:val="20"/>
              </w:rPr>
            </w:pPr>
            <w:r w:rsidRPr="00252D7B">
              <w:rPr>
                <w:rFonts w:asciiTheme="minorHAnsi" w:hAnsiTheme="minorHAnsi" w:cstheme="minorHAnsi"/>
                <w:sz w:val="20"/>
                <w:szCs w:val="20"/>
              </w:rPr>
              <w:t>0</w:t>
            </w:r>
          </w:p>
        </w:tc>
      </w:tr>
      <w:tr w:rsidR="0013173C" w:rsidRPr="00252D7B" w14:paraId="5AF69BD4" w14:textId="77777777" w:rsidTr="00F6584E">
        <w:trPr>
          <w:trHeight w:hRule="exact" w:val="227"/>
        </w:trPr>
        <w:tc>
          <w:tcPr>
            <w:tcW w:w="1034" w:type="pct"/>
            <w:shd w:val="clear" w:color="auto" w:fill="FFFFFF"/>
            <w:noWrap/>
            <w:tcMar>
              <w:top w:w="15" w:type="dxa"/>
              <w:left w:w="15" w:type="dxa"/>
              <w:bottom w:w="0" w:type="dxa"/>
              <w:right w:w="15" w:type="dxa"/>
            </w:tcMar>
            <w:vAlign w:val="bottom"/>
          </w:tcPr>
          <w:p w14:paraId="2BA8C31C" w14:textId="77777777" w:rsidR="0013173C" w:rsidRPr="00252D7B" w:rsidRDefault="0013173C" w:rsidP="00F6584E">
            <w:pPr>
              <w:spacing w:after="120"/>
              <w:jc w:val="center"/>
              <w:rPr>
                <w:rFonts w:asciiTheme="minorHAnsi" w:hAnsiTheme="minorHAnsi" w:cstheme="minorHAnsi"/>
                <w:sz w:val="20"/>
                <w:szCs w:val="20"/>
              </w:rPr>
            </w:pPr>
            <w:r w:rsidRPr="00252D7B">
              <w:rPr>
                <w:rFonts w:asciiTheme="minorHAnsi" w:hAnsiTheme="minorHAnsi" w:cstheme="minorHAnsi"/>
                <w:sz w:val="20"/>
                <w:szCs w:val="20"/>
              </w:rPr>
              <w:t>002/2017</w:t>
            </w:r>
          </w:p>
        </w:tc>
        <w:tc>
          <w:tcPr>
            <w:tcW w:w="877" w:type="pct"/>
            <w:shd w:val="clear" w:color="auto" w:fill="FFFFFF"/>
            <w:noWrap/>
            <w:tcMar>
              <w:top w:w="15" w:type="dxa"/>
              <w:left w:w="15" w:type="dxa"/>
              <w:bottom w:w="0" w:type="dxa"/>
              <w:right w:w="15" w:type="dxa"/>
            </w:tcMar>
            <w:vAlign w:val="bottom"/>
          </w:tcPr>
          <w:p w14:paraId="0451DC0C" w14:textId="77777777" w:rsidR="0013173C" w:rsidRPr="00252D7B" w:rsidRDefault="0013173C" w:rsidP="00F6584E">
            <w:pPr>
              <w:spacing w:after="120"/>
              <w:jc w:val="center"/>
              <w:rPr>
                <w:rFonts w:asciiTheme="minorHAnsi" w:hAnsiTheme="minorHAnsi" w:cstheme="minorHAnsi"/>
                <w:sz w:val="20"/>
                <w:szCs w:val="20"/>
              </w:rPr>
            </w:pPr>
            <w:r w:rsidRPr="00252D7B">
              <w:rPr>
                <w:rFonts w:asciiTheme="minorHAnsi" w:hAnsiTheme="minorHAnsi" w:cstheme="minorHAnsi"/>
                <w:sz w:val="20"/>
                <w:szCs w:val="20"/>
              </w:rPr>
              <w:t>692242</w:t>
            </w:r>
          </w:p>
        </w:tc>
        <w:tc>
          <w:tcPr>
            <w:tcW w:w="1118" w:type="pct"/>
            <w:shd w:val="clear" w:color="auto" w:fill="FFFFFF"/>
            <w:noWrap/>
            <w:tcMar>
              <w:top w:w="15" w:type="dxa"/>
              <w:left w:w="15" w:type="dxa"/>
              <w:bottom w:w="0" w:type="dxa"/>
              <w:right w:w="15" w:type="dxa"/>
            </w:tcMar>
            <w:vAlign w:val="bottom"/>
          </w:tcPr>
          <w:p w14:paraId="537367CA" w14:textId="77777777" w:rsidR="0013173C" w:rsidRPr="00252D7B" w:rsidRDefault="0013173C" w:rsidP="00F6584E">
            <w:pPr>
              <w:spacing w:after="120"/>
              <w:jc w:val="center"/>
              <w:rPr>
                <w:rFonts w:asciiTheme="minorHAnsi" w:hAnsiTheme="minorHAnsi" w:cstheme="minorHAnsi"/>
                <w:sz w:val="20"/>
                <w:szCs w:val="20"/>
              </w:rPr>
            </w:pPr>
            <w:r w:rsidRPr="00252D7B">
              <w:rPr>
                <w:rFonts w:asciiTheme="minorHAnsi" w:hAnsiTheme="minorHAnsi" w:cstheme="minorHAnsi"/>
                <w:sz w:val="20"/>
                <w:szCs w:val="20"/>
              </w:rPr>
              <w:t>UFPA</w:t>
            </w:r>
          </w:p>
        </w:tc>
        <w:tc>
          <w:tcPr>
            <w:tcW w:w="978" w:type="pct"/>
            <w:shd w:val="clear" w:color="auto" w:fill="FFFFFF"/>
            <w:vAlign w:val="bottom"/>
          </w:tcPr>
          <w:p w14:paraId="0D618967" w14:textId="77777777" w:rsidR="0013173C" w:rsidRPr="00252D7B" w:rsidRDefault="0013173C" w:rsidP="00F6584E">
            <w:pPr>
              <w:spacing w:after="120"/>
              <w:jc w:val="center"/>
              <w:rPr>
                <w:rFonts w:asciiTheme="minorHAnsi" w:hAnsiTheme="minorHAnsi" w:cstheme="minorHAnsi"/>
                <w:sz w:val="20"/>
                <w:szCs w:val="20"/>
              </w:rPr>
            </w:pPr>
            <w:r w:rsidRPr="00252D7B">
              <w:rPr>
                <w:rFonts w:asciiTheme="minorHAnsi" w:hAnsiTheme="minorHAnsi" w:cstheme="minorHAnsi"/>
                <w:sz w:val="20"/>
                <w:szCs w:val="20"/>
              </w:rPr>
              <w:t>12.12.2020</w:t>
            </w:r>
          </w:p>
        </w:tc>
        <w:tc>
          <w:tcPr>
            <w:tcW w:w="993" w:type="pct"/>
            <w:shd w:val="clear" w:color="auto" w:fill="FFFFFF"/>
            <w:noWrap/>
            <w:tcMar>
              <w:top w:w="15" w:type="dxa"/>
              <w:left w:w="15" w:type="dxa"/>
              <w:bottom w:w="0" w:type="dxa"/>
              <w:right w:w="15" w:type="dxa"/>
            </w:tcMar>
            <w:vAlign w:val="bottom"/>
          </w:tcPr>
          <w:p w14:paraId="71E0DFCC" w14:textId="77777777" w:rsidR="0013173C" w:rsidRPr="00252D7B" w:rsidRDefault="0013173C" w:rsidP="00F6584E">
            <w:pPr>
              <w:spacing w:after="120"/>
              <w:jc w:val="right"/>
              <w:rPr>
                <w:rFonts w:asciiTheme="minorHAnsi" w:hAnsiTheme="minorHAnsi" w:cstheme="minorHAnsi"/>
                <w:sz w:val="20"/>
                <w:szCs w:val="20"/>
              </w:rPr>
            </w:pPr>
            <w:r w:rsidRPr="00252D7B">
              <w:rPr>
                <w:rFonts w:asciiTheme="minorHAnsi" w:hAnsiTheme="minorHAnsi" w:cstheme="minorHAnsi"/>
                <w:sz w:val="20"/>
                <w:szCs w:val="20"/>
              </w:rPr>
              <w:t>0</w:t>
            </w:r>
          </w:p>
        </w:tc>
      </w:tr>
      <w:tr w:rsidR="0013173C" w:rsidRPr="00252D7B" w14:paraId="1EA27050" w14:textId="77777777" w:rsidTr="00F6584E">
        <w:trPr>
          <w:trHeight w:hRule="exact" w:val="227"/>
        </w:trPr>
        <w:tc>
          <w:tcPr>
            <w:tcW w:w="1034" w:type="pct"/>
            <w:shd w:val="clear" w:color="auto" w:fill="FFFFFF"/>
            <w:noWrap/>
            <w:tcMar>
              <w:top w:w="15" w:type="dxa"/>
              <w:left w:w="15" w:type="dxa"/>
              <w:bottom w:w="0" w:type="dxa"/>
              <w:right w:w="15" w:type="dxa"/>
            </w:tcMar>
            <w:vAlign w:val="bottom"/>
          </w:tcPr>
          <w:p w14:paraId="41C504A2" w14:textId="77777777" w:rsidR="0013173C" w:rsidRPr="00252D7B" w:rsidRDefault="0013173C" w:rsidP="00F6584E">
            <w:pPr>
              <w:spacing w:after="120"/>
              <w:jc w:val="center"/>
              <w:rPr>
                <w:rFonts w:asciiTheme="minorHAnsi" w:hAnsiTheme="minorHAnsi" w:cstheme="minorHAnsi"/>
                <w:sz w:val="20"/>
                <w:szCs w:val="20"/>
              </w:rPr>
            </w:pPr>
            <w:r w:rsidRPr="00252D7B">
              <w:rPr>
                <w:rFonts w:asciiTheme="minorHAnsi" w:hAnsiTheme="minorHAnsi" w:cstheme="minorHAnsi"/>
                <w:sz w:val="20"/>
                <w:szCs w:val="20"/>
              </w:rPr>
              <w:t>001/2019</w:t>
            </w:r>
          </w:p>
        </w:tc>
        <w:tc>
          <w:tcPr>
            <w:tcW w:w="877" w:type="pct"/>
            <w:shd w:val="clear" w:color="auto" w:fill="FFFFFF"/>
            <w:noWrap/>
            <w:tcMar>
              <w:top w:w="15" w:type="dxa"/>
              <w:left w:w="15" w:type="dxa"/>
              <w:bottom w:w="0" w:type="dxa"/>
              <w:right w:w="15" w:type="dxa"/>
            </w:tcMar>
            <w:vAlign w:val="bottom"/>
          </w:tcPr>
          <w:p w14:paraId="3E4F94EA" w14:textId="77777777" w:rsidR="0013173C" w:rsidRPr="00252D7B" w:rsidRDefault="0013173C" w:rsidP="00F6584E">
            <w:pPr>
              <w:spacing w:after="120"/>
              <w:jc w:val="center"/>
              <w:rPr>
                <w:rFonts w:asciiTheme="minorHAnsi" w:hAnsiTheme="minorHAnsi" w:cstheme="minorHAnsi"/>
                <w:sz w:val="20"/>
                <w:szCs w:val="20"/>
              </w:rPr>
            </w:pPr>
            <w:r w:rsidRPr="00252D7B">
              <w:rPr>
                <w:rFonts w:asciiTheme="minorHAnsi" w:hAnsiTheme="minorHAnsi" w:cstheme="minorHAnsi"/>
                <w:sz w:val="20"/>
                <w:szCs w:val="20"/>
              </w:rPr>
              <w:t>699154</w:t>
            </w:r>
          </w:p>
        </w:tc>
        <w:tc>
          <w:tcPr>
            <w:tcW w:w="1118" w:type="pct"/>
            <w:shd w:val="clear" w:color="auto" w:fill="FFFFFF"/>
            <w:noWrap/>
            <w:tcMar>
              <w:top w:w="15" w:type="dxa"/>
              <w:left w:w="15" w:type="dxa"/>
              <w:bottom w:w="0" w:type="dxa"/>
              <w:right w:w="15" w:type="dxa"/>
            </w:tcMar>
            <w:vAlign w:val="bottom"/>
          </w:tcPr>
          <w:p w14:paraId="0E10BB97" w14:textId="77777777" w:rsidR="0013173C" w:rsidRPr="00252D7B" w:rsidRDefault="0013173C" w:rsidP="00F6584E">
            <w:pPr>
              <w:spacing w:after="120"/>
              <w:jc w:val="center"/>
              <w:rPr>
                <w:rFonts w:asciiTheme="minorHAnsi" w:hAnsiTheme="minorHAnsi" w:cstheme="minorHAnsi"/>
                <w:sz w:val="20"/>
                <w:szCs w:val="20"/>
              </w:rPr>
            </w:pPr>
            <w:r w:rsidRPr="00252D7B">
              <w:rPr>
                <w:rFonts w:asciiTheme="minorHAnsi" w:hAnsiTheme="minorHAnsi" w:cstheme="minorHAnsi"/>
                <w:sz w:val="20"/>
                <w:szCs w:val="20"/>
              </w:rPr>
              <w:t>ME/RJ</w:t>
            </w:r>
          </w:p>
        </w:tc>
        <w:tc>
          <w:tcPr>
            <w:tcW w:w="978" w:type="pct"/>
            <w:shd w:val="clear" w:color="auto" w:fill="FFFFFF"/>
            <w:vAlign w:val="bottom"/>
          </w:tcPr>
          <w:p w14:paraId="32F93685" w14:textId="77777777" w:rsidR="0013173C" w:rsidRPr="00252D7B" w:rsidRDefault="0013173C" w:rsidP="00F6584E">
            <w:pPr>
              <w:spacing w:after="120"/>
              <w:jc w:val="center"/>
              <w:rPr>
                <w:rFonts w:asciiTheme="minorHAnsi" w:hAnsiTheme="minorHAnsi" w:cstheme="minorHAnsi"/>
                <w:sz w:val="20"/>
                <w:szCs w:val="20"/>
              </w:rPr>
            </w:pPr>
            <w:r w:rsidRPr="00252D7B">
              <w:rPr>
                <w:rFonts w:asciiTheme="minorHAnsi" w:hAnsiTheme="minorHAnsi" w:cstheme="minorHAnsi"/>
                <w:sz w:val="20"/>
                <w:szCs w:val="20"/>
              </w:rPr>
              <w:t>09.12.2020</w:t>
            </w:r>
          </w:p>
        </w:tc>
        <w:tc>
          <w:tcPr>
            <w:tcW w:w="993" w:type="pct"/>
            <w:shd w:val="clear" w:color="auto" w:fill="FFFFFF"/>
            <w:noWrap/>
            <w:tcMar>
              <w:top w:w="15" w:type="dxa"/>
              <w:left w:w="15" w:type="dxa"/>
              <w:bottom w:w="0" w:type="dxa"/>
              <w:right w:w="15" w:type="dxa"/>
            </w:tcMar>
            <w:vAlign w:val="bottom"/>
          </w:tcPr>
          <w:p w14:paraId="1DAD5BAB" w14:textId="77777777" w:rsidR="0013173C" w:rsidRPr="00252D7B" w:rsidRDefault="0013173C" w:rsidP="00F6584E">
            <w:pPr>
              <w:spacing w:after="120"/>
              <w:jc w:val="right"/>
              <w:rPr>
                <w:rFonts w:asciiTheme="minorHAnsi" w:hAnsiTheme="minorHAnsi" w:cstheme="minorHAnsi"/>
                <w:sz w:val="20"/>
                <w:szCs w:val="20"/>
              </w:rPr>
            </w:pPr>
            <w:r w:rsidRPr="00252D7B">
              <w:rPr>
                <w:rFonts w:asciiTheme="minorHAnsi" w:hAnsiTheme="minorHAnsi" w:cstheme="minorHAnsi"/>
                <w:sz w:val="20"/>
                <w:szCs w:val="20"/>
              </w:rPr>
              <w:t>0</w:t>
            </w:r>
          </w:p>
        </w:tc>
      </w:tr>
      <w:tr w:rsidR="0013173C" w:rsidRPr="00252D7B" w14:paraId="3B1D5574" w14:textId="77777777" w:rsidTr="00F6584E">
        <w:trPr>
          <w:trHeight w:hRule="exact" w:val="227"/>
        </w:trPr>
        <w:tc>
          <w:tcPr>
            <w:tcW w:w="1034" w:type="pct"/>
            <w:shd w:val="clear" w:color="auto" w:fill="FFFFFF"/>
            <w:noWrap/>
            <w:tcMar>
              <w:top w:w="15" w:type="dxa"/>
              <w:left w:w="15" w:type="dxa"/>
              <w:bottom w:w="0" w:type="dxa"/>
              <w:right w:w="15" w:type="dxa"/>
            </w:tcMar>
            <w:vAlign w:val="bottom"/>
            <w:hideMark/>
          </w:tcPr>
          <w:p w14:paraId="58BB6196" w14:textId="77777777" w:rsidR="0013173C" w:rsidRPr="00252D7B" w:rsidRDefault="0013173C" w:rsidP="00F6584E">
            <w:pPr>
              <w:spacing w:after="120"/>
              <w:jc w:val="center"/>
              <w:rPr>
                <w:rFonts w:asciiTheme="minorHAnsi" w:hAnsiTheme="minorHAnsi" w:cstheme="minorHAnsi"/>
                <w:sz w:val="20"/>
                <w:szCs w:val="20"/>
              </w:rPr>
            </w:pPr>
            <w:r w:rsidRPr="00252D7B">
              <w:rPr>
                <w:rFonts w:asciiTheme="minorHAnsi" w:hAnsiTheme="minorHAnsi" w:cstheme="minorHAnsi"/>
                <w:sz w:val="20"/>
                <w:szCs w:val="20"/>
              </w:rPr>
              <w:t>001/2020</w:t>
            </w:r>
          </w:p>
        </w:tc>
        <w:tc>
          <w:tcPr>
            <w:tcW w:w="877" w:type="pct"/>
            <w:shd w:val="clear" w:color="auto" w:fill="FFFFFF"/>
            <w:noWrap/>
            <w:tcMar>
              <w:top w:w="15" w:type="dxa"/>
              <w:left w:w="15" w:type="dxa"/>
              <w:bottom w:w="0" w:type="dxa"/>
              <w:right w:w="15" w:type="dxa"/>
            </w:tcMar>
            <w:vAlign w:val="bottom"/>
            <w:hideMark/>
          </w:tcPr>
          <w:p w14:paraId="279B9DFF" w14:textId="77777777" w:rsidR="0013173C" w:rsidRPr="00252D7B" w:rsidRDefault="0013173C" w:rsidP="00F6584E">
            <w:pPr>
              <w:spacing w:after="120"/>
              <w:jc w:val="center"/>
              <w:rPr>
                <w:rFonts w:asciiTheme="minorHAnsi" w:hAnsiTheme="minorHAnsi" w:cstheme="minorHAnsi"/>
                <w:sz w:val="20"/>
                <w:szCs w:val="20"/>
              </w:rPr>
            </w:pPr>
            <w:r w:rsidRPr="00252D7B">
              <w:rPr>
                <w:rFonts w:asciiTheme="minorHAnsi" w:hAnsiTheme="minorHAnsi" w:cstheme="minorHAnsi"/>
                <w:sz w:val="20"/>
                <w:szCs w:val="20"/>
              </w:rPr>
              <w:t>1AABOM</w:t>
            </w:r>
          </w:p>
        </w:tc>
        <w:tc>
          <w:tcPr>
            <w:tcW w:w="1118" w:type="pct"/>
            <w:shd w:val="clear" w:color="auto" w:fill="FFFFFF"/>
            <w:noWrap/>
            <w:tcMar>
              <w:top w:w="15" w:type="dxa"/>
              <w:left w:w="15" w:type="dxa"/>
              <w:bottom w:w="0" w:type="dxa"/>
              <w:right w:w="15" w:type="dxa"/>
            </w:tcMar>
            <w:vAlign w:val="bottom"/>
            <w:hideMark/>
          </w:tcPr>
          <w:p w14:paraId="180905B3" w14:textId="77777777" w:rsidR="0013173C" w:rsidRPr="00252D7B" w:rsidRDefault="0013173C" w:rsidP="00F6584E">
            <w:pPr>
              <w:spacing w:after="120"/>
              <w:jc w:val="center"/>
              <w:rPr>
                <w:rFonts w:asciiTheme="minorHAnsi" w:hAnsiTheme="minorHAnsi" w:cstheme="minorHAnsi"/>
                <w:sz w:val="20"/>
                <w:szCs w:val="20"/>
              </w:rPr>
            </w:pPr>
            <w:r w:rsidRPr="00252D7B">
              <w:rPr>
                <w:rFonts w:asciiTheme="minorHAnsi" w:hAnsiTheme="minorHAnsi" w:cstheme="minorHAnsi"/>
                <w:sz w:val="20"/>
                <w:szCs w:val="20"/>
              </w:rPr>
              <w:t>EXÉRCITO</w:t>
            </w:r>
          </w:p>
        </w:tc>
        <w:tc>
          <w:tcPr>
            <w:tcW w:w="978" w:type="pct"/>
            <w:shd w:val="clear" w:color="auto" w:fill="FFFFFF"/>
            <w:vAlign w:val="bottom"/>
          </w:tcPr>
          <w:p w14:paraId="2D2C5123" w14:textId="77777777" w:rsidR="0013173C" w:rsidRPr="00252D7B" w:rsidRDefault="0013173C" w:rsidP="00F6584E">
            <w:pPr>
              <w:spacing w:after="120"/>
              <w:jc w:val="center"/>
              <w:rPr>
                <w:rFonts w:asciiTheme="minorHAnsi" w:hAnsiTheme="minorHAnsi" w:cstheme="minorHAnsi"/>
                <w:sz w:val="20"/>
                <w:szCs w:val="20"/>
              </w:rPr>
            </w:pPr>
            <w:r w:rsidRPr="00252D7B">
              <w:rPr>
                <w:rFonts w:asciiTheme="minorHAnsi" w:hAnsiTheme="minorHAnsi" w:cstheme="minorHAnsi"/>
                <w:sz w:val="20"/>
                <w:szCs w:val="20"/>
              </w:rPr>
              <w:t>28.09.2023</w:t>
            </w:r>
          </w:p>
        </w:tc>
        <w:tc>
          <w:tcPr>
            <w:tcW w:w="993" w:type="pct"/>
            <w:shd w:val="clear" w:color="auto" w:fill="FFFFFF"/>
            <w:noWrap/>
            <w:tcMar>
              <w:top w:w="15" w:type="dxa"/>
              <w:left w:w="15" w:type="dxa"/>
              <w:bottom w:w="0" w:type="dxa"/>
              <w:right w:w="15" w:type="dxa"/>
            </w:tcMar>
            <w:vAlign w:val="bottom"/>
            <w:hideMark/>
          </w:tcPr>
          <w:p w14:paraId="18316C88" w14:textId="77777777" w:rsidR="0013173C" w:rsidRPr="00252D7B" w:rsidRDefault="0013173C" w:rsidP="00F6584E">
            <w:pPr>
              <w:spacing w:after="120"/>
              <w:jc w:val="right"/>
              <w:rPr>
                <w:rFonts w:asciiTheme="minorHAnsi" w:hAnsiTheme="minorHAnsi" w:cstheme="minorHAnsi"/>
                <w:sz w:val="20"/>
                <w:szCs w:val="20"/>
              </w:rPr>
            </w:pPr>
            <w:r w:rsidRPr="00252D7B">
              <w:rPr>
                <w:rFonts w:asciiTheme="minorHAnsi" w:hAnsiTheme="minorHAnsi" w:cstheme="minorHAnsi"/>
                <w:sz w:val="20"/>
                <w:szCs w:val="20"/>
              </w:rPr>
              <w:t>12.546.825</w:t>
            </w:r>
          </w:p>
        </w:tc>
      </w:tr>
      <w:tr w:rsidR="0013173C" w:rsidRPr="00252D7B" w14:paraId="29A541E8" w14:textId="77777777" w:rsidTr="00F6584E">
        <w:trPr>
          <w:trHeight w:hRule="exact" w:val="227"/>
        </w:trPr>
        <w:tc>
          <w:tcPr>
            <w:tcW w:w="1034" w:type="pct"/>
            <w:shd w:val="clear" w:color="auto" w:fill="FFFFFF"/>
            <w:noWrap/>
            <w:tcMar>
              <w:top w:w="15" w:type="dxa"/>
              <w:left w:w="15" w:type="dxa"/>
              <w:bottom w:w="0" w:type="dxa"/>
              <w:right w:w="15" w:type="dxa"/>
            </w:tcMar>
            <w:vAlign w:val="bottom"/>
          </w:tcPr>
          <w:p w14:paraId="6F6417E2" w14:textId="77777777" w:rsidR="0013173C" w:rsidRPr="00252D7B" w:rsidRDefault="0013173C" w:rsidP="00F6584E">
            <w:pPr>
              <w:spacing w:after="120"/>
              <w:jc w:val="center"/>
              <w:rPr>
                <w:rFonts w:asciiTheme="minorHAnsi" w:hAnsiTheme="minorHAnsi" w:cstheme="minorHAnsi"/>
                <w:sz w:val="20"/>
                <w:szCs w:val="20"/>
              </w:rPr>
            </w:pPr>
            <w:r w:rsidRPr="00252D7B">
              <w:rPr>
                <w:rFonts w:asciiTheme="minorHAnsi" w:hAnsiTheme="minorHAnsi" w:cstheme="minorHAnsi"/>
                <w:sz w:val="20"/>
                <w:szCs w:val="20"/>
              </w:rPr>
              <w:t>002/2020</w:t>
            </w:r>
          </w:p>
        </w:tc>
        <w:tc>
          <w:tcPr>
            <w:tcW w:w="877" w:type="pct"/>
            <w:shd w:val="clear" w:color="auto" w:fill="FFFFFF"/>
            <w:noWrap/>
            <w:tcMar>
              <w:top w:w="15" w:type="dxa"/>
              <w:left w:w="15" w:type="dxa"/>
              <w:bottom w:w="0" w:type="dxa"/>
              <w:right w:w="15" w:type="dxa"/>
            </w:tcMar>
            <w:vAlign w:val="bottom"/>
          </w:tcPr>
          <w:p w14:paraId="6DF523A6" w14:textId="77777777" w:rsidR="0013173C" w:rsidRPr="00252D7B" w:rsidRDefault="0013173C" w:rsidP="00F6584E">
            <w:pPr>
              <w:spacing w:after="120"/>
              <w:jc w:val="center"/>
              <w:rPr>
                <w:rFonts w:asciiTheme="minorHAnsi" w:hAnsiTheme="minorHAnsi" w:cstheme="minorHAnsi"/>
                <w:sz w:val="20"/>
                <w:szCs w:val="20"/>
              </w:rPr>
            </w:pPr>
            <w:r w:rsidRPr="00252D7B">
              <w:rPr>
                <w:rFonts w:asciiTheme="minorHAnsi" w:hAnsiTheme="minorHAnsi" w:cstheme="minorHAnsi"/>
                <w:sz w:val="20"/>
                <w:szCs w:val="20"/>
              </w:rPr>
              <w:t>1AADXR</w:t>
            </w:r>
          </w:p>
        </w:tc>
        <w:tc>
          <w:tcPr>
            <w:tcW w:w="1118" w:type="pct"/>
            <w:shd w:val="clear" w:color="auto" w:fill="FFFFFF"/>
            <w:noWrap/>
            <w:tcMar>
              <w:top w:w="15" w:type="dxa"/>
              <w:left w:w="15" w:type="dxa"/>
              <w:bottom w:w="0" w:type="dxa"/>
              <w:right w:w="15" w:type="dxa"/>
            </w:tcMar>
            <w:vAlign w:val="bottom"/>
          </w:tcPr>
          <w:p w14:paraId="70657C88" w14:textId="77777777" w:rsidR="0013173C" w:rsidRPr="00252D7B" w:rsidRDefault="0013173C" w:rsidP="00F6584E">
            <w:pPr>
              <w:spacing w:after="120"/>
              <w:jc w:val="center"/>
              <w:rPr>
                <w:rFonts w:asciiTheme="minorHAnsi" w:hAnsiTheme="minorHAnsi" w:cstheme="minorHAnsi"/>
                <w:sz w:val="20"/>
                <w:szCs w:val="20"/>
              </w:rPr>
            </w:pPr>
            <w:r w:rsidRPr="00252D7B">
              <w:rPr>
                <w:rFonts w:asciiTheme="minorHAnsi" w:hAnsiTheme="minorHAnsi" w:cstheme="minorHAnsi"/>
                <w:sz w:val="20"/>
                <w:szCs w:val="20"/>
              </w:rPr>
              <w:t>UnB</w:t>
            </w:r>
          </w:p>
        </w:tc>
        <w:tc>
          <w:tcPr>
            <w:tcW w:w="978" w:type="pct"/>
            <w:shd w:val="clear" w:color="auto" w:fill="FFFFFF"/>
            <w:vAlign w:val="bottom"/>
          </w:tcPr>
          <w:p w14:paraId="00675689" w14:textId="77777777" w:rsidR="0013173C" w:rsidRPr="00252D7B" w:rsidRDefault="0013173C" w:rsidP="00F6584E">
            <w:pPr>
              <w:spacing w:after="120"/>
              <w:jc w:val="center"/>
              <w:rPr>
                <w:rFonts w:asciiTheme="minorHAnsi" w:hAnsiTheme="minorHAnsi" w:cstheme="minorHAnsi"/>
                <w:sz w:val="20"/>
                <w:szCs w:val="20"/>
              </w:rPr>
            </w:pPr>
            <w:r w:rsidRPr="00252D7B">
              <w:rPr>
                <w:rFonts w:asciiTheme="minorHAnsi" w:hAnsiTheme="minorHAnsi" w:cstheme="minorHAnsi"/>
                <w:sz w:val="20"/>
                <w:szCs w:val="20"/>
              </w:rPr>
              <w:t>22.12.2021</w:t>
            </w:r>
          </w:p>
        </w:tc>
        <w:tc>
          <w:tcPr>
            <w:tcW w:w="993" w:type="pct"/>
            <w:shd w:val="clear" w:color="auto" w:fill="FFFFFF"/>
            <w:noWrap/>
            <w:tcMar>
              <w:top w:w="15" w:type="dxa"/>
              <w:left w:w="15" w:type="dxa"/>
              <w:bottom w:w="0" w:type="dxa"/>
              <w:right w:w="15" w:type="dxa"/>
            </w:tcMar>
            <w:vAlign w:val="bottom"/>
          </w:tcPr>
          <w:p w14:paraId="176F7341" w14:textId="77777777" w:rsidR="0013173C" w:rsidRPr="00252D7B" w:rsidRDefault="0013173C" w:rsidP="00F6584E">
            <w:pPr>
              <w:spacing w:after="120"/>
              <w:jc w:val="right"/>
              <w:rPr>
                <w:rFonts w:asciiTheme="minorHAnsi" w:hAnsiTheme="minorHAnsi" w:cstheme="minorHAnsi"/>
                <w:sz w:val="20"/>
                <w:szCs w:val="20"/>
              </w:rPr>
            </w:pPr>
            <w:r w:rsidRPr="00252D7B">
              <w:rPr>
                <w:rFonts w:asciiTheme="minorHAnsi" w:hAnsiTheme="minorHAnsi" w:cstheme="minorHAnsi"/>
                <w:sz w:val="20"/>
                <w:szCs w:val="20"/>
              </w:rPr>
              <w:t>400.000</w:t>
            </w:r>
          </w:p>
        </w:tc>
      </w:tr>
      <w:tr w:rsidR="0013173C" w:rsidRPr="00252D7B" w14:paraId="2A5A59E1" w14:textId="77777777" w:rsidTr="00F6584E">
        <w:trPr>
          <w:trHeight w:hRule="exact" w:val="227"/>
        </w:trPr>
        <w:tc>
          <w:tcPr>
            <w:tcW w:w="1034" w:type="pct"/>
            <w:shd w:val="clear" w:color="auto" w:fill="FFFFFF"/>
            <w:noWrap/>
            <w:tcMar>
              <w:top w:w="15" w:type="dxa"/>
              <w:left w:w="15" w:type="dxa"/>
              <w:bottom w:w="0" w:type="dxa"/>
              <w:right w:w="15" w:type="dxa"/>
            </w:tcMar>
            <w:vAlign w:val="bottom"/>
          </w:tcPr>
          <w:p w14:paraId="43DE3974" w14:textId="77777777" w:rsidR="0013173C" w:rsidRPr="00252D7B" w:rsidRDefault="0013173C" w:rsidP="00F6584E">
            <w:pPr>
              <w:spacing w:after="120"/>
              <w:jc w:val="center"/>
              <w:rPr>
                <w:rFonts w:asciiTheme="minorHAnsi" w:hAnsiTheme="minorHAnsi" w:cstheme="minorHAnsi"/>
                <w:sz w:val="20"/>
                <w:szCs w:val="20"/>
              </w:rPr>
            </w:pPr>
            <w:r w:rsidRPr="00252D7B">
              <w:rPr>
                <w:rFonts w:asciiTheme="minorHAnsi" w:hAnsiTheme="minorHAnsi" w:cstheme="minorHAnsi"/>
                <w:sz w:val="20"/>
                <w:szCs w:val="20"/>
              </w:rPr>
              <w:t>003/2020</w:t>
            </w:r>
          </w:p>
        </w:tc>
        <w:tc>
          <w:tcPr>
            <w:tcW w:w="877" w:type="pct"/>
            <w:shd w:val="clear" w:color="auto" w:fill="FFFFFF"/>
            <w:noWrap/>
            <w:tcMar>
              <w:top w:w="15" w:type="dxa"/>
              <w:left w:w="15" w:type="dxa"/>
              <w:bottom w:w="0" w:type="dxa"/>
              <w:right w:w="15" w:type="dxa"/>
            </w:tcMar>
            <w:vAlign w:val="bottom"/>
          </w:tcPr>
          <w:p w14:paraId="3F4EF0D5" w14:textId="77777777" w:rsidR="0013173C" w:rsidRPr="00252D7B" w:rsidRDefault="0013173C" w:rsidP="00F6584E">
            <w:pPr>
              <w:spacing w:after="120"/>
              <w:jc w:val="center"/>
              <w:rPr>
                <w:rFonts w:asciiTheme="minorHAnsi" w:hAnsiTheme="minorHAnsi" w:cstheme="minorHAnsi"/>
                <w:sz w:val="20"/>
                <w:szCs w:val="20"/>
              </w:rPr>
            </w:pPr>
            <w:r w:rsidRPr="00252D7B">
              <w:rPr>
                <w:rFonts w:asciiTheme="minorHAnsi" w:hAnsiTheme="minorHAnsi" w:cstheme="minorHAnsi"/>
                <w:sz w:val="20"/>
                <w:szCs w:val="20"/>
              </w:rPr>
              <w:t>1AADXS</w:t>
            </w:r>
          </w:p>
        </w:tc>
        <w:tc>
          <w:tcPr>
            <w:tcW w:w="1118" w:type="pct"/>
            <w:shd w:val="clear" w:color="auto" w:fill="FFFFFF"/>
            <w:noWrap/>
            <w:tcMar>
              <w:top w:w="15" w:type="dxa"/>
              <w:left w:w="15" w:type="dxa"/>
              <w:bottom w:w="0" w:type="dxa"/>
              <w:right w:w="15" w:type="dxa"/>
            </w:tcMar>
            <w:vAlign w:val="bottom"/>
          </w:tcPr>
          <w:p w14:paraId="5279DF1D" w14:textId="77777777" w:rsidR="0013173C" w:rsidRPr="00252D7B" w:rsidRDefault="0013173C" w:rsidP="00F6584E">
            <w:pPr>
              <w:spacing w:after="120"/>
              <w:jc w:val="center"/>
              <w:rPr>
                <w:rFonts w:asciiTheme="minorHAnsi" w:hAnsiTheme="minorHAnsi" w:cstheme="minorHAnsi"/>
                <w:sz w:val="20"/>
                <w:szCs w:val="20"/>
              </w:rPr>
            </w:pPr>
            <w:r w:rsidRPr="00252D7B">
              <w:rPr>
                <w:rFonts w:asciiTheme="minorHAnsi" w:hAnsiTheme="minorHAnsi" w:cstheme="minorHAnsi"/>
                <w:sz w:val="20"/>
                <w:szCs w:val="20"/>
              </w:rPr>
              <w:t>UnB</w:t>
            </w:r>
          </w:p>
        </w:tc>
        <w:tc>
          <w:tcPr>
            <w:tcW w:w="978" w:type="pct"/>
            <w:shd w:val="clear" w:color="auto" w:fill="FFFFFF"/>
            <w:vAlign w:val="bottom"/>
          </w:tcPr>
          <w:p w14:paraId="28713D2B" w14:textId="77777777" w:rsidR="0013173C" w:rsidRPr="00252D7B" w:rsidRDefault="0013173C" w:rsidP="00F6584E">
            <w:pPr>
              <w:spacing w:after="120"/>
              <w:jc w:val="center"/>
              <w:rPr>
                <w:rFonts w:asciiTheme="minorHAnsi" w:hAnsiTheme="minorHAnsi" w:cstheme="minorHAnsi"/>
                <w:sz w:val="20"/>
                <w:szCs w:val="20"/>
              </w:rPr>
            </w:pPr>
            <w:r w:rsidRPr="00252D7B">
              <w:rPr>
                <w:rFonts w:asciiTheme="minorHAnsi" w:hAnsiTheme="minorHAnsi" w:cstheme="minorHAnsi"/>
                <w:sz w:val="20"/>
                <w:szCs w:val="20"/>
              </w:rPr>
              <w:t>17.03.2022</w:t>
            </w:r>
          </w:p>
        </w:tc>
        <w:tc>
          <w:tcPr>
            <w:tcW w:w="993" w:type="pct"/>
            <w:shd w:val="clear" w:color="auto" w:fill="FFFFFF"/>
            <w:noWrap/>
            <w:tcMar>
              <w:top w:w="15" w:type="dxa"/>
              <w:left w:w="15" w:type="dxa"/>
              <w:bottom w:w="0" w:type="dxa"/>
              <w:right w:w="15" w:type="dxa"/>
            </w:tcMar>
            <w:vAlign w:val="bottom"/>
          </w:tcPr>
          <w:p w14:paraId="1B446819" w14:textId="77777777" w:rsidR="0013173C" w:rsidRPr="00252D7B" w:rsidRDefault="0013173C" w:rsidP="00F6584E">
            <w:pPr>
              <w:spacing w:after="120"/>
              <w:jc w:val="right"/>
              <w:rPr>
                <w:rFonts w:asciiTheme="minorHAnsi" w:hAnsiTheme="minorHAnsi" w:cstheme="minorHAnsi"/>
                <w:sz w:val="20"/>
                <w:szCs w:val="20"/>
              </w:rPr>
            </w:pPr>
            <w:r w:rsidRPr="00252D7B">
              <w:rPr>
                <w:rFonts w:asciiTheme="minorHAnsi" w:hAnsiTheme="minorHAnsi" w:cstheme="minorHAnsi"/>
                <w:sz w:val="20"/>
                <w:szCs w:val="20"/>
              </w:rPr>
              <w:t>509.262</w:t>
            </w:r>
          </w:p>
        </w:tc>
      </w:tr>
      <w:tr w:rsidR="0013173C" w:rsidRPr="00252D7B" w14:paraId="7663C7C6" w14:textId="77777777" w:rsidTr="00F6584E">
        <w:trPr>
          <w:trHeight w:hRule="exact" w:val="227"/>
        </w:trPr>
        <w:tc>
          <w:tcPr>
            <w:tcW w:w="1034" w:type="pct"/>
            <w:tcBorders>
              <w:bottom w:val="single" w:sz="4" w:space="0" w:color="auto"/>
            </w:tcBorders>
            <w:shd w:val="clear" w:color="auto" w:fill="FFFFFF"/>
            <w:noWrap/>
            <w:tcMar>
              <w:top w:w="15" w:type="dxa"/>
              <w:left w:w="15" w:type="dxa"/>
              <w:bottom w:w="0" w:type="dxa"/>
              <w:right w:w="15" w:type="dxa"/>
            </w:tcMar>
            <w:vAlign w:val="bottom"/>
          </w:tcPr>
          <w:p w14:paraId="6736DB90" w14:textId="77777777" w:rsidR="0013173C" w:rsidRPr="00252D7B" w:rsidRDefault="0013173C" w:rsidP="00F6584E">
            <w:pPr>
              <w:spacing w:after="120"/>
              <w:jc w:val="center"/>
              <w:rPr>
                <w:rFonts w:asciiTheme="minorHAnsi" w:hAnsiTheme="minorHAnsi" w:cstheme="minorHAnsi"/>
                <w:sz w:val="20"/>
                <w:szCs w:val="20"/>
              </w:rPr>
            </w:pPr>
            <w:r w:rsidRPr="00252D7B">
              <w:rPr>
                <w:rFonts w:asciiTheme="minorHAnsi" w:hAnsiTheme="minorHAnsi" w:cstheme="minorHAnsi"/>
                <w:sz w:val="20"/>
                <w:szCs w:val="20"/>
              </w:rPr>
              <w:t>001/2021</w:t>
            </w:r>
          </w:p>
        </w:tc>
        <w:tc>
          <w:tcPr>
            <w:tcW w:w="877" w:type="pct"/>
            <w:tcBorders>
              <w:bottom w:val="single" w:sz="4" w:space="0" w:color="auto"/>
            </w:tcBorders>
            <w:shd w:val="clear" w:color="auto" w:fill="FFFFFF"/>
            <w:noWrap/>
            <w:tcMar>
              <w:top w:w="15" w:type="dxa"/>
              <w:left w:w="15" w:type="dxa"/>
              <w:bottom w:w="0" w:type="dxa"/>
              <w:right w:w="15" w:type="dxa"/>
            </w:tcMar>
            <w:vAlign w:val="bottom"/>
          </w:tcPr>
          <w:p w14:paraId="3E920073" w14:textId="77777777" w:rsidR="0013173C" w:rsidRPr="00252D7B" w:rsidRDefault="0013173C" w:rsidP="00F6584E">
            <w:pPr>
              <w:spacing w:after="120"/>
              <w:jc w:val="center"/>
              <w:rPr>
                <w:rFonts w:asciiTheme="minorHAnsi" w:hAnsiTheme="minorHAnsi" w:cstheme="minorHAnsi"/>
                <w:sz w:val="20"/>
                <w:szCs w:val="20"/>
              </w:rPr>
            </w:pPr>
            <w:r w:rsidRPr="00252D7B">
              <w:rPr>
                <w:rFonts w:asciiTheme="minorHAnsi" w:hAnsiTheme="minorHAnsi" w:cstheme="minorHAnsi"/>
                <w:sz w:val="20"/>
                <w:szCs w:val="20"/>
              </w:rPr>
              <w:t>1AAETV</w:t>
            </w:r>
          </w:p>
        </w:tc>
        <w:tc>
          <w:tcPr>
            <w:tcW w:w="1118" w:type="pct"/>
            <w:tcBorders>
              <w:bottom w:val="single" w:sz="4" w:space="0" w:color="auto"/>
            </w:tcBorders>
            <w:shd w:val="clear" w:color="auto" w:fill="FFFFFF"/>
            <w:noWrap/>
            <w:tcMar>
              <w:top w:w="15" w:type="dxa"/>
              <w:left w:w="15" w:type="dxa"/>
              <w:bottom w:w="0" w:type="dxa"/>
              <w:right w:w="15" w:type="dxa"/>
            </w:tcMar>
            <w:vAlign w:val="bottom"/>
          </w:tcPr>
          <w:p w14:paraId="02280D27" w14:textId="77777777" w:rsidR="0013173C" w:rsidRPr="00252D7B" w:rsidRDefault="0013173C" w:rsidP="00F6584E">
            <w:pPr>
              <w:spacing w:after="120"/>
              <w:jc w:val="center"/>
              <w:rPr>
                <w:rFonts w:asciiTheme="minorHAnsi" w:hAnsiTheme="minorHAnsi" w:cstheme="minorHAnsi"/>
                <w:sz w:val="20"/>
                <w:szCs w:val="20"/>
              </w:rPr>
            </w:pPr>
            <w:r w:rsidRPr="00252D7B">
              <w:rPr>
                <w:rFonts w:asciiTheme="minorHAnsi" w:hAnsiTheme="minorHAnsi" w:cstheme="minorHAnsi"/>
                <w:sz w:val="20"/>
                <w:szCs w:val="20"/>
              </w:rPr>
              <w:t>MCTI</w:t>
            </w:r>
          </w:p>
        </w:tc>
        <w:tc>
          <w:tcPr>
            <w:tcW w:w="978" w:type="pct"/>
            <w:tcBorders>
              <w:bottom w:val="single" w:sz="4" w:space="0" w:color="auto"/>
            </w:tcBorders>
            <w:shd w:val="clear" w:color="auto" w:fill="FFFFFF"/>
            <w:vAlign w:val="bottom"/>
          </w:tcPr>
          <w:p w14:paraId="558D4EAF" w14:textId="77777777" w:rsidR="0013173C" w:rsidRPr="00252D7B" w:rsidRDefault="0013173C" w:rsidP="00F6584E">
            <w:pPr>
              <w:spacing w:after="120"/>
              <w:jc w:val="center"/>
              <w:rPr>
                <w:rFonts w:asciiTheme="minorHAnsi" w:hAnsiTheme="minorHAnsi" w:cstheme="minorHAnsi"/>
                <w:sz w:val="20"/>
                <w:szCs w:val="20"/>
              </w:rPr>
            </w:pPr>
            <w:r w:rsidRPr="00252D7B">
              <w:rPr>
                <w:rFonts w:asciiTheme="minorHAnsi" w:hAnsiTheme="minorHAnsi" w:cstheme="minorHAnsi"/>
                <w:sz w:val="20"/>
                <w:szCs w:val="20"/>
              </w:rPr>
              <w:t>24.06.2022</w:t>
            </w:r>
          </w:p>
        </w:tc>
        <w:tc>
          <w:tcPr>
            <w:tcW w:w="993" w:type="pct"/>
            <w:tcBorders>
              <w:bottom w:val="single" w:sz="4" w:space="0" w:color="auto"/>
            </w:tcBorders>
            <w:shd w:val="clear" w:color="auto" w:fill="FFFFFF"/>
            <w:noWrap/>
            <w:tcMar>
              <w:top w:w="15" w:type="dxa"/>
              <w:left w:w="15" w:type="dxa"/>
              <w:bottom w:w="0" w:type="dxa"/>
              <w:right w:w="15" w:type="dxa"/>
            </w:tcMar>
            <w:vAlign w:val="bottom"/>
          </w:tcPr>
          <w:p w14:paraId="29106E4A" w14:textId="77777777" w:rsidR="0013173C" w:rsidRPr="00252D7B" w:rsidRDefault="0013173C" w:rsidP="00F6584E">
            <w:pPr>
              <w:spacing w:after="120"/>
              <w:jc w:val="right"/>
              <w:rPr>
                <w:rFonts w:asciiTheme="minorHAnsi" w:hAnsiTheme="minorHAnsi" w:cstheme="minorHAnsi"/>
                <w:sz w:val="20"/>
                <w:szCs w:val="20"/>
              </w:rPr>
            </w:pPr>
            <w:r w:rsidRPr="00252D7B">
              <w:rPr>
                <w:rFonts w:asciiTheme="minorHAnsi" w:hAnsiTheme="minorHAnsi" w:cstheme="minorHAnsi"/>
                <w:sz w:val="20"/>
                <w:szCs w:val="20"/>
              </w:rPr>
              <w:t>597.444</w:t>
            </w:r>
          </w:p>
        </w:tc>
      </w:tr>
      <w:tr w:rsidR="0013173C" w:rsidRPr="00252D7B" w14:paraId="2A9B0818" w14:textId="77777777" w:rsidTr="00F6584E">
        <w:trPr>
          <w:trHeight w:hRule="exact" w:val="227"/>
        </w:trPr>
        <w:tc>
          <w:tcPr>
            <w:tcW w:w="1034" w:type="pct"/>
            <w:tcBorders>
              <w:top w:val="single" w:sz="4" w:space="0" w:color="auto"/>
              <w:bottom w:val="single" w:sz="8" w:space="0" w:color="000000"/>
            </w:tcBorders>
            <w:shd w:val="clear" w:color="auto" w:fill="FFFFFF"/>
            <w:noWrap/>
            <w:tcMar>
              <w:top w:w="15" w:type="dxa"/>
              <w:left w:w="15" w:type="dxa"/>
              <w:bottom w:w="0" w:type="dxa"/>
              <w:right w:w="15" w:type="dxa"/>
            </w:tcMar>
            <w:vAlign w:val="bottom"/>
          </w:tcPr>
          <w:p w14:paraId="6CF3EE4A" w14:textId="77777777" w:rsidR="0013173C" w:rsidRPr="00252D7B" w:rsidRDefault="0013173C" w:rsidP="00F6584E">
            <w:pPr>
              <w:spacing w:after="120"/>
              <w:jc w:val="center"/>
              <w:rPr>
                <w:rFonts w:asciiTheme="minorHAnsi" w:hAnsiTheme="minorHAnsi" w:cstheme="minorHAnsi"/>
                <w:b/>
                <w:sz w:val="20"/>
                <w:szCs w:val="20"/>
              </w:rPr>
            </w:pPr>
            <w:r w:rsidRPr="00252D7B">
              <w:rPr>
                <w:rFonts w:asciiTheme="minorHAnsi" w:hAnsiTheme="minorHAnsi" w:cstheme="minorHAnsi"/>
                <w:b/>
                <w:sz w:val="20"/>
                <w:szCs w:val="20"/>
              </w:rPr>
              <w:t>TOTAL EM 31/12/2021</w:t>
            </w:r>
          </w:p>
        </w:tc>
        <w:tc>
          <w:tcPr>
            <w:tcW w:w="877" w:type="pct"/>
            <w:tcBorders>
              <w:top w:val="single" w:sz="4" w:space="0" w:color="auto"/>
              <w:bottom w:val="single" w:sz="8" w:space="0" w:color="000000"/>
            </w:tcBorders>
            <w:shd w:val="clear" w:color="auto" w:fill="FFFFFF"/>
            <w:noWrap/>
            <w:tcMar>
              <w:top w:w="15" w:type="dxa"/>
              <w:left w:w="15" w:type="dxa"/>
              <w:bottom w:w="0" w:type="dxa"/>
              <w:right w:w="15" w:type="dxa"/>
            </w:tcMar>
            <w:vAlign w:val="bottom"/>
          </w:tcPr>
          <w:p w14:paraId="6509745B" w14:textId="77777777" w:rsidR="0013173C" w:rsidRPr="00252D7B" w:rsidRDefault="0013173C" w:rsidP="00F6584E">
            <w:pPr>
              <w:spacing w:after="120"/>
              <w:jc w:val="center"/>
              <w:rPr>
                <w:rFonts w:asciiTheme="minorHAnsi" w:hAnsiTheme="minorHAnsi" w:cstheme="minorHAnsi"/>
                <w:b/>
                <w:sz w:val="20"/>
                <w:szCs w:val="20"/>
              </w:rPr>
            </w:pPr>
          </w:p>
        </w:tc>
        <w:tc>
          <w:tcPr>
            <w:tcW w:w="1118" w:type="pct"/>
            <w:tcBorders>
              <w:top w:val="single" w:sz="4" w:space="0" w:color="auto"/>
              <w:bottom w:val="single" w:sz="8" w:space="0" w:color="000000"/>
            </w:tcBorders>
            <w:shd w:val="clear" w:color="auto" w:fill="FFFFFF"/>
            <w:noWrap/>
            <w:tcMar>
              <w:top w:w="15" w:type="dxa"/>
              <w:left w:w="15" w:type="dxa"/>
              <w:bottom w:w="0" w:type="dxa"/>
              <w:right w:w="15" w:type="dxa"/>
            </w:tcMar>
            <w:vAlign w:val="bottom"/>
          </w:tcPr>
          <w:p w14:paraId="36C1C16B" w14:textId="77777777" w:rsidR="0013173C" w:rsidRPr="00252D7B" w:rsidRDefault="0013173C" w:rsidP="00F6584E">
            <w:pPr>
              <w:spacing w:after="120"/>
              <w:jc w:val="center"/>
              <w:rPr>
                <w:rFonts w:asciiTheme="minorHAnsi" w:hAnsiTheme="minorHAnsi" w:cstheme="minorHAnsi"/>
                <w:b/>
                <w:sz w:val="20"/>
                <w:szCs w:val="20"/>
              </w:rPr>
            </w:pPr>
          </w:p>
        </w:tc>
        <w:tc>
          <w:tcPr>
            <w:tcW w:w="978" w:type="pct"/>
            <w:tcBorders>
              <w:top w:val="single" w:sz="4" w:space="0" w:color="auto"/>
              <w:bottom w:val="single" w:sz="4" w:space="0" w:color="auto"/>
            </w:tcBorders>
            <w:shd w:val="clear" w:color="auto" w:fill="FFFFFF"/>
          </w:tcPr>
          <w:p w14:paraId="4225F119" w14:textId="77777777" w:rsidR="0013173C" w:rsidRPr="00252D7B" w:rsidRDefault="0013173C" w:rsidP="00F6584E">
            <w:pPr>
              <w:spacing w:after="120"/>
              <w:jc w:val="center"/>
              <w:rPr>
                <w:rFonts w:asciiTheme="minorHAnsi" w:hAnsiTheme="minorHAnsi" w:cstheme="minorHAnsi"/>
                <w:b/>
                <w:sz w:val="20"/>
                <w:szCs w:val="20"/>
              </w:rPr>
            </w:pPr>
          </w:p>
        </w:tc>
        <w:tc>
          <w:tcPr>
            <w:tcW w:w="993" w:type="pct"/>
            <w:tcBorders>
              <w:top w:val="single" w:sz="4" w:space="0" w:color="auto"/>
              <w:bottom w:val="single" w:sz="4" w:space="0" w:color="auto"/>
            </w:tcBorders>
            <w:shd w:val="clear" w:color="auto" w:fill="FFFFFF"/>
            <w:noWrap/>
            <w:tcMar>
              <w:top w:w="15" w:type="dxa"/>
              <w:left w:w="15" w:type="dxa"/>
              <w:bottom w:w="0" w:type="dxa"/>
              <w:right w:w="15" w:type="dxa"/>
            </w:tcMar>
            <w:vAlign w:val="bottom"/>
          </w:tcPr>
          <w:p w14:paraId="449F3402" w14:textId="77777777" w:rsidR="0013173C" w:rsidRPr="00252D7B" w:rsidRDefault="0013173C" w:rsidP="00F6584E">
            <w:pPr>
              <w:spacing w:after="120"/>
              <w:jc w:val="right"/>
              <w:rPr>
                <w:rFonts w:asciiTheme="minorHAnsi" w:hAnsiTheme="minorHAnsi" w:cstheme="minorHAnsi"/>
                <w:b/>
                <w:sz w:val="20"/>
                <w:szCs w:val="20"/>
              </w:rPr>
            </w:pPr>
            <w:r w:rsidRPr="00252D7B">
              <w:rPr>
                <w:rFonts w:asciiTheme="minorHAnsi" w:hAnsiTheme="minorHAnsi" w:cstheme="minorHAnsi"/>
                <w:b/>
                <w:sz w:val="20"/>
                <w:szCs w:val="20"/>
              </w:rPr>
              <w:t>14.125.479</w:t>
            </w:r>
          </w:p>
        </w:tc>
      </w:tr>
    </w:tbl>
    <w:p w14:paraId="1892529E" w14:textId="77777777" w:rsidR="0013173C" w:rsidRPr="00252D7B" w:rsidRDefault="0013173C" w:rsidP="0013173C">
      <w:pPr>
        <w:tabs>
          <w:tab w:val="left" w:pos="709"/>
        </w:tabs>
        <w:autoSpaceDE/>
        <w:autoSpaceDN/>
        <w:spacing w:before="120" w:after="120" w:line="276" w:lineRule="auto"/>
        <w:jc w:val="both"/>
        <w:rPr>
          <w:rFonts w:asciiTheme="minorHAnsi" w:hAnsiTheme="minorHAnsi" w:cstheme="minorHAnsi"/>
          <w:color w:val="201F1E"/>
          <w:sz w:val="24"/>
          <w:szCs w:val="24"/>
        </w:rPr>
      </w:pPr>
    </w:p>
    <w:p w14:paraId="40783F54" w14:textId="77777777" w:rsidR="0013173C" w:rsidRPr="00252D7B" w:rsidRDefault="0013173C" w:rsidP="007A141F">
      <w:pPr>
        <w:pStyle w:val="PargrafodaLista"/>
        <w:numPr>
          <w:ilvl w:val="0"/>
          <w:numId w:val="9"/>
        </w:numPr>
        <w:tabs>
          <w:tab w:val="left" w:pos="709"/>
        </w:tabs>
        <w:autoSpaceDE/>
        <w:autoSpaceDN/>
        <w:spacing w:before="120" w:after="120" w:line="276" w:lineRule="auto"/>
        <w:ind w:left="714" w:hanging="357"/>
        <w:contextualSpacing w:val="0"/>
        <w:jc w:val="both"/>
        <w:rPr>
          <w:rFonts w:asciiTheme="minorHAnsi" w:hAnsiTheme="minorHAnsi" w:cstheme="minorHAnsi"/>
          <w:color w:val="201F1E"/>
          <w:sz w:val="24"/>
          <w:szCs w:val="24"/>
        </w:rPr>
      </w:pPr>
      <w:r w:rsidRPr="00252D7B">
        <w:rPr>
          <w:rFonts w:asciiTheme="minorHAnsi" w:hAnsiTheme="minorHAnsi" w:cstheme="minorHAnsi"/>
          <w:color w:val="201F1E"/>
          <w:sz w:val="24"/>
          <w:szCs w:val="24"/>
        </w:rPr>
        <w:t>Termo de Execução Descentralizada n°. 002/2013, celebrado entre a Valec e a Universidade Federal do Recôncavo da Bahia - UFRB, cujo objeto é a prospecção e salvamento de fósseis e educação patrimonial na área de influência da Ferrovia de Integração Oeste-Leste (FIOL). No 1º trimestre de 2021, houve a prestação de contas, no valor de R$ 570 mil. O TED foi devidamente concluído; </w:t>
      </w:r>
    </w:p>
    <w:p w14:paraId="602261BD" w14:textId="77777777" w:rsidR="0013173C" w:rsidRPr="00252D7B" w:rsidRDefault="0013173C" w:rsidP="007A141F">
      <w:pPr>
        <w:pStyle w:val="PargrafodaLista"/>
        <w:numPr>
          <w:ilvl w:val="0"/>
          <w:numId w:val="9"/>
        </w:numPr>
        <w:tabs>
          <w:tab w:val="left" w:pos="709"/>
        </w:tabs>
        <w:autoSpaceDE/>
        <w:autoSpaceDN/>
        <w:spacing w:before="120" w:after="120" w:line="276" w:lineRule="auto"/>
        <w:ind w:left="714" w:hanging="357"/>
        <w:contextualSpacing w:val="0"/>
        <w:jc w:val="both"/>
        <w:rPr>
          <w:rFonts w:asciiTheme="minorHAnsi" w:hAnsiTheme="minorHAnsi" w:cstheme="minorHAnsi"/>
          <w:color w:val="201F1E"/>
          <w:sz w:val="24"/>
          <w:szCs w:val="24"/>
        </w:rPr>
      </w:pPr>
      <w:r w:rsidRPr="00252D7B">
        <w:rPr>
          <w:rFonts w:asciiTheme="minorHAnsi" w:hAnsiTheme="minorHAnsi" w:cstheme="minorHAnsi"/>
          <w:color w:val="201F1E"/>
          <w:sz w:val="24"/>
          <w:szCs w:val="24"/>
        </w:rPr>
        <w:t>Termo de Execução Descentralizada n°. 003/2013, celebrado entre a Valec e a CIA Brasileira de Trens Urbanos-CBTU, cujo objeto é o disciplinamento do uso compartilhado das áreas de uso comum voltadas à administração, segurança, controle e fiscalização do Edifício Renato Azevedo Feio, situado na praça Procópio Ferreira-RJ, bem como o rateio das correlatas despesas. Compartilham o uso das dependências os seguintes órgãos e entidades partícipes: Inventariança-RFFSA, CBTU, Valec e AGU, que são representados, oportunamente, nas assembleias por servidores formalmente nomeados pelas respectivas direções. Teve a vigência até 28 de março de 2021, e encontra-se com a prestação de contas em andamento;</w:t>
      </w:r>
    </w:p>
    <w:p w14:paraId="220C82E7" w14:textId="40BE51A7" w:rsidR="0013173C" w:rsidRPr="00252D7B" w:rsidRDefault="0013173C" w:rsidP="007A141F">
      <w:pPr>
        <w:pStyle w:val="PargrafodaLista"/>
        <w:numPr>
          <w:ilvl w:val="0"/>
          <w:numId w:val="9"/>
        </w:numPr>
        <w:tabs>
          <w:tab w:val="left" w:pos="709"/>
        </w:tabs>
        <w:autoSpaceDE/>
        <w:autoSpaceDN/>
        <w:spacing w:before="120" w:after="120" w:line="276" w:lineRule="auto"/>
        <w:ind w:left="714" w:hanging="357"/>
        <w:contextualSpacing w:val="0"/>
        <w:jc w:val="both"/>
        <w:rPr>
          <w:rFonts w:asciiTheme="minorHAnsi" w:hAnsiTheme="minorHAnsi" w:cstheme="minorHAnsi"/>
          <w:color w:val="201F1E"/>
          <w:sz w:val="24"/>
          <w:szCs w:val="24"/>
        </w:rPr>
      </w:pPr>
      <w:r w:rsidRPr="00252D7B">
        <w:rPr>
          <w:rFonts w:asciiTheme="minorHAnsi" w:hAnsiTheme="minorHAnsi" w:cstheme="minorHAnsi"/>
          <w:color w:val="201F1E"/>
          <w:sz w:val="24"/>
          <w:szCs w:val="24"/>
        </w:rPr>
        <w:t>Termo de Execução Descentralizada n°. 001/2014, celebrado entre a Valec e a Universidade Federal do Rio Grande do Sul -</w:t>
      </w:r>
      <w:r w:rsidR="00C862D5">
        <w:rPr>
          <w:rFonts w:asciiTheme="minorHAnsi" w:hAnsiTheme="minorHAnsi" w:cstheme="minorHAnsi"/>
          <w:color w:val="201F1E"/>
          <w:sz w:val="24"/>
          <w:szCs w:val="24"/>
        </w:rPr>
        <w:t xml:space="preserve"> </w:t>
      </w:r>
      <w:r w:rsidRPr="00252D7B">
        <w:rPr>
          <w:rFonts w:asciiTheme="minorHAnsi" w:hAnsiTheme="minorHAnsi" w:cstheme="minorHAnsi"/>
          <w:color w:val="201F1E"/>
          <w:sz w:val="24"/>
          <w:szCs w:val="24"/>
        </w:rPr>
        <w:t>UFRGS, cujo objeto é executar a avaliação mecânico metalúrgica de 242.490 (duzentos e quarenta e dois mil, quatrocentos e noventa) toneladas de trilhos ferroviários a serem adquiridos pela Valec Engenharia, Construções e Ferrovias s.a. A Valec requereu junto à Advocacia Geral da União, em dezembro de 2019, a instauração do procedimento conciliatório com a finalidade de dirimir a controvérsia com a Universidade</w:t>
      </w:r>
      <w:r w:rsidR="00C862D5">
        <w:rPr>
          <w:rFonts w:asciiTheme="minorHAnsi" w:hAnsiTheme="minorHAnsi" w:cstheme="minorHAnsi"/>
          <w:color w:val="201F1E"/>
          <w:sz w:val="24"/>
          <w:szCs w:val="24"/>
        </w:rPr>
        <w:t xml:space="preserve"> Federal</w:t>
      </w:r>
      <w:r w:rsidRPr="00252D7B">
        <w:rPr>
          <w:rFonts w:asciiTheme="minorHAnsi" w:hAnsiTheme="minorHAnsi" w:cstheme="minorHAnsi"/>
          <w:color w:val="201F1E"/>
          <w:sz w:val="24"/>
          <w:szCs w:val="24"/>
        </w:rPr>
        <w:t xml:space="preserve"> do Rio Grande do Sul- UFR</w:t>
      </w:r>
      <w:r w:rsidR="00C862D5">
        <w:rPr>
          <w:rFonts w:asciiTheme="minorHAnsi" w:hAnsiTheme="minorHAnsi" w:cstheme="minorHAnsi"/>
          <w:color w:val="201F1E"/>
          <w:sz w:val="24"/>
          <w:szCs w:val="24"/>
        </w:rPr>
        <w:t>G</w:t>
      </w:r>
      <w:r w:rsidRPr="00252D7B">
        <w:rPr>
          <w:rFonts w:asciiTheme="minorHAnsi" w:hAnsiTheme="minorHAnsi" w:cstheme="minorHAnsi"/>
          <w:color w:val="201F1E"/>
          <w:sz w:val="24"/>
          <w:szCs w:val="24"/>
        </w:rPr>
        <w:t xml:space="preserve">S, no que diz respeito à prestação de contas O processo de conciliação na Câmara de Conciliação e Arbitragem da Administração Federal – CCAF e em junho/2021 houve a prestação de contas e o seu encerramento, conforme consta no processo SEI 51402.001857/2020. e os gastos foram comprovados no 2º trimestre de 2021;  </w:t>
      </w:r>
    </w:p>
    <w:p w14:paraId="55069954" w14:textId="77777777" w:rsidR="0013173C" w:rsidRPr="00252D7B" w:rsidRDefault="0013173C" w:rsidP="007A141F">
      <w:pPr>
        <w:pStyle w:val="PargrafodaLista"/>
        <w:numPr>
          <w:ilvl w:val="0"/>
          <w:numId w:val="9"/>
        </w:numPr>
        <w:tabs>
          <w:tab w:val="left" w:pos="709"/>
        </w:tabs>
        <w:autoSpaceDE/>
        <w:autoSpaceDN/>
        <w:spacing w:before="120" w:after="120" w:line="276" w:lineRule="auto"/>
        <w:ind w:left="714" w:hanging="357"/>
        <w:contextualSpacing w:val="0"/>
        <w:jc w:val="both"/>
        <w:rPr>
          <w:rFonts w:asciiTheme="minorHAnsi" w:hAnsiTheme="minorHAnsi" w:cstheme="minorHAnsi"/>
          <w:color w:val="201F1E"/>
          <w:sz w:val="24"/>
          <w:szCs w:val="24"/>
        </w:rPr>
      </w:pPr>
      <w:r w:rsidRPr="00252D7B">
        <w:rPr>
          <w:rFonts w:asciiTheme="minorHAnsi" w:hAnsiTheme="minorHAnsi" w:cstheme="minorHAnsi"/>
          <w:color w:val="201F1E"/>
          <w:sz w:val="24"/>
          <w:szCs w:val="24"/>
        </w:rPr>
        <w:t>Termo de Execução Descentralizada n°. 002/2017, celebrado entre a Valec e a Universidade Federal do Pará – UFPA, cujo objeto é mapear as competências institucionais e individuais da Valec, com vistas a desenvolver as competências qualitativas e quantitativas no âmbito da perspectiva da gestão de pessoas, prevista no mapa estratégico institucional. Com vigência até 12 de dezembro de 2020, o processo de prestação de contas foi concluído em abril de 2021;</w:t>
      </w:r>
    </w:p>
    <w:p w14:paraId="79351B4E" w14:textId="77777777" w:rsidR="0013173C" w:rsidRPr="00252D7B" w:rsidRDefault="0013173C" w:rsidP="007A141F">
      <w:pPr>
        <w:pStyle w:val="PargrafodaLista"/>
        <w:numPr>
          <w:ilvl w:val="0"/>
          <w:numId w:val="9"/>
        </w:numPr>
        <w:tabs>
          <w:tab w:val="left" w:pos="709"/>
        </w:tabs>
        <w:autoSpaceDE/>
        <w:autoSpaceDN/>
        <w:spacing w:before="120" w:after="120" w:line="276" w:lineRule="auto"/>
        <w:ind w:left="714" w:hanging="357"/>
        <w:contextualSpacing w:val="0"/>
        <w:jc w:val="both"/>
        <w:rPr>
          <w:rFonts w:asciiTheme="minorHAnsi" w:hAnsiTheme="minorHAnsi" w:cstheme="minorHAnsi"/>
          <w:color w:val="201F1E"/>
          <w:sz w:val="24"/>
          <w:szCs w:val="24"/>
        </w:rPr>
      </w:pPr>
      <w:r w:rsidRPr="00252D7B">
        <w:rPr>
          <w:rFonts w:asciiTheme="minorHAnsi" w:hAnsiTheme="minorHAnsi" w:cstheme="minorHAnsi"/>
          <w:color w:val="201F1E"/>
          <w:sz w:val="24"/>
          <w:szCs w:val="24"/>
        </w:rPr>
        <w:t>Termo de Execução Descentralizada n°. 001/2019, celebrado entre a Valec e Superintendência Regional Administrativa do Ministério da Economia - Rio de Janeiro, cujo objeto é rateio de despesas administrativas relativas à área ocupada pela Valec situada a sala 1.112 do Palácio da Fazenda/RJ, bem como ajustar forma de ressarcimento ao Ministério da Economia das despesas proporcionais correspondentes a área ocupada. Com vigência até 09 de dezembro de 2020, a prestação de contas foi concluída em abril de 2021;</w:t>
      </w:r>
    </w:p>
    <w:p w14:paraId="05657FD8" w14:textId="2AFD06A9" w:rsidR="0013173C" w:rsidRPr="00252D7B" w:rsidRDefault="0013173C" w:rsidP="007A141F">
      <w:pPr>
        <w:pStyle w:val="PargrafodaLista"/>
        <w:numPr>
          <w:ilvl w:val="0"/>
          <w:numId w:val="9"/>
        </w:numPr>
        <w:tabs>
          <w:tab w:val="left" w:pos="709"/>
        </w:tabs>
        <w:autoSpaceDE/>
        <w:autoSpaceDN/>
        <w:spacing w:before="120" w:after="120" w:line="276" w:lineRule="auto"/>
        <w:ind w:left="714" w:hanging="357"/>
        <w:contextualSpacing w:val="0"/>
        <w:jc w:val="both"/>
        <w:rPr>
          <w:rFonts w:asciiTheme="minorHAnsi" w:hAnsiTheme="minorHAnsi" w:cstheme="minorHAnsi"/>
          <w:color w:val="201F1E"/>
          <w:sz w:val="24"/>
          <w:szCs w:val="24"/>
        </w:rPr>
      </w:pPr>
      <w:r w:rsidRPr="00252D7B">
        <w:rPr>
          <w:rFonts w:asciiTheme="minorHAnsi" w:hAnsiTheme="minorHAnsi" w:cstheme="minorHAnsi"/>
          <w:color w:val="201F1E"/>
          <w:sz w:val="24"/>
          <w:szCs w:val="24"/>
        </w:rPr>
        <w:t>Termo de Execução Descentralizada n°. 001/2020 celebrado entre a Valec e o Exército Brasileiro, cujo objeto é a execução de obras remanescentes do sub-trecho da Ferrovia de Integração Oeste Leste - FIOL, compreendido entre Ilhéus/BA a Barreiras/BA sub-trecho Caetité/BA e Barreiras-BA, referente ao lote 06</w:t>
      </w:r>
      <w:r w:rsidR="00044743">
        <w:rPr>
          <w:rFonts w:asciiTheme="minorHAnsi" w:hAnsiTheme="minorHAnsi" w:cstheme="minorHAnsi"/>
          <w:color w:val="201F1E"/>
          <w:sz w:val="24"/>
          <w:szCs w:val="24"/>
        </w:rPr>
        <w:t>F</w:t>
      </w:r>
      <w:r w:rsidRPr="00252D7B">
        <w:rPr>
          <w:rFonts w:asciiTheme="minorHAnsi" w:hAnsiTheme="minorHAnsi" w:cstheme="minorHAnsi"/>
          <w:color w:val="201F1E"/>
          <w:sz w:val="24"/>
          <w:szCs w:val="24"/>
        </w:rPr>
        <w:t xml:space="preserve"> - até o início da ponte sobre o rio São Francisco, numa extensão de 18,34km. Com vigência até 08 de setembro de 2023;</w:t>
      </w:r>
    </w:p>
    <w:p w14:paraId="21E6225D" w14:textId="77777777" w:rsidR="0013173C" w:rsidRPr="00252D7B" w:rsidRDefault="0013173C" w:rsidP="007A141F">
      <w:pPr>
        <w:pStyle w:val="PargrafodaLista"/>
        <w:numPr>
          <w:ilvl w:val="0"/>
          <w:numId w:val="9"/>
        </w:numPr>
        <w:tabs>
          <w:tab w:val="left" w:pos="709"/>
        </w:tabs>
        <w:autoSpaceDE/>
        <w:autoSpaceDN/>
        <w:spacing w:before="120" w:after="120" w:line="276" w:lineRule="auto"/>
        <w:ind w:left="714" w:hanging="357"/>
        <w:contextualSpacing w:val="0"/>
        <w:jc w:val="both"/>
        <w:rPr>
          <w:rFonts w:asciiTheme="minorHAnsi" w:hAnsiTheme="minorHAnsi" w:cstheme="minorHAnsi"/>
          <w:color w:val="201F1E"/>
          <w:sz w:val="24"/>
          <w:szCs w:val="24"/>
        </w:rPr>
      </w:pPr>
      <w:r w:rsidRPr="00252D7B">
        <w:rPr>
          <w:rFonts w:asciiTheme="minorHAnsi" w:hAnsiTheme="minorHAnsi" w:cstheme="minorHAnsi"/>
          <w:color w:val="201F1E"/>
          <w:sz w:val="24"/>
          <w:szCs w:val="24"/>
        </w:rPr>
        <w:t>Termo de Execução Descentralizada n°. 002/2020, celebrado entre a Valec e a Universidade de Brasília, cujo objeto é a avaliação de metodologias desenvolvidas pela Valec por meio das Notas técnicas Nº 57/2019 (Metodologia de Ensaio de Deformação Permanente do Lastro do Lote 5S da Ferrovia Norte Sul Extensão Sul) e Nº58/2019 (Metodologia de Ensaio de Deformação Permanente do Lastro do Lote 4S da Ferrovia Norte Sul Extensão Sul), bem como, estudar e compreender a vida útil de britas de lastros por meio de ensaios e por avaliações mediante métodos numéricos avançados. Teve a vigência até 22 de dezembro de 2021, e encontra-se com a prestação de contas em andamento;</w:t>
      </w:r>
    </w:p>
    <w:p w14:paraId="14C119A9" w14:textId="77777777" w:rsidR="0013173C" w:rsidRPr="00252D7B" w:rsidRDefault="0013173C" w:rsidP="007A141F">
      <w:pPr>
        <w:pStyle w:val="PargrafodaLista"/>
        <w:numPr>
          <w:ilvl w:val="0"/>
          <w:numId w:val="9"/>
        </w:numPr>
        <w:tabs>
          <w:tab w:val="left" w:pos="709"/>
        </w:tabs>
        <w:autoSpaceDE/>
        <w:autoSpaceDN/>
        <w:spacing w:before="120" w:after="120" w:line="276" w:lineRule="auto"/>
        <w:ind w:left="714" w:hanging="357"/>
        <w:contextualSpacing w:val="0"/>
        <w:jc w:val="both"/>
        <w:rPr>
          <w:rFonts w:asciiTheme="minorHAnsi" w:hAnsiTheme="minorHAnsi" w:cstheme="minorHAnsi"/>
          <w:color w:val="201F1E"/>
          <w:sz w:val="24"/>
          <w:szCs w:val="24"/>
        </w:rPr>
      </w:pPr>
      <w:r w:rsidRPr="00252D7B">
        <w:rPr>
          <w:rFonts w:asciiTheme="minorHAnsi" w:hAnsiTheme="minorHAnsi" w:cstheme="minorHAnsi"/>
          <w:color w:val="201F1E"/>
          <w:sz w:val="24"/>
          <w:szCs w:val="24"/>
        </w:rPr>
        <w:t>Termo de Execução Descentralizada n°. 003/2020, celebrado entre a Valec e a Universidade de Brasília, cujo objeto é o desenvolvimento do modelo mental BIM de forma que os profissionais e pessoas fiquem preparadas para trabalharem de maneira integrada junto com tecnologias GIS, onde todos interagem ao mesmo tempo, conectados, com a possibilidade de falar com qualquer membro da equipe quando necessário, trocando informações e compartilhando de forma ostensiva informações, com o desenvolvimento de novas metodologias de integração de softwares. Com vigência até 17 de março de 2022; e</w:t>
      </w:r>
    </w:p>
    <w:p w14:paraId="4F0233FF" w14:textId="77777777" w:rsidR="0013173C" w:rsidRPr="00252D7B" w:rsidRDefault="0013173C" w:rsidP="007A141F">
      <w:pPr>
        <w:pStyle w:val="PargrafodaLista"/>
        <w:numPr>
          <w:ilvl w:val="0"/>
          <w:numId w:val="9"/>
        </w:numPr>
        <w:tabs>
          <w:tab w:val="left" w:pos="709"/>
        </w:tabs>
        <w:autoSpaceDE/>
        <w:autoSpaceDN/>
        <w:spacing w:before="120" w:after="120" w:line="276" w:lineRule="auto"/>
        <w:ind w:left="714" w:hanging="357"/>
        <w:contextualSpacing w:val="0"/>
        <w:jc w:val="both"/>
        <w:rPr>
          <w:rFonts w:asciiTheme="minorHAnsi" w:hAnsiTheme="minorHAnsi" w:cstheme="minorHAnsi"/>
          <w:color w:val="201F1E"/>
          <w:sz w:val="24"/>
          <w:szCs w:val="24"/>
        </w:rPr>
      </w:pPr>
      <w:r w:rsidRPr="00252D7B">
        <w:rPr>
          <w:rFonts w:asciiTheme="minorHAnsi" w:hAnsiTheme="minorHAnsi" w:cstheme="minorHAnsi"/>
          <w:color w:val="201F1E"/>
          <w:sz w:val="24"/>
          <w:szCs w:val="24"/>
        </w:rPr>
        <w:t>Termo de Execução Descentralizada nº 001/2021, celebrado entre a Valec e o Ministério da Ciência, Tecnologia e Inovações, cujo objeto é a execução de produtos e serviços de comunicação corporativa, no que trata de produção de conteúdo jornalístico, audiovisual e fotográfico, atendimento às demandas de imprensa, monitoramento de veículos online e mídias sociais. Com vigência até 24 de junho de 2022.</w:t>
      </w:r>
    </w:p>
    <w:p w14:paraId="480242C2" w14:textId="77777777" w:rsidR="0013173C" w:rsidRPr="00252D7B" w:rsidRDefault="0013173C" w:rsidP="0013173C">
      <w:pPr>
        <w:spacing w:before="120" w:after="120"/>
        <w:rPr>
          <w:rFonts w:asciiTheme="minorHAnsi" w:hAnsiTheme="minorHAnsi" w:cstheme="minorHAnsi"/>
        </w:rPr>
      </w:pPr>
    </w:p>
    <w:p w14:paraId="19C7E040" w14:textId="77777777" w:rsidR="0013173C" w:rsidRPr="00252D7B" w:rsidRDefault="0013173C" w:rsidP="00F100A9">
      <w:pPr>
        <w:pStyle w:val="Ttulo2"/>
      </w:pPr>
      <w:bookmarkStart w:id="742" w:name="_Toc97918859"/>
      <w:bookmarkStart w:id="743" w:name="_Toc103680661"/>
      <w:r w:rsidRPr="00252D7B">
        <w:t>Aprovação das demonstrações contábeis de 2021</w:t>
      </w:r>
      <w:bookmarkEnd w:id="742"/>
      <w:bookmarkEnd w:id="743"/>
    </w:p>
    <w:p w14:paraId="23F2AD93" w14:textId="77777777" w:rsidR="0013173C" w:rsidRPr="00252D7B" w:rsidRDefault="0013173C" w:rsidP="0013173C">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A deliberação das demonstrações contábeis do exercício de 2021 em Assembleia Geral Ordinária está com data prevista para dia 27 de abril de 2022, conforme </w:t>
      </w:r>
      <w:r w:rsidRPr="00252D7B">
        <w:rPr>
          <w:rFonts w:asciiTheme="minorHAnsi" w:hAnsiTheme="minorHAnsi" w:cstheme="minorHAnsi"/>
          <w:color w:val="000000"/>
          <w:sz w:val="24"/>
          <w:szCs w:val="24"/>
        </w:rPr>
        <w:t>OFÍCIO SEI Nº 15958/2022/ME.</w:t>
      </w:r>
    </w:p>
    <w:p w14:paraId="18A1A2C3" w14:textId="77777777" w:rsidR="0013173C" w:rsidRPr="00252D7B" w:rsidRDefault="0013173C" w:rsidP="0013173C">
      <w:pPr>
        <w:spacing w:before="120" w:after="120"/>
        <w:rPr>
          <w:rFonts w:asciiTheme="minorHAnsi" w:hAnsiTheme="minorHAnsi" w:cstheme="minorHAnsi"/>
        </w:rPr>
      </w:pPr>
    </w:p>
    <w:p w14:paraId="0BEDC8F1" w14:textId="77777777" w:rsidR="0013173C" w:rsidRPr="00252D7B" w:rsidRDefault="0013173C" w:rsidP="00F100A9">
      <w:pPr>
        <w:pStyle w:val="Ttulo2"/>
      </w:pPr>
      <w:bookmarkStart w:id="744" w:name="_Toc97918860"/>
      <w:bookmarkStart w:id="745" w:name="_Toc103680662"/>
      <w:r w:rsidRPr="00252D7B">
        <w:t>Setor de contabilidade da Valec</w:t>
      </w:r>
      <w:bookmarkEnd w:id="744"/>
      <w:bookmarkEnd w:id="745"/>
    </w:p>
    <w:p w14:paraId="3C427E92" w14:textId="77777777" w:rsidR="0013173C" w:rsidRPr="00252D7B" w:rsidRDefault="0013173C" w:rsidP="0013173C">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A Gerência Tributária e Contábil (GECONT) faz parte da Superintendência de Orçamento e Finanças, a qual é subordinada à Diretoria de Administração e Finanças da Valec.</w:t>
      </w:r>
    </w:p>
    <w:p w14:paraId="5DFE89A5" w14:textId="77777777" w:rsidR="0013173C" w:rsidRPr="00252D7B" w:rsidRDefault="0013173C" w:rsidP="0013173C">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Em seu corpo funcional, a GECONT possui: uma gerente que é a contadora responsável, seis contadores, um engenheiro e um assistente administrativo. </w:t>
      </w:r>
    </w:p>
    <w:p w14:paraId="08F35A48" w14:textId="77777777" w:rsidR="0013173C" w:rsidRPr="00252D7B" w:rsidRDefault="0013173C" w:rsidP="0013173C">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As competências regimentais da Gerência Tributária e Contábil, conforme o art. 75 Regimento Interno, são:  </w:t>
      </w:r>
    </w:p>
    <w:p w14:paraId="7ADB3FBD" w14:textId="77777777" w:rsidR="0013173C" w:rsidRPr="00252D7B" w:rsidRDefault="0013173C" w:rsidP="0013173C">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I - Executar a contabilidade financeira, patrimonial e gerencial; </w:t>
      </w:r>
    </w:p>
    <w:p w14:paraId="48292FB8" w14:textId="77777777" w:rsidR="0013173C" w:rsidRPr="00252D7B" w:rsidRDefault="0013173C" w:rsidP="0013173C">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II - Elaborar relatórios e demonstrativos gerenciais e financeiros destinados aos órgãos da administração da empesa e aos órgãos externos, conforme legislação aplicada; </w:t>
      </w:r>
    </w:p>
    <w:p w14:paraId="6F187BA2" w14:textId="77777777" w:rsidR="0013173C" w:rsidRPr="00252D7B" w:rsidRDefault="0013173C" w:rsidP="0013173C">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III - Realizar diligências solicitadas nos relatórios e certificados de auditoria produzidos pelos órgãos de controle interno e externo; </w:t>
      </w:r>
    </w:p>
    <w:p w14:paraId="194BF53B" w14:textId="77777777" w:rsidR="0013173C" w:rsidRPr="00252D7B" w:rsidRDefault="0013173C" w:rsidP="0013173C">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IV - Analisar as demonstrações financeiras das empresas participantes de licitações; </w:t>
      </w:r>
    </w:p>
    <w:p w14:paraId="120BAA2F" w14:textId="77777777" w:rsidR="0013173C" w:rsidRPr="00252D7B" w:rsidRDefault="0013173C" w:rsidP="0013173C">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V - Realizar o registro de controle de depreciação; </w:t>
      </w:r>
    </w:p>
    <w:p w14:paraId="648C8711" w14:textId="77777777" w:rsidR="0013173C" w:rsidRPr="00252D7B" w:rsidRDefault="0013173C" w:rsidP="0013173C">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VI - Analisar as prestações de contas dos suprimentos de fundos e das transferências voluntárias; </w:t>
      </w:r>
    </w:p>
    <w:p w14:paraId="7E2687A4" w14:textId="77777777" w:rsidR="0013173C" w:rsidRPr="00252D7B" w:rsidRDefault="0013173C" w:rsidP="0013173C">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VII - Providenciar as inscrições e registros legais federais, estaduais e municipais referentes a abertura, alterações ou encerramento das unidades administrativas da Valec, em todo território nacional; </w:t>
      </w:r>
    </w:p>
    <w:p w14:paraId="272E9112" w14:textId="77777777" w:rsidR="0013173C" w:rsidRPr="00252D7B" w:rsidRDefault="0013173C" w:rsidP="0013173C">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VIII - Analisar os contratos e documentos fiscais dos processos de pagamento; </w:t>
      </w:r>
    </w:p>
    <w:p w14:paraId="408027FF" w14:textId="77777777" w:rsidR="0013173C" w:rsidRPr="00252D7B" w:rsidRDefault="0013173C" w:rsidP="0013173C">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IX - Acompanhar os valores relacionados ao percentual de Benefícios e Despesas Indiretas - BDI e despesas fiscais dos contratos; </w:t>
      </w:r>
    </w:p>
    <w:p w14:paraId="0F8B2DEB" w14:textId="77777777" w:rsidR="0013173C" w:rsidRPr="00252D7B" w:rsidRDefault="0013173C" w:rsidP="0013173C">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X - Calcular e controlar as retenções a serem efetuadas sobre os pagamentos a fornecedores; </w:t>
      </w:r>
    </w:p>
    <w:p w14:paraId="696D4066" w14:textId="77777777" w:rsidR="0013173C" w:rsidRPr="00252D7B" w:rsidRDefault="0013173C" w:rsidP="0013173C">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 xml:space="preserve">XI - Orientar, coordenar e controlar o cumprimento das leis tributárias aplicáveis à Valec; </w:t>
      </w:r>
    </w:p>
    <w:p w14:paraId="1F4C7375" w14:textId="77777777" w:rsidR="0013173C" w:rsidRPr="00252D7B" w:rsidRDefault="0013173C" w:rsidP="0013173C">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XII - Responder os questionamentos fiscais aos órgãos da administração da empresa e aos órgãos externos, conforme legislação tributária em vigor; e</w:t>
      </w:r>
    </w:p>
    <w:p w14:paraId="52F60048" w14:textId="77777777" w:rsidR="0013173C" w:rsidRPr="00252D7B" w:rsidRDefault="0013173C" w:rsidP="0013173C">
      <w:pPr>
        <w:spacing w:before="120" w:after="120"/>
        <w:jc w:val="both"/>
        <w:rPr>
          <w:rFonts w:asciiTheme="minorHAnsi" w:hAnsiTheme="minorHAnsi" w:cstheme="minorHAnsi"/>
          <w:sz w:val="24"/>
          <w:szCs w:val="24"/>
        </w:rPr>
      </w:pPr>
      <w:r w:rsidRPr="00252D7B">
        <w:rPr>
          <w:rFonts w:asciiTheme="minorHAnsi" w:hAnsiTheme="minorHAnsi" w:cstheme="minorHAnsi"/>
          <w:sz w:val="24"/>
          <w:szCs w:val="24"/>
        </w:rPr>
        <w:t>XIII - Cumprir obrigações fiscais-tributárias federais, estaduais e municipais.</w:t>
      </w:r>
    </w:p>
    <w:p w14:paraId="4275AD83" w14:textId="77777777" w:rsidR="0013173C" w:rsidRPr="00252D7B" w:rsidRDefault="0013173C" w:rsidP="0013173C">
      <w:pPr>
        <w:spacing w:before="120" w:after="120"/>
        <w:jc w:val="both"/>
        <w:rPr>
          <w:rFonts w:asciiTheme="minorHAnsi" w:hAnsiTheme="minorHAnsi" w:cstheme="minorHAnsi"/>
          <w:sz w:val="24"/>
          <w:szCs w:val="24"/>
        </w:rPr>
      </w:pPr>
    </w:p>
    <w:p w14:paraId="378E4EE3" w14:textId="77777777" w:rsidR="0013173C" w:rsidRPr="00252D7B" w:rsidRDefault="0013173C" w:rsidP="0013173C">
      <w:pPr>
        <w:spacing w:before="120" w:after="120"/>
        <w:jc w:val="both"/>
        <w:rPr>
          <w:rFonts w:asciiTheme="minorHAnsi" w:hAnsiTheme="minorHAnsi" w:cstheme="minorHAnsi"/>
          <w:b/>
          <w:bCs/>
          <w:sz w:val="24"/>
          <w:szCs w:val="24"/>
        </w:rPr>
      </w:pPr>
      <w:r w:rsidRPr="00252D7B">
        <w:rPr>
          <w:rFonts w:asciiTheme="minorHAnsi" w:hAnsiTheme="minorHAnsi" w:cstheme="minorHAnsi"/>
          <w:b/>
          <w:bCs/>
          <w:sz w:val="24"/>
          <w:szCs w:val="24"/>
        </w:rPr>
        <w:t xml:space="preserve">Dados da Gerente Tributário e Contábil: </w:t>
      </w:r>
    </w:p>
    <w:p w14:paraId="69751B33" w14:textId="77777777" w:rsidR="0013173C" w:rsidRPr="00252D7B" w:rsidRDefault="0013173C" w:rsidP="0013173C">
      <w:pPr>
        <w:spacing w:before="120" w:after="120"/>
        <w:jc w:val="both"/>
        <w:rPr>
          <w:rFonts w:asciiTheme="minorHAnsi" w:hAnsiTheme="minorHAnsi" w:cstheme="minorHAnsi"/>
          <w:b/>
          <w:bCs/>
          <w:sz w:val="24"/>
          <w:szCs w:val="24"/>
        </w:rPr>
      </w:pPr>
      <w:r w:rsidRPr="00252D7B">
        <w:rPr>
          <w:rFonts w:asciiTheme="minorHAnsi" w:hAnsiTheme="minorHAnsi" w:cstheme="minorHAnsi"/>
          <w:b/>
          <w:bCs/>
          <w:sz w:val="24"/>
          <w:szCs w:val="24"/>
        </w:rPr>
        <w:t>MEG SARKIS SIMÃO ROSA</w:t>
      </w:r>
    </w:p>
    <w:p w14:paraId="4CA17155" w14:textId="77777777" w:rsidR="0013173C" w:rsidRPr="00252D7B" w:rsidRDefault="0013173C" w:rsidP="0013173C">
      <w:pPr>
        <w:spacing w:before="120" w:after="120"/>
        <w:jc w:val="both"/>
        <w:rPr>
          <w:rFonts w:asciiTheme="minorHAnsi" w:hAnsiTheme="minorHAnsi" w:cstheme="minorHAnsi"/>
          <w:b/>
          <w:bCs/>
          <w:sz w:val="24"/>
          <w:szCs w:val="24"/>
        </w:rPr>
      </w:pPr>
      <w:r w:rsidRPr="00252D7B">
        <w:rPr>
          <w:rFonts w:asciiTheme="minorHAnsi" w:hAnsiTheme="minorHAnsi" w:cstheme="minorHAnsi"/>
          <w:b/>
          <w:bCs/>
          <w:sz w:val="24"/>
          <w:szCs w:val="24"/>
        </w:rPr>
        <w:t>CPF: 647.816.311-34</w:t>
      </w:r>
    </w:p>
    <w:p w14:paraId="6885A2BE" w14:textId="77777777" w:rsidR="0013173C" w:rsidRPr="00252D7B" w:rsidRDefault="0013173C" w:rsidP="0013173C">
      <w:pPr>
        <w:spacing w:before="120" w:after="120"/>
        <w:jc w:val="both"/>
        <w:rPr>
          <w:rFonts w:asciiTheme="minorHAnsi" w:hAnsiTheme="minorHAnsi" w:cstheme="minorHAnsi"/>
          <w:b/>
          <w:bCs/>
          <w:sz w:val="24"/>
          <w:szCs w:val="24"/>
        </w:rPr>
      </w:pPr>
      <w:r w:rsidRPr="00252D7B">
        <w:rPr>
          <w:rFonts w:asciiTheme="minorHAnsi" w:hAnsiTheme="minorHAnsi" w:cstheme="minorHAnsi"/>
          <w:b/>
          <w:bCs/>
          <w:sz w:val="24"/>
          <w:szCs w:val="24"/>
        </w:rPr>
        <w:t>CRC-DF – 012674/O-9</w:t>
      </w:r>
    </w:p>
    <w:bookmarkEnd w:id="643"/>
    <w:bookmarkEnd w:id="644"/>
    <w:bookmarkEnd w:id="645"/>
    <w:p w14:paraId="73D0B10A" w14:textId="69C13D32" w:rsidR="000C4BF2" w:rsidRPr="00252D7B" w:rsidRDefault="0013173C" w:rsidP="0013173C">
      <w:pPr>
        <w:widowControl/>
        <w:autoSpaceDE/>
        <w:autoSpaceDN/>
        <w:spacing w:after="160" w:line="259" w:lineRule="auto"/>
        <w:rPr>
          <w:rFonts w:asciiTheme="minorHAnsi" w:hAnsiTheme="minorHAnsi" w:cstheme="minorHAnsi"/>
          <w:b/>
        </w:rPr>
      </w:pPr>
      <w:r w:rsidRPr="00252D7B">
        <w:rPr>
          <w:rFonts w:asciiTheme="minorHAnsi" w:hAnsiTheme="minorHAnsi" w:cstheme="minorHAnsi"/>
        </w:rPr>
        <w:br w:type="page"/>
      </w:r>
      <w:r w:rsidR="00C60E19" w:rsidRPr="00252D7B">
        <w:rPr>
          <w:rFonts w:asciiTheme="minorHAnsi" w:hAnsiTheme="minorHAnsi" w:cstheme="minorHAnsi"/>
          <w:i/>
          <w:noProof/>
          <w:color w:val="323E4F" w:themeColor="text2" w:themeShade="BF"/>
          <w:lang w:eastAsia="pt-BR" w:bidi="ar-SA"/>
        </w:rPr>
        <w:drawing>
          <wp:anchor distT="0" distB="0" distL="114300" distR="114300" simplePos="0" relativeHeight="251671040" behindDoc="0" locked="0" layoutInCell="1" allowOverlap="1" wp14:anchorId="150C5E16" wp14:editId="4443FD06">
            <wp:simplePos x="0" y="0"/>
            <wp:positionH relativeFrom="margin">
              <wp:posOffset>1504950</wp:posOffset>
            </wp:positionH>
            <wp:positionV relativeFrom="margin">
              <wp:posOffset>8229600</wp:posOffset>
            </wp:positionV>
            <wp:extent cx="2788285" cy="314325"/>
            <wp:effectExtent l="0" t="0" r="0" b="9525"/>
            <wp:wrapSquare wrapText="bothSides"/>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ogo.png"/>
                    <pic:cNvPicPr/>
                  </pic:nvPicPr>
                  <pic:blipFill>
                    <a:blip r:embed="rId11">
                      <a:extLst>
                        <a:ext uri="{28A0092B-C50C-407E-A947-70E740481C1C}">
                          <a14:useLocalDpi xmlns:a14="http://schemas.microsoft.com/office/drawing/2010/main" val="0"/>
                        </a:ext>
                      </a:extLst>
                    </a:blip>
                    <a:stretch>
                      <a:fillRect/>
                    </a:stretch>
                  </pic:blipFill>
                  <pic:spPr>
                    <a:xfrm>
                      <a:off x="0" y="0"/>
                      <a:ext cx="2788285" cy="314325"/>
                    </a:xfrm>
                    <a:prstGeom prst="rect">
                      <a:avLst/>
                    </a:prstGeom>
                  </pic:spPr>
                </pic:pic>
              </a:graphicData>
            </a:graphic>
            <wp14:sizeRelH relativeFrom="page">
              <wp14:pctWidth>0</wp14:pctWidth>
            </wp14:sizeRelH>
            <wp14:sizeRelV relativeFrom="page">
              <wp14:pctHeight>0</wp14:pctHeight>
            </wp14:sizeRelV>
          </wp:anchor>
        </w:drawing>
      </w:r>
    </w:p>
    <w:sectPr w:rsidR="000C4BF2" w:rsidRPr="00252D7B" w:rsidSect="00926EBF">
      <w:pgSz w:w="11906" w:h="16838" w:code="9"/>
      <w:pgMar w:top="1440" w:right="1080" w:bottom="1440" w:left="1080" w:header="0" w:footer="71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ED2B3" w14:textId="77777777" w:rsidR="008A3D44" w:rsidRDefault="008A3D44" w:rsidP="00D022C8">
      <w:r>
        <w:separator/>
      </w:r>
    </w:p>
  </w:endnote>
  <w:endnote w:type="continuationSeparator" w:id="0">
    <w:p w14:paraId="743EB89A" w14:textId="77777777" w:rsidR="008A3D44" w:rsidRDefault="008A3D44" w:rsidP="00D02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sig w:usb0="E10002FF" w:usb1="5000ECFF" w:usb2="00000009" w:usb3="00000000" w:csb0="0000019F" w:csb1="00000000"/>
  </w:font>
  <w:font w:name="Gotham Light">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Nova Cond">
    <w:charset w:val="00"/>
    <w:family w:val="swiss"/>
    <w:pitch w:val="variable"/>
    <w:sig w:usb0="0000028F" w:usb1="00000002" w:usb2="00000000" w:usb3="00000000" w:csb0="000001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7138989"/>
      <w:docPartObj>
        <w:docPartGallery w:val="Page Numbers (Bottom of Page)"/>
        <w:docPartUnique/>
      </w:docPartObj>
    </w:sdtPr>
    <w:sdtEndPr/>
    <w:sdtContent>
      <w:p w14:paraId="3EE116FC" w14:textId="76C7AAFF" w:rsidR="00CF6464" w:rsidRDefault="00CF6464">
        <w:pPr>
          <w:pStyle w:val="Rodap"/>
          <w:jc w:val="right"/>
        </w:pPr>
        <w:r>
          <w:fldChar w:fldCharType="begin"/>
        </w:r>
        <w:r>
          <w:instrText>PAGE   \* MERGEFORMAT</w:instrText>
        </w:r>
        <w:r>
          <w:fldChar w:fldCharType="separate"/>
        </w:r>
        <w:r>
          <w:t>2</w:t>
        </w:r>
        <w:r>
          <w:fldChar w:fldCharType="end"/>
        </w:r>
      </w:p>
    </w:sdtContent>
  </w:sdt>
  <w:p w14:paraId="6024411D" w14:textId="77777777" w:rsidR="00CF6464" w:rsidRDefault="00CF646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4596784"/>
      <w:docPartObj>
        <w:docPartGallery w:val="Page Numbers (Bottom of Page)"/>
        <w:docPartUnique/>
      </w:docPartObj>
    </w:sdtPr>
    <w:sdtEndPr/>
    <w:sdtContent>
      <w:p w14:paraId="0777ACEA" w14:textId="1DF3C1AD" w:rsidR="00CF6464" w:rsidRDefault="00CF6464">
        <w:pPr>
          <w:pStyle w:val="Rodap"/>
          <w:jc w:val="right"/>
        </w:pPr>
        <w:r>
          <w:fldChar w:fldCharType="begin"/>
        </w:r>
        <w:r>
          <w:instrText>PAGE   \* MERGEFORMAT</w:instrText>
        </w:r>
        <w:r>
          <w:fldChar w:fldCharType="separate"/>
        </w:r>
        <w:r>
          <w:t>2</w:t>
        </w:r>
        <w:r>
          <w:fldChar w:fldCharType="end"/>
        </w:r>
      </w:p>
    </w:sdtContent>
  </w:sdt>
  <w:p w14:paraId="4E1312B7" w14:textId="77777777" w:rsidR="00CF6464" w:rsidRPr="00F8631D" w:rsidRDefault="00CF6464" w:rsidP="00F8631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4FA55" w14:textId="77777777" w:rsidR="008A3D44" w:rsidRDefault="008A3D44" w:rsidP="00D022C8">
      <w:r>
        <w:separator/>
      </w:r>
    </w:p>
  </w:footnote>
  <w:footnote w:type="continuationSeparator" w:id="0">
    <w:p w14:paraId="05E34C89" w14:textId="77777777" w:rsidR="008A3D44" w:rsidRDefault="008A3D44" w:rsidP="00D022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51DA1"/>
    <w:multiLevelType w:val="hybridMultilevel"/>
    <w:tmpl w:val="2F727A76"/>
    <w:lvl w:ilvl="0" w:tplc="54000DC8">
      <w:start w:val="1"/>
      <w:numFmt w:val="bullet"/>
      <w:lvlText w:val=""/>
      <w:lvlJc w:val="left"/>
      <w:pPr>
        <w:ind w:left="1429" w:hanging="360"/>
      </w:pPr>
      <w:rPr>
        <w:rFonts w:ascii="Wingdings" w:hAnsi="Wingdings" w:hint="default"/>
        <w:color w:val="auto"/>
      </w:rPr>
    </w:lvl>
    <w:lvl w:ilvl="1" w:tplc="FFFFFFFF">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 w15:restartNumberingAfterBreak="0">
    <w:nsid w:val="0A516FEE"/>
    <w:multiLevelType w:val="hybridMultilevel"/>
    <w:tmpl w:val="0D90D0B4"/>
    <w:lvl w:ilvl="0" w:tplc="0082F4BA">
      <w:start w:val="1"/>
      <w:numFmt w:val="lowerLetter"/>
      <w:lvlText w:val="%1)"/>
      <w:lvlJc w:val="left"/>
      <w:pPr>
        <w:ind w:left="720" w:hanging="360"/>
      </w:pPr>
      <w:rPr>
        <w:rFonts w:ascii="Calibri" w:eastAsia="Times New Roman" w:hAnsi="Calibri" w:cs="Calibri"/>
      </w:rPr>
    </w:lvl>
    <w:lvl w:ilvl="1" w:tplc="0416001B">
      <w:start w:val="1"/>
      <w:numFmt w:val="lowerRoman"/>
      <w:lvlText w:val="%2."/>
      <w:lvlJc w:val="righ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C63683E"/>
    <w:multiLevelType w:val="hybridMultilevel"/>
    <w:tmpl w:val="21985030"/>
    <w:lvl w:ilvl="0" w:tplc="F0DE01E6">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CB50479"/>
    <w:multiLevelType w:val="multilevel"/>
    <w:tmpl w:val="188271B0"/>
    <w:styleLink w:val="Estilo1"/>
    <w:lvl w:ilvl="0">
      <w:start w:val="1"/>
      <w:numFmt w:val="decimal"/>
      <w:lvlText w:val="%1"/>
      <w:lvlJc w:val="left"/>
      <w:pPr>
        <w:ind w:left="5819" w:hanging="432"/>
      </w:pPr>
    </w:lvl>
    <w:lvl w:ilvl="1">
      <w:start w:val="1"/>
      <w:numFmt w:val="decimal"/>
      <w:lvlText w:val="%1.%2"/>
      <w:lvlJc w:val="left"/>
      <w:pPr>
        <w:ind w:left="576" w:hanging="576"/>
      </w:pPr>
    </w:lvl>
    <w:lvl w:ilvl="2">
      <w:start w:val="1"/>
      <w:numFmt w:val="decimal"/>
      <w:lvlText w:val="%1.%2.%3"/>
      <w:lvlJc w:val="left"/>
      <w:pPr>
        <w:ind w:left="6391"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48F3B6D"/>
    <w:multiLevelType w:val="multilevel"/>
    <w:tmpl w:val="FD068BFE"/>
    <w:lvl w:ilvl="0">
      <w:start w:val="1"/>
      <w:numFmt w:val="decimal"/>
      <w:pStyle w:val="Ttulo1"/>
      <w:lvlText w:val="%1"/>
      <w:lvlJc w:val="left"/>
      <w:pPr>
        <w:ind w:left="432" w:hanging="432"/>
      </w:pPr>
      <w:rPr>
        <w:rFonts w:hint="default"/>
      </w:rPr>
    </w:lvl>
    <w:lvl w:ilvl="1">
      <w:start w:val="1"/>
      <w:numFmt w:val="decimal"/>
      <w:pStyle w:val="Ttulo2"/>
      <w:lvlText w:val="%1.%2"/>
      <w:lvlJc w:val="left"/>
      <w:pPr>
        <w:ind w:left="1569"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5" w15:restartNumberingAfterBreak="0">
    <w:nsid w:val="3CF127D2"/>
    <w:multiLevelType w:val="hybridMultilevel"/>
    <w:tmpl w:val="A1E2D0A6"/>
    <w:lvl w:ilvl="0" w:tplc="0416001B">
      <w:start w:val="1"/>
      <w:numFmt w:val="lowerRoman"/>
      <w:lvlText w:val="%1."/>
      <w:lvlJc w:val="righ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3FB2ECE"/>
    <w:multiLevelType w:val="hybridMultilevel"/>
    <w:tmpl w:val="86A2641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613D3A4D"/>
    <w:multiLevelType w:val="hybridMultilevel"/>
    <w:tmpl w:val="D0501FBC"/>
    <w:lvl w:ilvl="0" w:tplc="04160017">
      <w:start w:val="1"/>
      <w:numFmt w:val="lowerLetter"/>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0401238"/>
    <w:multiLevelType w:val="hybridMultilevel"/>
    <w:tmpl w:val="21622F7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74E374E0"/>
    <w:multiLevelType w:val="multilevel"/>
    <w:tmpl w:val="E42E33E8"/>
    <w:styleLink w:val="Estilo2"/>
    <w:lvl w:ilvl="0">
      <w:start w:val="1"/>
      <w:numFmt w:val="decimal"/>
      <w:lvlText w:val="%1"/>
      <w:lvlJc w:val="left"/>
      <w:pPr>
        <w:ind w:left="432" w:hanging="432"/>
      </w:pPr>
    </w:lvl>
    <w:lvl w:ilvl="1">
      <w:start w:val="1"/>
      <w:numFmt w:val="decimal"/>
      <w:lvlText w:val="%1.%2"/>
      <w:lvlJc w:val="left"/>
      <w:pPr>
        <w:ind w:left="1002" w:hanging="576"/>
      </w:pPr>
    </w:lvl>
    <w:lvl w:ilvl="2">
      <w:start w:val="1"/>
      <w:numFmt w:val="decimal"/>
      <w:lvlText w:val="%1.%2.%3"/>
      <w:lvlJc w:val="left"/>
      <w:pPr>
        <w:ind w:left="256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78D553BC"/>
    <w:multiLevelType w:val="hybridMultilevel"/>
    <w:tmpl w:val="4036C9C4"/>
    <w:lvl w:ilvl="0" w:tplc="0CDCAFC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A7A7DB0"/>
    <w:multiLevelType w:val="multilevel"/>
    <w:tmpl w:val="C34AA94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7CE7090E"/>
    <w:multiLevelType w:val="hybridMultilevel"/>
    <w:tmpl w:val="299813CE"/>
    <w:lvl w:ilvl="0" w:tplc="9AE84224">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85289532">
    <w:abstractNumId w:val="3"/>
  </w:num>
  <w:num w:numId="2" w16cid:durableId="1025442135">
    <w:abstractNumId w:val="9"/>
  </w:num>
  <w:num w:numId="3" w16cid:durableId="437869423">
    <w:abstractNumId w:val="4"/>
  </w:num>
  <w:num w:numId="4" w16cid:durableId="1606183444">
    <w:abstractNumId w:val="0"/>
  </w:num>
  <w:num w:numId="5" w16cid:durableId="2042439023">
    <w:abstractNumId w:val="11"/>
  </w:num>
  <w:num w:numId="6" w16cid:durableId="1204828404">
    <w:abstractNumId w:val="6"/>
  </w:num>
  <w:num w:numId="7" w16cid:durableId="1004404777">
    <w:abstractNumId w:val="1"/>
  </w:num>
  <w:num w:numId="8" w16cid:durableId="138813901">
    <w:abstractNumId w:val="2"/>
  </w:num>
  <w:num w:numId="9" w16cid:durableId="1974797644">
    <w:abstractNumId w:val="12"/>
  </w:num>
  <w:num w:numId="10" w16cid:durableId="1347059502">
    <w:abstractNumId w:val="8"/>
  </w:num>
  <w:num w:numId="11" w16cid:durableId="1586842746">
    <w:abstractNumId w:val="5"/>
  </w:num>
  <w:num w:numId="12" w16cid:durableId="577636111">
    <w:abstractNumId w:val="10"/>
  </w:num>
  <w:num w:numId="13" w16cid:durableId="61718137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F5D"/>
    <w:rsid w:val="00000BB0"/>
    <w:rsid w:val="00002A25"/>
    <w:rsid w:val="00002B4C"/>
    <w:rsid w:val="000040B5"/>
    <w:rsid w:val="00006B7E"/>
    <w:rsid w:val="0000724E"/>
    <w:rsid w:val="00007AEF"/>
    <w:rsid w:val="000118B9"/>
    <w:rsid w:val="00012B9D"/>
    <w:rsid w:val="000138F9"/>
    <w:rsid w:val="00014365"/>
    <w:rsid w:val="00014D55"/>
    <w:rsid w:val="000159DA"/>
    <w:rsid w:val="000216F8"/>
    <w:rsid w:val="00022B9B"/>
    <w:rsid w:val="00023D79"/>
    <w:rsid w:val="00025945"/>
    <w:rsid w:val="00026ACE"/>
    <w:rsid w:val="00030D03"/>
    <w:rsid w:val="000311F2"/>
    <w:rsid w:val="00032AC0"/>
    <w:rsid w:val="00032B54"/>
    <w:rsid w:val="00032C45"/>
    <w:rsid w:val="000337BA"/>
    <w:rsid w:val="00033830"/>
    <w:rsid w:val="00036B25"/>
    <w:rsid w:val="000371EA"/>
    <w:rsid w:val="00037FA5"/>
    <w:rsid w:val="00040D80"/>
    <w:rsid w:val="00040F7F"/>
    <w:rsid w:val="000411FD"/>
    <w:rsid w:val="00042672"/>
    <w:rsid w:val="00042E66"/>
    <w:rsid w:val="00043D10"/>
    <w:rsid w:val="000445EA"/>
    <w:rsid w:val="00044743"/>
    <w:rsid w:val="000447EE"/>
    <w:rsid w:val="00047C91"/>
    <w:rsid w:val="00050A1B"/>
    <w:rsid w:val="00051098"/>
    <w:rsid w:val="00051597"/>
    <w:rsid w:val="00052252"/>
    <w:rsid w:val="000548E2"/>
    <w:rsid w:val="00055E6B"/>
    <w:rsid w:val="00057BD3"/>
    <w:rsid w:val="000619A5"/>
    <w:rsid w:val="00062852"/>
    <w:rsid w:val="000646B0"/>
    <w:rsid w:val="00064CA2"/>
    <w:rsid w:val="00065808"/>
    <w:rsid w:val="00070E45"/>
    <w:rsid w:val="00071A2E"/>
    <w:rsid w:val="000722C7"/>
    <w:rsid w:val="00073402"/>
    <w:rsid w:val="00073B14"/>
    <w:rsid w:val="00073D18"/>
    <w:rsid w:val="000750BE"/>
    <w:rsid w:val="000769F7"/>
    <w:rsid w:val="00077E20"/>
    <w:rsid w:val="00080B21"/>
    <w:rsid w:val="00081439"/>
    <w:rsid w:val="000816E5"/>
    <w:rsid w:val="00081E51"/>
    <w:rsid w:val="000828EB"/>
    <w:rsid w:val="00083A4F"/>
    <w:rsid w:val="00084519"/>
    <w:rsid w:val="0008509A"/>
    <w:rsid w:val="00085679"/>
    <w:rsid w:val="00085757"/>
    <w:rsid w:val="00086451"/>
    <w:rsid w:val="00094872"/>
    <w:rsid w:val="000963D3"/>
    <w:rsid w:val="00097EBC"/>
    <w:rsid w:val="000A0ADF"/>
    <w:rsid w:val="000A285D"/>
    <w:rsid w:val="000B0682"/>
    <w:rsid w:val="000B42B7"/>
    <w:rsid w:val="000B44C2"/>
    <w:rsid w:val="000B4DAF"/>
    <w:rsid w:val="000B541E"/>
    <w:rsid w:val="000B6F94"/>
    <w:rsid w:val="000B7ED1"/>
    <w:rsid w:val="000C4466"/>
    <w:rsid w:val="000C4BF2"/>
    <w:rsid w:val="000C6A00"/>
    <w:rsid w:val="000D427F"/>
    <w:rsid w:val="000D562D"/>
    <w:rsid w:val="000E14BE"/>
    <w:rsid w:val="000E1517"/>
    <w:rsid w:val="000E211C"/>
    <w:rsid w:val="000E3545"/>
    <w:rsid w:val="000E5C83"/>
    <w:rsid w:val="000E7A3A"/>
    <w:rsid w:val="000F043C"/>
    <w:rsid w:val="000F106E"/>
    <w:rsid w:val="000F268D"/>
    <w:rsid w:val="000F2F06"/>
    <w:rsid w:val="000F3022"/>
    <w:rsid w:val="000F4FB2"/>
    <w:rsid w:val="000F6044"/>
    <w:rsid w:val="000F63C2"/>
    <w:rsid w:val="000F71B4"/>
    <w:rsid w:val="00100650"/>
    <w:rsid w:val="00101738"/>
    <w:rsid w:val="00101CAE"/>
    <w:rsid w:val="00103067"/>
    <w:rsid w:val="00112E0C"/>
    <w:rsid w:val="00112E43"/>
    <w:rsid w:val="001130A1"/>
    <w:rsid w:val="00113231"/>
    <w:rsid w:val="00113293"/>
    <w:rsid w:val="001133FF"/>
    <w:rsid w:val="00115389"/>
    <w:rsid w:val="00115587"/>
    <w:rsid w:val="001200C6"/>
    <w:rsid w:val="00120AD3"/>
    <w:rsid w:val="00122BB8"/>
    <w:rsid w:val="0012333D"/>
    <w:rsid w:val="00123D16"/>
    <w:rsid w:val="001248C2"/>
    <w:rsid w:val="00126EE4"/>
    <w:rsid w:val="0013065C"/>
    <w:rsid w:val="0013173C"/>
    <w:rsid w:val="00134BB6"/>
    <w:rsid w:val="0013763E"/>
    <w:rsid w:val="00137CC7"/>
    <w:rsid w:val="00137D89"/>
    <w:rsid w:val="001406CF"/>
    <w:rsid w:val="0014078D"/>
    <w:rsid w:val="001417C9"/>
    <w:rsid w:val="00142284"/>
    <w:rsid w:val="00143858"/>
    <w:rsid w:val="00143890"/>
    <w:rsid w:val="0014492F"/>
    <w:rsid w:val="00144E89"/>
    <w:rsid w:val="00145210"/>
    <w:rsid w:val="00146554"/>
    <w:rsid w:val="00147918"/>
    <w:rsid w:val="00153908"/>
    <w:rsid w:val="00154CB4"/>
    <w:rsid w:val="00155105"/>
    <w:rsid w:val="00155D57"/>
    <w:rsid w:val="001561DB"/>
    <w:rsid w:val="00156407"/>
    <w:rsid w:val="00156490"/>
    <w:rsid w:val="00161A99"/>
    <w:rsid w:val="001638E5"/>
    <w:rsid w:val="001638F7"/>
    <w:rsid w:val="00163A96"/>
    <w:rsid w:val="00163EAD"/>
    <w:rsid w:val="00165E15"/>
    <w:rsid w:val="001662F9"/>
    <w:rsid w:val="00166B07"/>
    <w:rsid w:val="00167B09"/>
    <w:rsid w:val="00170815"/>
    <w:rsid w:val="001709E4"/>
    <w:rsid w:val="0017156D"/>
    <w:rsid w:val="0017445C"/>
    <w:rsid w:val="00174B55"/>
    <w:rsid w:val="00175286"/>
    <w:rsid w:val="00176C74"/>
    <w:rsid w:val="00180054"/>
    <w:rsid w:val="00180562"/>
    <w:rsid w:val="00181B02"/>
    <w:rsid w:val="00182D7F"/>
    <w:rsid w:val="00182F4A"/>
    <w:rsid w:val="00183948"/>
    <w:rsid w:val="0018457E"/>
    <w:rsid w:val="00185B1F"/>
    <w:rsid w:val="00190285"/>
    <w:rsid w:val="001903EC"/>
    <w:rsid w:val="0019050A"/>
    <w:rsid w:val="00192771"/>
    <w:rsid w:val="00193CB1"/>
    <w:rsid w:val="00194704"/>
    <w:rsid w:val="001A09F3"/>
    <w:rsid w:val="001A0A10"/>
    <w:rsid w:val="001A1970"/>
    <w:rsid w:val="001A1B0C"/>
    <w:rsid w:val="001A1EB0"/>
    <w:rsid w:val="001A4084"/>
    <w:rsid w:val="001A470B"/>
    <w:rsid w:val="001A53C3"/>
    <w:rsid w:val="001A7AE6"/>
    <w:rsid w:val="001A7C9A"/>
    <w:rsid w:val="001B1137"/>
    <w:rsid w:val="001B1925"/>
    <w:rsid w:val="001B503C"/>
    <w:rsid w:val="001B56AF"/>
    <w:rsid w:val="001B684A"/>
    <w:rsid w:val="001C04EB"/>
    <w:rsid w:val="001C1E8E"/>
    <w:rsid w:val="001C23B6"/>
    <w:rsid w:val="001C35E0"/>
    <w:rsid w:val="001C366F"/>
    <w:rsid w:val="001C689A"/>
    <w:rsid w:val="001C695F"/>
    <w:rsid w:val="001C7C1E"/>
    <w:rsid w:val="001D02DE"/>
    <w:rsid w:val="001D41E7"/>
    <w:rsid w:val="001D433A"/>
    <w:rsid w:val="001D6127"/>
    <w:rsid w:val="001E2F6B"/>
    <w:rsid w:val="001E4685"/>
    <w:rsid w:val="001E4A19"/>
    <w:rsid w:val="001E4A34"/>
    <w:rsid w:val="001E532C"/>
    <w:rsid w:val="001E709B"/>
    <w:rsid w:val="001E715E"/>
    <w:rsid w:val="001E77E3"/>
    <w:rsid w:val="001F1D13"/>
    <w:rsid w:val="001F38EF"/>
    <w:rsid w:val="001F41B2"/>
    <w:rsid w:val="001F75D1"/>
    <w:rsid w:val="00200C5C"/>
    <w:rsid w:val="002017C2"/>
    <w:rsid w:val="00201AE2"/>
    <w:rsid w:val="0020537D"/>
    <w:rsid w:val="00206F43"/>
    <w:rsid w:val="0020716F"/>
    <w:rsid w:val="00207752"/>
    <w:rsid w:val="00210331"/>
    <w:rsid w:val="002115C1"/>
    <w:rsid w:val="00211940"/>
    <w:rsid w:val="00211BFF"/>
    <w:rsid w:val="0021210C"/>
    <w:rsid w:val="00212197"/>
    <w:rsid w:val="0021295C"/>
    <w:rsid w:val="00212E62"/>
    <w:rsid w:val="00213C9C"/>
    <w:rsid w:val="00214665"/>
    <w:rsid w:val="00215312"/>
    <w:rsid w:val="0021781C"/>
    <w:rsid w:val="002206AB"/>
    <w:rsid w:val="00221031"/>
    <w:rsid w:val="00221DCF"/>
    <w:rsid w:val="00222652"/>
    <w:rsid w:val="00223EC5"/>
    <w:rsid w:val="00226031"/>
    <w:rsid w:val="002332E3"/>
    <w:rsid w:val="0023451E"/>
    <w:rsid w:val="00240E82"/>
    <w:rsid w:val="002427E0"/>
    <w:rsid w:val="00242C0A"/>
    <w:rsid w:val="00244CAF"/>
    <w:rsid w:val="00245247"/>
    <w:rsid w:val="0025095C"/>
    <w:rsid w:val="00252D7B"/>
    <w:rsid w:val="0025357A"/>
    <w:rsid w:val="002557F3"/>
    <w:rsid w:val="002576B5"/>
    <w:rsid w:val="0026024B"/>
    <w:rsid w:val="002608E2"/>
    <w:rsid w:val="0026305B"/>
    <w:rsid w:val="002643C1"/>
    <w:rsid w:val="00265244"/>
    <w:rsid w:val="002659E5"/>
    <w:rsid w:val="0027015A"/>
    <w:rsid w:val="002709A1"/>
    <w:rsid w:val="00273708"/>
    <w:rsid w:val="00274712"/>
    <w:rsid w:val="0027579D"/>
    <w:rsid w:val="00276BFE"/>
    <w:rsid w:val="00276FD2"/>
    <w:rsid w:val="0027722A"/>
    <w:rsid w:val="00283CD4"/>
    <w:rsid w:val="002848E4"/>
    <w:rsid w:val="0028500C"/>
    <w:rsid w:val="00286169"/>
    <w:rsid w:val="0028637E"/>
    <w:rsid w:val="00286A61"/>
    <w:rsid w:val="00290351"/>
    <w:rsid w:val="002913C6"/>
    <w:rsid w:val="00291901"/>
    <w:rsid w:val="00291F68"/>
    <w:rsid w:val="00292147"/>
    <w:rsid w:val="0029224E"/>
    <w:rsid w:val="00292303"/>
    <w:rsid w:val="00293EC2"/>
    <w:rsid w:val="002A13E2"/>
    <w:rsid w:val="002A18B1"/>
    <w:rsid w:val="002A303F"/>
    <w:rsid w:val="002A6FC3"/>
    <w:rsid w:val="002B1083"/>
    <w:rsid w:val="002B2631"/>
    <w:rsid w:val="002B2ED7"/>
    <w:rsid w:val="002B3C06"/>
    <w:rsid w:val="002B4796"/>
    <w:rsid w:val="002B67FA"/>
    <w:rsid w:val="002B72EC"/>
    <w:rsid w:val="002C0BF6"/>
    <w:rsid w:val="002C322D"/>
    <w:rsid w:val="002C56E0"/>
    <w:rsid w:val="002C6854"/>
    <w:rsid w:val="002D05FE"/>
    <w:rsid w:val="002D075A"/>
    <w:rsid w:val="002D0BD0"/>
    <w:rsid w:val="002D0E12"/>
    <w:rsid w:val="002D227D"/>
    <w:rsid w:val="002D2C6B"/>
    <w:rsid w:val="002D3747"/>
    <w:rsid w:val="002D576C"/>
    <w:rsid w:val="002D5882"/>
    <w:rsid w:val="002D6004"/>
    <w:rsid w:val="002D7081"/>
    <w:rsid w:val="002E097B"/>
    <w:rsid w:val="002E1510"/>
    <w:rsid w:val="002E31FE"/>
    <w:rsid w:val="002E5198"/>
    <w:rsid w:val="002E630F"/>
    <w:rsid w:val="002F1675"/>
    <w:rsid w:val="002F2F4C"/>
    <w:rsid w:val="002F45E0"/>
    <w:rsid w:val="002F4B64"/>
    <w:rsid w:val="002F4F54"/>
    <w:rsid w:val="002F56EB"/>
    <w:rsid w:val="002F59AC"/>
    <w:rsid w:val="002F5D49"/>
    <w:rsid w:val="002F5EE8"/>
    <w:rsid w:val="002F6F93"/>
    <w:rsid w:val="002F7434"/>
    <w:rsid w:val="002F75F0"/>
    <w:rsid w:val="00301826"/>
    <w:rsid w:val="00303355"/>
    <w:rsid w:val="003037BE"/>
    <w:rsid w:val="00303B77"/>
    <w:rsid w:val="0030527B"/>
    <w:rsid w:val="00305811"/>
    <w:rsid w:val="00306C30"/>
    <w:rsid w:val="00307151"/>
    <w:rsid w:val="00312208"/>
    <w:rsid w:val="0031220F"/>
    <w:rsid w:val="00313CE8"/>
    <w:rsid w:val="00315293"/>
    <w:rsid w:val="00315DC7"/>
    <w:rsid w:val="003162EA"/>
    <w:rsid w:val="003270BA"/>
    <w:rsid w:val="003278EC"/>
    <w:rsid w:val="003302B3"/>
    <w:rsid w:val="00330C36"/>
    <w:rsid w:val="00331D0F"/>
    <w:rsid w:val="00331D77"/>
    <w:rsid w:val="003326F1"/>
    <w:rsid w:val="00333963"/>
    <w:rsid w:val="00335A4D"/>
    <w:rsid w:val="00336545"/>
    <w:rsid w:val="003400D7"/>
    <w:rsid w:val="003417BD"/>
    <w:rsid w:val="003426B1"/>
    <w:rsid w:val="00342913"/>
    <w:rsid w:val="00343DE1"/>
    <w:rsid w:val="00344067"/>
    <w:rsid w:val="00345059"/>
    <w:rsid w:val="00346129"/>
    <w:rsid w:val="00346342"/>
    <w:rsid w:val="00346545"/>
    <w:rsid w:val="00346D15"/>
    <w:rsid w:val="00354292"/>
    <w:rsid w:val="00355A8D"/>
    <w:rsid w:val="00357AE6"/>
    <w:rsid w:val="00360153"/>
    <w:rsid w:val="0036060A"/>
    <w:rsid w:val="0036071B"/>
    <w:rsid w:val="00361B93"/>
    <w:rsid w:val="00365176"/>
    <w:rsid w:val="00370CDD"/>
    <w:rsid w:val="003712FF"/>
    <w:rsid w:val="00371D01"/>
    <w:rsid w:val="00372E32"/>
    <w:rsid w:val="00373341"/>
    <w:rsid w:val="00374591"/>
    <w:rsid w:val="003818E0"/>
    <w:rsid w:val="00381A98"/>
    <w:rsid w:val="0038392D"/>
    <w:rsid w:val="00383A9E"/>
    <w:rsid w:val="003846BB"/>
    <w:rsid w:val="00385BF9"/>
    <w:rsid w:val="00386BDD"/>
    <w:rsid w:val="00390016"/>
    <w:rsid w:val="00390819"/>
    <w:rsid w:val="00391740"/>
    <w:rsid w:val="00392847"/>
    <w:rsid w:val="0039372F"/>
    <w:rsid w:val="00393F25"/>
    <w:rsid w:val="0039675C"/>
    <w:rsid w:val="00397234"/>
    <w:rsid w:val="003A3253"/>
    <w:rsid w:val="003A712B"/>
    <w:rsid w:val="003A7523"/>
    <w:rsid w:val="003A7F1A"/>
    <w:rsid w:val="003B0DE7"/>
    <w:rsid w:val="003B1C57"/>
    <w:rsid w:val="003B2485"/>
    <w:rsid w:val="003B2AC3"/>
    <w:rsid w:val="003B329D"/>
    <w:rsid w:val="003B34F1"/>
    <w:rsid w:val="003B654F"/>
    <w:rsid w:val="003B6A52"/>
    <w:rsid w:val="003B769B"/>
    <w:rsid w:val="003B77D8"/>
    <w:rsid w:val="003B7C9B"/>
    <w:rsid w:val="003C0AC5"/>
    <w:rsid w:val="003C0AD2"/>
    <w:rsid w:val="003C3580"/>
    <w:rsid w:val="003C37D9"/>
    <w:rsid w:val="003C40EC"/>
    <w:rsid w:val="003C48FB"/>
    <w:rsid w:val="003C4EE5"/>
    <w:rsid w:val="003C7C98"/>
    <w:rsid w:val="003D03AD"/>
    <w:rsid w:val="003D06DB"/>
    <w:rsid w:val="003D30E8"/>
    <w:rsid w:val="003D3929"/>
    <w:rsid w:val="003D406C"/>
    <w:rsid w:val="003D4B7C"/>
    <w:rsid w:val="003D59D3"/>
    <w:rsid w:val="003D5E57"/>
    <w:rsid w:val="003D739F"/>
    <w:rsid w:val="003D762D"/>
    <w:rsid w:val="003E03DE"/>
    <w:rsid w:val="003E1A41"/>
    <w:rsid w:val="003E1E74"/>
    <w:rsid w:val="003E2527"/>
    <w:rsid w:val="003E2A00"/>
    <w:rsid w:val="003E2DF2"/>
    <w:rsid w:val="003E3C5F"/>
    <w:rsid w:val="003E4E1E"/>
    <w:rsid w:val="003E5158"/>
    <w:rsid w:val="003E61E1"/>
    <w:rsid w:val="003E732A"/>
    <w:rsid w:val="003E79DC"/>
    <w:rsid w:val="003F0B7E"/>
    <w:rsid w:val="003F434E"/>
    <w:rsid w:val="003F65F4"/>
    <w:rsid w:val="003F7F4F"/>
    <w:rsid w:val="0040040D"/>
    <w:rsid w:val="0040130A"/>
    <w:rsid w:val="0040270E"/>
    <w:rsid w:val="00404273"/>
    <w:rsid w:val="00404278"/>
    <w:rsid w:val="004057D4"/>
    <w:rsid w:val="00405E3F"/>
    <w:rsid w:val="00405E50"/>
    <w:rsid w:val="004102C9"/>
    <w:rsid w:val="00411E19"/>
    <w:rsid w:val="00412D97"/>
    <w:rsid w:val="00412EE5"/>
    <w:rsid w:val="0041465A"/>
    <w:rsid w:val="004174E2"/>
    <w:rsid w:val="00420ADC"/>
    <w:rsid w:val="004234A9"/>
    <w:rsid w:val="00423992"/>
    <w:rsid w:val="00423EB5"/>
    <w:rsid w:val="004258A8"/>
    <w:rsid w:val="00425F03"/>
    <w:rsid w:val="004274AF"/>
    <w:rsid w:val="004328AC"/>
    <w:rsid w:val="00434240"/>
    <w:rsid w:val="00434546"/>
    <w:rsid w:val="00434F1B"/>
    <w:rsid w:val="0043525D"/>
    <w:rsid w:val="00436203"/>
    <w:rsid w:val="00437785"/>
    <w:rsid w:val="0044199B"/>
    <w:rsid w:val="00443F2B"/>
    <w:rsid w:val="0044434F"/>
    <w:rsid w:val="00444AB2"/>
    <w:rsid w:val="004468CD"/>
    <w:rsid w:val="0045355F"/>
    <w:rsid w:val="00453D98"/>
    <w:rsid w:val="00454C96"/>
    <w:rsid w:val="004556D6"/>
    <w:rsid w:val="00455A1F"/>
    <w:rsid w:val="0045685A"/>
    <w:rsid w:val="00457A37"/>
    <w:rsid w:val="00460101"/>
    <w:rsid w:val="00461890"/>
    <w:rsid w:val="0046196B"/>
    <w:rsid w:val="00463C1C"/>
    <w:rsid w:val="004656D2"/>
    <w:rsid w:val="004671D0"/>
    <w:rsid w:val="00470462"/>
    <w:rsid w:val="0047351D"/>
    <w:rsid w:val="00475754"/>
    <w:rsid w:val="004806B7"/>
    <w:rsid w:val="0048392C"/>
    <w:rsid w:val="00484F36"/>
    <w:rsid w:val="00485D5D"/>
    <w:rsid w:val="00486996"/>
    <w:rsid w:val="00487EB2"/>
    <w:rsid w:val="00490D35"/>
    <w:rsid w:val="00491936"/>
    <w:rsid w:val="00493251"/>
    <w:rsid w:val="0049340D"/>
    <w:rsid w:val="004937FC"/>
    <w:rsid w:val="00493F9D"/>
    <w:rsid w:val="00494668"/>
    <w:rsid w:val="00494B1F"/>
    <w:rsid w:val="004A05A7"/>
    <w:rsid w:val="004A2DBB"/>
    <w:rsid w:val="004A4775"/>
    <w:rsid w:val="004A50FD"/>
    <w:rsid w:val="004A5619"/>
    <w:rsid w:val="004A7637"/>
    <w:rsid w:val="004B088B"/>
    <w:rsid w:val="004B0F16"/>
    <w:rsid w:val="004B14E0"/>
    <w:rsid w:val="004B2763"/>
    <w:rsid w:val="004B2F13"/>
    <w:rsid w:val="004B30D8"/>
    <w:rsid w:val="004B6149"/>
    <w:rsid w:val="004C04C5"/>
    <w:rsid w:val="004C063B"/>
    <w:rsid w:val="004C07E0"/>
    <w:rsid w:val="004C1DCD"/>
    <w:rsid w:val="004C287A"/>
    <w:rsid w:val="004C4229"/>
    <w:rsid w:val="004C4AED"/>
    <w:rsid w:val="004C68F2"/>
    <w:rsid w:val="004C6B41"/>
    <w:rsid w:val="004C72AE"/>
    <w:rsid w:val="004C792D"/>
    <w:rsid w:val="004C7EE7"/>
    <w:rsid w:val="004D034C"/>
    <w:rsid w:val="004D1493"/>
    <w:rsid w:val="004D1A40"/>
    <w:rsid w:val="004D1B9D"/>
    <w:rsid w:val="004D6E75"/>
    <w:rsid w:val="004E116F"/>
    <w:rsid w:val="004E1406"/>
    <w:rsid w:val="004E15DC"/>
    <w:rsid w:val="004E2193"/>
    <w:rsid w:val="004E4A7F"/>
    <w:rsid w:val="004F03A0"/>
    <w:rsid w:val="004F1B75"/>
    <w:rsid w:val="004F2295"/>
    <w:rsid w:val="004F311D"/>
    <w:rsid w:val="004F373B"/>
    <w:rsid w:val="004F3A54"/>
    <w:rsid w:val="004F477A"/>
    <w:rsid w:val="004F5713"/>
    <w:rsid w:val="004F6722"/>
    <w:rsid w:val="004F6C41"/>
    <w:rsid w:val="00502D5A"/>
    <w:rsid w:val="00504852"/>
    <w:rsid w:val="005054C4"/>
    <w:rsid w:val="005059B1"/>
    <w:rsid w:val="005107BA"/>
    <w:rsid w:val="00512006"/>
    <w:rsid w:val="00515F34"/>
    <w:rsid w:val="00516234"/>
    <w:rsid w:val="00516293"/>
    <w:rsid w:val="005165D3"/>
    <w:rsid w:val="00517176"/>
    <w:rsid w:val="0051782A"/>
    <w:rsid w:val="00517EA0"/>
    <w:rsid w:val="0052387E"/>
    <w:rsid w:val="00524A59"/>
    <w:rsid w:val="005254D8"/>
    <w:rsid w:val="0052696B"/>
    <w:rsid w:val="005302CE"/>
    <w:rsid w:val="005319AA"/>
    <w:rsid w:val="00531C6B"/>
    <w:rsid w:val="005335A4"/>
    <w:rsid w:val="00534F78"/>
    <w:rsid w:val="00537066"/>
    <w:rsid w:val="005407F8"/>
    <w:rsid w:val="005409D1"/>
    <w:rsid w:val="00541D44"/>
    <w:rsid w:val="00543785"/>
    <w:rsid w:val="00547075"/>
    <w:rsid w:val="00552936"/>
    <w:rsid w:val="005548FA"/>
    <w:rsid w:val="00555D0A"/>
    <w:rsid w:val="00556036"/>
    <w:rsid w:val="005605CF"/>
    <w:rsid w:val="00562551"/>
    <w:rsid w:val="00562A0B"/>
    <w:rsid w:val="00564BFB"/>
    <w:rsid w:val="005679C8"/>
    <w:rsid w:val="0057066A"/>
    <w:rsid w:val="00573466"/>
    <w:rsid w:val="00573E2E"/>
    <w:rsid w:val="00574E7B"/>
    <w:rsid w:val="00575871"/>
    <w:rsid w:val="0057794C"/>
    <w:rsid w:val="005806D7"/>
    <w:rsid w:val="00581D4B"/>
    <w:rsid w:val="005832CD"/>
    <w:rsid w:val="00583DBB"/>
    <w:rsid w:val="00584432"/>
    <w:rsid w:val="005845B4"/>
    <w:rsid w:val="00584E7E"/>
    <w:rsid w:val="0058503F"/>
    <w:rsid w:val="00590D13"/>
    <w:rsid w:val="0059292E"/>
    <w:rsid w:val="0059417F"/>
    <w:rsid w:val="0059577D"/>
    <w:rsid w:val="00596077"/>
    <w:rsid w:val="005979CB"/>
    <w:rsid w:val="005A0411"/>
    <w:rsid w:val="005A2B93"/>
    <w:rsid w:val="005A3743"/>
    <w:rsid w:val="005A6651"/>
    <w:rsid w:val="005B2624"/>
    <w:rsid w:val="005B4CC0"/>
    <w:rsid w:val="005B7395"/>
    <w:rsid w:val="005B7503"/>
    <w:rsid w:val="005C0C13"/>
    <w:rsid w:val="005C234E"/>
    <w:rsid w:val="005C3889"/>
    <w:rsid w:val="005C4137"/>
    <w:rsid w:val="005C5373"/>
    <w:rsid w:val="005C6608"/>
    <w:rsid w:val="005C791B"/>
    <w:rsid w:val="005D07EE"/>
    <w:rsid w:val="005D0A07"/>
    <w:rsid w:val="005D10D9"/>
    <w:rsid w:val="005D1A8F"/>
    <w:rsid w:val="005D1F6B"/>
    <w:rsid w:val="005D209E"/>
    <w:rsid w:val="005D2801"/>
    <w:rsid w:val="005D38A0"/>
    <w:rsid w:val="005D3D48"/>
    <w:rsid w:val="005D774E"/>
    <w:rsid w:val="005D7A10"/>
    <w:rsid w:val="005D7CE0"/>
    <w:rsid w:val="005E14B0"/>
    <w:rsid w:val="005E281B"/>
    <w:rsid w:val="005E3702"/>
    <w:rsid w:val="005E3CBE"/>
    <w:rsid w:val="005E40E2"/>
    <w:rsid w:val="005E50F0"/>
    <w:rsid w:val="005E609C"/>
    <w:rsid w:val="005E6C34"/>
    <w:rsid w:val="005E7310"/>
    <w:rsid w:val="005E755A"/>
    <w:rsid w:val="005F2C76"/>
    <w:rsid w:val="005F30AB"/>
    <w:rsid w:val="005F3B85"/>
    <w:rsid w:val="005F4ECB"/>
    <w:rsid w:val="005F4F80"/>
    <w:rsid w:val="005F6249"/>
    <w:rsid w:val="005F7B79"/>
    <w:rsid w:val="00600449"/>
    <w:rsid w:val="006024AE"/>
    <w:rsid w:val="00602984"/>
    <w:rsid w:val="00602AAB"/>
    <w:rsid w:val="0060676D"/>
    <w:rsid w:val="00607E4F"/>
    <w:rsid w:val="00610C91"/>
    <w:rsid w:val="00612CF3"/>
    <w:rsid w:val="00613E53"/>
    <w:rsid w:val="00615113"/>
    <w:rsid w:val="00616151"/>
    <w:rsid w:val="006169C9"/>
    <w:rsid w:val="006176FB"/>
    <w:rsid w:val="0062175B"/>
    <w:rsid w:val="00621D5D"/>
    <w:rsid w:val="006248F2"/>
    <w:rsid w:val="0062541C"/>
    <w:rsid w:val="00625575"/>
    <w:rsid w:val="006267E4"/>
    <w:rsid w:val="006269EB"/>
    <w:rsid w:val="00627233"/>
    <w:rsid w:val="0062735B"/>
    <w:rsid w:val="006315C1"/>
    <w:rsid w:val="006315F3"/>
    <w:rsid w:val="00632697"/>
    <w:rsid w:val="006327CB"/>
    <w:rsid w:val="00634A76"/>
    <w:rsid w:val="00635342"/>
    <w:rsid w:val="0064262A"/>
    <w:rsid w:val="006428D2"/>
    <w:rsid w:val="00644CFB"/>
    <w:rsid w:val="006450C2"/>
    <w:rsid w:val="0064573A"/>
    <w:rsid w:val="0064762F"/>
    <w:rsid w:val="00651AB4"/>
    <w:rsid w:val="006547C9"/>
    <w:rsid w:val="00656E18"/>
    <w:rsid w:val="006618AD"/>
    <w:rsid w:val="006618B4"/>
    <w:rsid w:val="00661C8E"/>
    <w:rsid w:val="0066449F"/>
    <w:rsid w:val="00666868"/>
    <w:rsid w:val="00670F67"/>
    <w:rsid w:val="0067162A"/>
    <w:rsid w:val="0067204D"/>
    <w:rsid w:val="00673517"/>
    <w:rsid w:val="00674AB7"/>
    <w:rsid w:val="0067629F"/>
    <w:rsid w:val="006772DB"/>
    <w:rsid w:val="0068007C"/>
    <w:rsid w:val="00680D4E"/>
    <w:rsid w:val="00681A3D"/>
    <w:rsid w:val="006832C8"/>
    <w:rsid w:val="006844A3"/>
    <w:rsid w:val="00686211"/>
    <w:rsid w:val="006906DA"/>
    <w:rsid w:val="0069573D"/>
    <w:rsid w:val="0069742E"/>
    <w:rsid w:val="006A0FF6"/>
    <w:rsid w:val="006A1B74"/>
    <w:rsid w:val="006A252C"/>
    <w:rsid w:val="006A3374"/>
    <w:rsid w:val="006A39B9"/>
    <w:rsid w:val="006A78DE"/>
    <w:rsid w:val="006B1A16"/>
    <w:rsid w:val="006B3041"/>
    <w:rsid w:val="006B4D64"/>
    <w:rsid w:val="006B6039"/>
    <w:rsid w:val="006B65F6"/>
    <w:rsid w:val="006B798E"/>
    <w:rsid w:val="006C1E64"/>
    <w:rsid w:val="006C45D6"/>
    <w:rsid w:val="006C4AEC"/>
    <w:rsid w:val="006C75D2"/>
    <w:rsid w:val="006C7900"/>
    <w:rsid w:val="006D220D"/>
    <w:rsid w:val="006D2450"/>
    <w:rsid w:val="006D26E3"/>
    <w:rsid w:val="006D2935"/>
    <w:rsid w:val="006D2B61"/>
    <w:rsid w:val="006D3E9B"/>
    <w:rsid w:val="006D4160"/>
    <w:rsid w:val="006D48B5"/>
    <w:rsid w:val="006D5B5D"/>
    <w:rsid w:val="006D5EE6"/>
    <w:rsid w:val="006E0153"/>
    <w:rsid w:val="006E04FA"/>
    <w:rsid w:val="006E0585"/>
    <w:rsid w:val="006E24C3"/>
    <w:rsid w:val="006E25F3"/>
    <w:rsid w:val="006E34C5"/>
    <w:rsid w:val="006E6025"/>
    <w:rsid w:val="006E7510"/>
    <w:rsid w:val="006F00DD"/>
    <w:rsid w:val="006F0201"/>
    <w:rsid w:val="006F0614"/>
    <w:rsid w:val="006F20F6"/>
    <w:rsid w:val="006F3CE6"/>
    <w:rsid w:val="006F562C"/>
    <w:rsid w:val="006F7777"/>
    <w:rsid w:val="006F7AB7"/>
    <w:rsid w:val="00700234"/>
    <w:rsid w:val="0070042E"/>
    <w:rsid w:val="00700BB3"/>
    <w:rsid w:val="00701563"/>
    <w:rsid w:val="0070297F"/>
    <w:rsid w:val="0070329E"/>
    <w:rsid w:val="00707DA0"/>
    <w:rsid w:val="007100A7"/>
    <w:rsid w:val="0071031F"/>
    <w:rsid w:val="00711B1F"/>
    <w:rsid w:val="0071270A"/>
    <w:rsid w:val="0071439A"/>
    <w:rsid w:val="00714E50"/>
    <w:rsid w:val="00722F85"/>
    <w:rsid w:val="007264D5"/>
    <w:rsid w:val="00726AC2"/>
    <w:rsid w:val="00730167"/>
    <w:rsid w:val="007305F2"/>
    <w:rsid w:val="00731AA0"/>
    <w:rsid w:val="00733940"/>
    <w:rsid w:val="00734242"/>
    <w:rsid w:val="00734B28"/>
    <w:rsid w:val="007355A9"/>
    <w:rsid w:val="00736A3E"/>
    <w:rsid w:val="007403A4"/>
    <w:rsid w:val="00741598"/>
    <w:rsid w:val="00742306"/>
    <w:rsid w:val="00743005"/>
    <w:rsid w:val="00745F13"/>
    <w:rsid w:val="007462BB"/>
    <w:rsid w:val="00746F49"/>
    <w:rsid w:val="00747620"/>
    <w:rsid w:val="00747954"/>
    <w:rsid w:val="00750E72"/>
    <w:rsid w:val="007579ED"/>
    <w:rsid w:val="00761353"/>
    <w:rsid w:val="007618BF"/>
    <w:rsid w:val="00762344"/>
    <w:rsid w:val="00762B92"/>
    <w:rsid w:val="00763A0F"/>
    <w:rsid w:val="00765414"/>
    <w:rsid w:val="0076653A"/>
    <w:rsid w:val="00766BCA"/>
    <w:rsid w:val="00770ABE"/>
    <w:rsid w:val="007728D0"/>
    <w:rsid w:val="00773397"/>
    <w:rsid w:val="0077372F"/>
    <w:rsid w:val="00780B97"/>
    <w:rsid w:val="00781433"/>
    <w:rsid w:val="00781D14"/>
    <w:rsid w:val="00786F39"/>
    <w:rsid w:val="00790C2D"/>
    <w:rsid w:val="007915FA"/>
    <w:rsid w:val="00791925"/>
    <w:rsid w:val="00792905"/>
    <w:rsid w:val="007953E6"/>
    <w:rsid w:val="007A0602"/>
    <w:rsid w:val="007A0FD1"/>
    <w:rsid w:val="007A141F"/>
    <w:rsid w:val="007A3EA8"/>
    <w:rsid w:val="007A688C"/>
    <w:rsid w:val="007A7538"/>
    <w:rsid w:val="007B0A6A"/>
    <w:rsid w:val="007B3131"/>
    <w:rsid w:val="007B4CB4"/>
    <w:rsid w:val="007B5146"/>
    <w:rsid w:val="007B5EF5"/>
    <w:rsid w:val="007B6454"/>
    <w:rsid w:val="007B7EE0"/>
    <w:rsid w:val="007C09EA"/>
    <w:rsid w:val="007C0D9B"/>
    <w:rsid w:val="007C1C6A"/>
    <w:rsid w:val="007C3150"/>
    <w:rsid w:val="007C3E38"/>
    <w:rsid w:val="007C4D84"/>
    <w:rsid w:val="007C6158"/>
    <w:rsid w:val="007C6C8B"/>
    <w:rsid w:val="007D0134"/>
    <w:rsid w:val="007D23B2"/>
    <w:rsid w:val="007D271A"/>
    <w:rsid w:val="007D3A37"/>
    <w:rsid w:val="007D46EF"/>
    <w:rsid w:val="007D4D8A"/>
    <w:rsid w:val="007D640E"/>
    <w:rsid w:val="007E1B03"/>
    <w:rsid w:val="007E2EB8"/>
    <w:rsid w:val="007E4D8F"/>
    <w:rsid w:val="007E4E88"/>
    <w:rsid w:val="007F10C5"/>
    <w:rsid w:val="007F1625"/>
    <w:rsid w:val="007F2103"/>
    <w:rsid w:val="007F2BE4"/>
    <w:rsid w:val="007F2CD3"/>
    <w:rsid w:val="007F36D2"/>
    <w:rsid w:val="007F65E9"/>
    <w:rsid w:val="007F7FEE"/>
    <w:rsid w:val="00800F9A"/>
    <w:rsid w:val="008018C1"/>
    <w:rsid w:val="00801AC7"/>
    <w:rsid w:val="00804F1C"/>
    <w:rsid w:val="00805762"/>
    <w:rsid w:val="00806F29"/>
    <w:rsid w:val="008071A6"/>
    <w:rsid w:val="0080775E"/>
    <w:rsid w:val="0081054B"/>
    <w:rsid w:val="00811813"/>
    <w:rsid w:val="00814534"/>
    <w:rsid w:val="00814E2D"/>
    <w:rsid w:val="00815B34"/>
    <w:rsid w:val="00817D3B"/>
    <w:rsid w:val="00822617"/>
    <w:rsid w:val="00823EC9"/>
    <w:rsid w:val="00825943"/>
    <w:rsid w:val="00825F1C"/>
    <w:rsid w:val="00826531"/>
    <w:rsid w:val="008270BB"/>
    <w:rsid w:val="008303F2"/>
    <w:rsid w:val="008306EC"/>
    <w:rsid w:val="008327CA"/>
    <w:rsid w:val="00833B81"/>
    <w:rsid w:val="0083514E"/>
    <w:rsid w:val="008419ED"/>
    <w:rsid w:val="00843B11"/>
    <w:rsid w:val="0084785A"/>
    <w:rsid w:val="0085054B"/>
    <w:rsid w:val="00854A4C"/>
    <w:rsid w:val="00854E21"/>
    <w:rsid w:val="0085674A"/>
    <w:rsid w:val="0086071C"/>
    <w:rsid w:val="0086479C"/>
    <w:rsid w:val="00865288"/>
    <w:rsid w:val="008665C8"/>
    <w:rsid w:val="00870A43"/>
    <w:rsid w:val="00871C41"/>
    <w:rsid w:val="0087339B"/>
    <w:rsid w:val="00873464"/>
    <w:rsid w:val="00873A5C"/>
    <w:rsid w:val="00876809"/>
    <w:rsid w:val="00880438"/>
    <w:rsid w:val="00881443"/>
    <w:rsid w:val="00882031"/>
    <w:rsid w:val="0088223B"/>
    <w:rsid w:val="0088733F"/>
    <w:rsid w:val="00887F20"/>
    <w:rsid w:val="00890F48"/>
    <w:rsid w:val="008914C1"/>
    <w:rsid w:val="00891798"/>
    <w:rsid w:val="00892E99"/>
    <w:rsid w:val="00893F5A"/>
    <w:rsid w:val="00895B84"/>
    <w:rsid w:val="008962D6"/>
    <w:rsid w:val="00896D33"/>
    <w:rsid w:val="008A027A"/>
    <w:rsid w:val="008A106B"/>
    <w:rsid w:val="008A2B5E"/>
    <w:rsid w:val="008A31D3"/>
    <w:rsid w:val="008A3D44"/>
    <w:rsid w:val="008A3DAA"/>
    <w:rsid w:val="008A3EA9"/>
    <w:rsid w:val="008A5332"/>
    <w:rsid w:val="008A63AA"/>
    <w:rsid w:val="008B0ADD"/>
    <w:rsid w:val="008B2030"/>
    <w:rsid w:val="008B355A"/>
    <w:rsid w:val="008B3826"/>
    <w:rsid w:val="008B578B"/>
    <w:rsid w:val="008B5EB0"/>
    <w:rsid w:val="008C02F9"/>
    <w:rsid w:val="008C108F"/>
    <w:rsid w:val="008C2A7A"/>
    <w:rsid w:val="008C466A"/>
    <w:rsid w:val="008C6DDF"/>
    <w:rsid w:val="008D0C4F"/>
    <w:rsid w:val="008D11AF"/>
    <w:rsid w:val="008D1216"/>
    <w:rsid w:val="008D188E"/>
    <w:rsid w:val="008D1CFB"/>
    <w:rsid w:val="008D1F2E"/>
    <w:rsid w:val="008D42E0"/>
    <w:rsid w:val="008D5D70"/>
    <w:rsid w:val="008D7F4B"/>
    <w:rsid w:val="008E1A42"/>
    <w:rsid w:val="008E1EB8"/>
    <w:rsid w:val="008E295C"/>
    <w:rsid w:val="008E2B51"/>
    <w:rsid w:val="008E32A6"/>
    <w:rsid w:val="008E78C4"/>
    <w:rsid w:val="008E7DA0"/>
    <w:rsid w:val="008F0F4C"/>
    <w:rsid w:val="008F412E"/>
    <w:rsid w:val="008F5592"/>
    <w:rsid w:val="008F6768"/>
    <w:rsid w:val="008F7F2F"/>
    <w:rsid w:val="009007DF"/>
    <w:rsid w:val="00901527"/>
    <w:rsid w:val="009016AC"/>
    <w:rsid w:val="00903944"/>
    <w:rsid w:val="00903B9A"/>
    <w:rsid w:val="009050E4"/>
    <w:rsid w:val="009058EA"/>
    <w:rsid w:val="00906F28"/>
    <w:rsid w:val="0091068B"/>
    <w:rsid w:val="00912F2D"/>
    <w:rsid w:val="00913285"/>
    <w:rsid w:val="00913691"/>
    <w:rsid w:val="009205D6"/>
    <w:rsid w:val="009230D2"/>
    <w:rsid w:val="00923216"/>
    <w:rsid w:val="00926EBF"/>
    <w:rsid w:val="009277B6"/>
    <w:rsid w:val="00930DE2"/>
    <w:rsid w:val="00933123"/>
    <w:rsid w:val="009338C7"/>
    <w:rsid w:val="00934E67"/>
    <w:rsid w:val="009351C3"/>
    <w:rsid w:val="00936CF5"/>
    <w:rsid w:val="00936F75"/>
    <w:rsid w:val="0094160D"/>
    <w:rsid w:val="00941789"/>
    <w:rsid w:val="00941E33"/>
    <w:rsid w:val="00941F4D"/>
    <w:rsid w:val="00943BFC"/>
    <w:rsid w:val="00943F00"/>
    <w:rsid w:val="00944231"/>
    <w:rsid w:val="009474CC"/>
    <w:rsid w:val="00947DF0"/>
    <w:rsid w:val="00951EEB"/>
    <w:rsid w:val="009520BC"/>
    <w:rsid w:val="00953011"/>
    <w:rsid w:val="00953C57"/>
    <w:rsid w:val="0095678A"/>
    <w:rsid w:val="0095711C"/>
    <w:rsid w:val="00957325"/>
    <w:rsid w:val="009577E9"/>
    <w:rsid w:val="00960247"/>
    <w:rsid w:val="00961309"/>
    <w:rsid w:val="00961905"/>
    <w:rsid w:val="009619FC"/>
    <w:rsid w:val="0096368F"/>
    <w:rsid w:val="009646E9"/>
    <w:rsid w:val="0096493B"/>
    <w:rsid w:val="009705F8"/>
    <w:rsid w:val="00970A11"/>
    <w:rsid w:val="0097621C"/>
    <w:rsid w:val="00981A83"/>
    <w:rsid w:val="00981B73"/>
    <w:rsid w:val="00981C20"/>
    <w:rsid w:val="0098289E"/>
    <w:rsid w:val="0098292D"/>
    <w:rsid w:val="00983893"/>
    <w:rsid w:val="00983F5F"/>
    <w:rsid w:val="00984224"/>
    <w:rsid w:val="00990BA2"/>
    <w:rsid w:val="00990C3C"/>
    <w:rsid w:val="009917D7"/>
    <w:rsid w:val="009934BB"/>
    <w:rsid w:val="00996E40"/>
    <w:rsid w:val="009A083C"/>
    <w:rsid w:val="009A0916"/>
    <w:rsid w:val="009A25DB"/>
    <w:rsid w:val="009A3F73"/>
    <w:rsid w:val="009A4386"/>
    <w:rsid w:val="009A43DD"/>
    <w:rsid w:val="009A4875"/>
    <w:rsid w:val="009B2049"/>
    <w:rsid w:val="009B32B6"/>
    <w:rsid w:val="009B42FB"/>
    <w:rsid w:val="009B457A"/>
    <w:rsid w:val="009B4870"/>
    <w:rsid w:val="009B6555"/>
    <w:rsid w:val="009B72E7"/>
    <w:rsid w:val="009B74DE"/>
    <w:rsid w:val="009C03BD"/>
    <w:rsid w:val="009C0471"/>
    <w:rsid w:val="009C0D6C"/>
    <w:rsid w:val="009C1CE3"/>
    <w:rsid w:val="009C2E28"/>
    <w:rsid w:val="009C479C"/>
    <w:rsid w:val="009C4D2A"/>
    <w:rsid w:val="009C4EE7"/>
    <w:rsid w:val="009C598A"/>
    <w:rsid w:val="009C5BB3"/>
    <w:rsid w:val="009C5C36"/>
    <w:rsid w:val="009C7B65"/>
    <w:rsid w:val="009D0DC6"/>
    <w:rsid w:val="009D1250"/>
    <w:rsid w:val="009D2955"/>
    <w:rsid w:val="009D3633"/>
    <w:rsid w:val="009D5040"/>
    <w:rsid w:val="009D60E7"/>
    <w:rsid w:val="009D6411"/>
    <w:rsid w:val="009D753F"/>
    <w:rsid w:val="009E4790"/>
    <w:rsid w:val="009E5A83"/>
    <w:rsid w:val="009E72BC"/>
    <w:rsid w:val="009F192F"/>
    <w:rsid w:val="009F206B"/>
    <w:rsid w:val="009F2EEE"/>
    <w:rsid w:val="009F5B3F"/>
    <w:rsid w:val="009F64BA"/>
    <w:rsid w:val="009F6E2A"/>
    <w:rsid w:val="009F7417"/>
    <w:rsid w:val="00A0078D"/>
    <w:rsid w:val="00A0379A"/>
    <w:rsid w:val="00A03EC4"/>
    <w:rsid w:val="00A04D6F"/>
    <w:rsid w:val="00A056F7"/>
    <w:rsid w:val="00A069C2"/>
    <w:rsid w:val="00A07FC1"/>
    <w:rsid w:val="00A11658"/>
    <w:rsid w:val="00A11850"/>
    <w:rsid w:val="00A14802"/>
    <w:rsid w:val="00A158FF"/>
    <w:rsid w:val="00A22C3B"/>
    <w:rsid w:val="00A23ABC"/>
    <w:rsid w:val="00A25D40"/>
    <w:rsid w:val="00A26402"/>
    <w:rsid w:val="00A31571"/>
    <w:rsid w:val="00A319CE"/>
    <w:rsid w:val="00A35602"/>
    <w:rsid w:val="00A36B16"/>
    <w:rsid w:val="00A378AB"/>
    <w:rsid w:val="00A37D27"/>
    <w:rsid w:val="00A41C02"/>
    <w:rsid w:val="00A41DBB"/>
    <w:rsid w:val="00A41E26"/>
    <w:rsid w:val="00A44954"/>
    <w:rsid w:val="00A4699D"/>
    <w:rsid w:val="00A470CD"/>
    <w:rsid w:val="00A47476"/>
    <w:rsid w:val="00A47F02"/>
    <w:rsid w:val="00A514F0"/>
    <w:rsid w:val="00A51C76"/>
    <w:rsid w:val="00A535A4"/>
    <w:rsid w:val="00A53EFA"/>
    <w:rsid w:val="00A5411F"/>
    <w:rsid w:val="00A548D4"/>
    <w:rsid w:val="00A54A43"/>
    <w:rsid w:val="00A567EC"/>
    <w:rsid w:val="00A573E7"/>
    <w:rsid w:val="00A60A2C"/>
    <w:rsid w:val="00A619F7"/>
    <w:rsid w:val="00A64801"/>
    <w:rsid w:val="00A67CF4"/>
    <w:rsid w:val="00A67E1E"/>
    <w:rsid w:val="00A7014F"/>
    <w:rsid w:val="00A70636"/>
    <w:rsid w:val="00A72210"/>
    <w:rsid w:val="00A76A43"/>
    <w:rsid w:val="00A80D41"/>
    <w:rsid w:val="00A81B1F"/>
    <w:rsid w:val="00A837B8"/>
    <w:rsid w:val="00A85481"/>
    <w:rsid w:val="00A85F43"/>
    <w:rsid w:val="00A862A4"/>
    <w:rsid w:val="00A87500"/>
    <w:rsid w:val="00A87FD7"/>
    <w:rsid w:val="00A92AB4"/>
    <w:rsid w:val="00A92CFA"/>
    <w:rsid w:val="00A9367B"/>
    <w:rsid w:val="00A94BF4"/>
    <w:rsid w:val="00A973BF"/>
    <w:rsid w:val="00A97C8B"/>
    <w:rsid w:val="00AA10E8"/>
    <w:rsid w:val="00AA329C"/>
    <w:rsid w:val="00AA32AE"/>
    <w:rsid w:val="00AA5BEA"/>
    <w:rsid w:val="00AA749A"/>
    <w:rsid w:val="00AB0408"/>
    <w:rsid w:val="00AB25B9"/>
    <w:rsid w:val="00AB2A14"/>
    <w:rsid w:val="00AB49B4"/>
    <w:rsid w:val="00AB6B96"/>
    <w:rsid w:val="00AB781C"/>
    <w:rsid w:val="00AC1D51"/>
    <w:rsid w:val="00AC2D4A"/>
    <w:rsid w:val="00AC2E51"/>
    <w:rsid w:val="00AC300B"/>
    <w:rsid w:val="00AC441A"/>
    <w:rsid w:val="00AC687B"/>
    <w:rsid w:val="00AD0DDC"/>
    <w:rsid w:val="00AD16B7"/>
    <w:rsid w:val="00AD1835"/>
    <w:rsid w:val="00AD2379"/>
    <w:rsid w:val="00AD4187"/>
    <w:rsid w:val="00AD7937"/>
    <w:rsid w:val="00AD7A20"/>
    <w:rsid w:val="00AD7A3F"/>
    <w:rsid w:val="00AD7DAC"/>
    <w:rsid w:val="00AE0B7A"/>
    <w:rsid w:val="00AE121D"/>
    <w:rsid w:val="00AE13C0"/>
    <w:rsid w:val="00AE1DAF"/>
    <w:rsid w:val="00AE2B29"/>
    <w:rsid w:val="00AE4975"/>
    <w:rsid w:val="00AE68D0"/>
    <w:rsid w:val="00AE6CEB"/>
    <w:rsid w:val="00AE7F13"/>
    <w:rsid w:val="00AF2390"/>
    <w:rsid w:val="00AF443B"/>
    <w:rsid w:val="00AF6566"/>
    <w:rsid w:val="00AF6E3E"/>
    <w:rsid w:val="00AF6E64"/>
    <w:rsid w:val="00AF6FD6"/>
    <w:rsid w:val="00AF7AE4"/>
    <w:rsid w:val="00B00E1E"/>
    <w:rsid w:val="00B020E5"/>
    <w:rsid w:val="00B02759"/>
    <w:rsid w:val="00B04FFA"/>
    <w:rsid w:val="00B05317"/>
    <w:rsid w:val="00B0675E"/>
    <w:rsid w:val="00B130DB"/>
    <w:rsid w:val="00B175AE"/>
    <w:rsid w:val="00B212E7"/>
    <w:rsid w:val="00B22423"/>
    <w:rsid w:val="00B23460"/>
    <w:rsid w:val="00B309AB"/>
    <w:rsid w:val="00B31973"/>
    <w:rsid w:val="00B32503"/>
    <w:rsid w:val="00B35130"/>
    <w:rsid w:val="00B35D38"/>
    <w:rsid w:val="00B369EE"/>
    <w:rsid w:val="00B378E2"/>
    <w:rsid w:val="00B426C1"/>
    <w:rsid w:val="00B429E8"/>
    <w:rsid w:val="00B440D6"/>
    <w:rsid w:val="00B448C2"/>
    <w:rsid w:val="00B45B48"/>
    <w:rsid w:val="00B45F18"/>
    <w:rsid w:val="00B4624A"/>
    <w:rsid w:val="00B470F8"/>
    <w:rsid w:val="00B47475"/>
    <w:rsid w:val="00B47B5F"/>
    <w:rsid w:val="00B50F35"/>
    <w:rsid w:val="00B54834"/>
    <w:rsid w:val="00B5569D"/>
    <w:rsid w:val="00B56E1C"/>
    <w:rsid w:val="00B572AE"/>
    <w:rsid w:val="00B579EC"/>
    <w:rsid w:val="00B60C08"/>
    <w:rsid w:val="00B645D9"/>
    <w:rsid w:val="00B65162"/>
    <w:rsid w:val="00B660CC"/>
    <w:rsid w:val="00B674CB"/>
    <w:rsid w:val="00B70821"/>
    <w:rsid w:val="00B71DC9"/>
    <w:rsid w:val="00B74AEB"/>
    <w:rsid w:val="00B77B2A"/>
    <w:rsid w:val="00B77E72"/>
    <w:rsid w:val="00B81F35"/>
    <w:rsid w:val="00B82256"/>
    <w:rsid w:val="00B84862"/>
    <w:rsid w:val="00B851EF"/>
    <w:rsid w:val="00B86D99"/>
    <w:rsid w:val="00B87513"/>
    <w:rsid w:val="00B8753F"/>
    <w:rsid w:val="00B9072F"/>
    <w:rsid w:val="00B9380F"/>
    <w:rsid w:val="00B95B0A"/>
    <w:rsid w:val="00B95E0B"/>
    <w:rsid w:val="00B96127"/>
    <w:rsid w:val="00BA119C"/>
    <w:rsid w:val="00BA216F"/>
    <w:rsid w:val="00BA23B3"/>
    <w:rsid w:val="00BA26DB"/>
    <w:rsid w:val="00BA3537"/>
    <w:rsid w:val="00BA4A74"/>
    <w:rsid w:val="00BA58F4"/>
    <w:rsid w:val="00BA64FC"/>
    <w:rsid w:val="00BB09AC"/>
    <w:rsid w:val="00BB0B49"/>
    <w:rsid w:val="00BB2356"/>
    <w:rsid w:val="00BB76AC"/>
    <w:rsid w:val="00BC0F02"/>
    <w:rsid w:val="00BC1907"/>
    <w:rsid w:val="00BC1BA0"/>
    <w:rsid w:val="00BC29D9"/>
    <w:rsid w:val="00BC3823"/>
    <w:rsid w:val="00BC39F5"/>
    <w:rsid w:val="00BC41D3"/>
    <w:rsid w:val="00BC53C9"/>
    <w:rsid w:val="00BD0F41"/>
    <w:rsid w:val="00BD243F"/>
    <w:rsid w:val="00BD6629"/>
    <w:rsid w:val="00BD7B45"/>
    <w:rsid w:val="00BE0E52"/>
    <w:rsid w:val="00BE0E92"/>
    <w:rsid w:val="00BE10AB"/>
    <w:rsid w:val="00BE1BB9"/>
    <w:rsid w:val="00BE3049"/>
    <w:rsid w:val="00BE522F"/>
    <w:rsid w:val="00BE6714"/>
    <w:rsid w:val="00BF015A"/>
    <w:rsid w:val="00BF1A44"/>
    <w:rsid w:val="00BF3C8C"/>
    <w:rsid w:val="00C045D1"/>
    <w:rsid w:val="00C075FF"/>
    <w:rsid w:val="00C076EF"/>
    <w:rsid w:val="00C07F80"/>
    <w:rsid w:val="00C1084E"/>
    <w:rsid w:val="00C10CF9"/>
    <w:rsid w:val="00C10FEC"/>
    <w:rsid w:val="00C125AE"/>
    <w:rsid w:val="00C12888"/>
    <w:rsid w:val="00C14266"/>
    <w:rsid w:val="00C147BC"/>
    <w:rsid w:val="00C15F98"/>
    <w:rsid w:val="00C17AF8"/>
    <w:rsid w:val="00C17B55"/>
    <w:rsid w:val="00C200C8"/>
    <w:rsid w:val="00C202BB"/>
    <w:rsid w:val="00C20405"/>
    <w:rsid w:val="00C205E7"/>
    <w:rsid w:val="00C21052"/>
    <w:rsid w:val="00C237FF"/>
    <w:rsid w:val="00C24FC7"/>
    <w:rsid w:val="00C263CC"/>
    <w:rsid w:val="00C30248"/>
    <w:rsid w:val="00C30D3B"/>
    <w:rsid w:val="00C321F4"/>
    <w:rsid w:val="00C32C27"/>
    <w:rsid w:val="00C35168"/>
    <w:rsid w:val="00C352E9"/>
    <w:rsid w:val="00C353CE"/>
    <w:rsid w:val="00C37712"/>
    <w:rsid w:val="00C40CAA"/>
    <w:rsid w:val="00C424E9"/>
    <w:rsid w:val="00C42821"/>
    <w:rsid w:val="00C44E30"/>
    <w:rsid w:val="00C46B57"/>
    <w:rsid w:val="00C477F6"/>
    <w:rsid w:val="00C47E3F"/>
    <w:rsid w:val="00C51E4C"/>
    <w:rsid w:val="00C52C60"/>
    <w:rsid w:val="00C55A04"/>
    <w:rsid w:val="00C5742A"/>
    <w:rsid w:val="00C57550"/>
    <w:rsid w:val="00C60E19"/>
    <w:rsid w:val="00C6140C"/>
    <w:rsid w:val="00C62D5C"/>
    <w:rsid w:val="00C634B1"/>
    <w:rsid w:val="00C65650"/>
    <w:rsid w:val="00C6608F"/>
    <w:rsid w:val="00C672C6"/>
    <w:rsid w:val="00C706E5"/>
    <w:rsid w:val="00C70D49"/>
    <w:rsid w:val="00C711B0"/>
    <w:rsid w:val="00C71FE5"/>
    <w:rsid w:val="00C72D79"/>
    <w:rsid w:val="00C80311"/>
    <w:rsid w:val="00C818D2"/>
    <w:rsid w:val="00C83676"/>
    <w:rsid w:val="00C842B5"/>
    <w:rsid w:val="00C8562C"/>
    <w:rsid w:val="00C862D5"/>
    <w:rsid w:val="00C86822"/>
    <w:rsid w:val="00C86B7E"/>
    <w:rsid w:val="00C86DC4"/>
    <w:rsid w:val="00C87044"/>
    <w:rsid w:val="00C87793"/>
    <w:rsid w:val="00C90838"/>
    <w:rsid w:val="00C911E3"/>
    <w:rsid w:val="00C928F0"/>
    <w:rsid w:val="00C9349C"/>
    <w:rsid w:val="00C935AF"/>
    <w:rsid w:val="00C93F5D"/>
    <w:rsid w:val="00C959F0"/>
    <w:rsid w:val="00C96181"/>
    <w:rsid w:val="00C969B7"/>
    <w:rsid w:val="00C96A55"/>
    <w:rsid w:val="00C96B00"/>
    <w:rsid w:val="00C97F2B"/>
    <w:rsid w:val="00CA0E1C"/>
    <w:rsid w:val="00CA3229"/>
    <w:rsid w:val="00CA3940"/>
    <w:rsid w:val="00CA473F"/>
    <w:rsid w:val="00CA65D3"/>
    <w:rsid w:val="00CA700C"/>
    <w:rsid w:val="00CB039B"/>
    <w:rsid w:val="00CB1060"/>
    <w:rsid w:val="00CB116B"/>
    <w:rsid w:val="00CB16EC"/>
    <w:rsid w:val="00CB329A"/>
    <w:rsid w:val="00CB423E"/>
    <w:rsid w:val="00CB4549"/>
    <w:rsid w:val="00CB5733"/>
    <w:rsid w:val="00CB7100"/>
    <w:rsid w:val="00CC191F"/>
    <w:rsid w:val="00CC23E1"/>
    <w:rsid w:val="00CC5548"/>
    <w:rsid w:val="00CC57AB"/>
    <w:rsid w:val="00CC7005"/>
    <w:rsid w:val="00CC7342"/>
    <w:rsid w:val="00CD036F"/>
    <w:rsid w:val="00CD1171"/>
    <w:rsid w:val="00CD1E91"/>
    <w:rsid w:val="00CD231B"/>
    <w:rsid w:val="00CD3252"/>
    <w:rsid w:val="00CD3C5C"/>
    <w:rsid w:val="00CD3DCD"/>
    <w:rsid w:val="00CD4B01"/>
    <w:rsid w:val="00CD6297"/>
    <w:rsid w:val="00CD6445"/>
    <w:rsid w:val="00CD720D"/>
    <w:rsid w:val="00CE0014"/>
    <w:rsid w:val="00CE1034"/>
    <w:rsid w:val="00CE238B"/>
    <w:rsid w:val="00CE2C2A"/>
    <w:rsid w:val="00CE2E83"/>
    <w:rsid w:val="00CE3F4E"/>
    <w:rsid w:val="00CE49A6"/>
    <w:rsid w:val="00CE5EE1"/>
    <w:rsid w:val="00CE746A"/>
    <w:rsid w:val="00CF0291"/>
    <w:rsid w:val="00CF27FB"/>
    <w:rsid w:val="00CF3C24"/>
    <w:rsid w:val="00CF5232"/>
    <w:rsid w:val="00CF6464"/>
    <w:rsid w:val="00CF6DA7"/>
    <w:rsid w:val="00CF764D"/>
    <w:rsid w:val="00D0130B"/>
    <w:rsid w:val="00D0181B"/>
    <w:rsid w:val="00D022C8"/>
    <w:rsid w:val="00D026AC"/>
    <w:rsid w:val="00D02745"/>
    <w:rsid w:val="00D03039"/>
    <w:rsid w:val="00D03121"/>
    <w:rsid w:val="00D03C96"/>
    <w:rsid w:val="00D05615"/>
    <w:rsid w:val="00D059B7"/>
    <w:rsid w:val="00D0616D"/>
    <w:rsid w:val="00D07A31"/>
    <w:rsid w:val="00D07B63"/>
    <w:rsid w:val="00D1008A"/>
    <w:rsid w:val="00D10463"/>
    <w:rsid w:val="00D10FD2"/>
    <w:rsid w:val="00D1101B"/>
    <w:rsid w:val="00D11DFB"/>
    <w:rsid w:val="00D12343"/>
    <w:rsid w:val="00D1327C"/>
    <w:rsid w:val="00D13768"/>
    <w:rsid w:val="00D13FB4"/>
    <w:rsid w:val="00D14CF4"/>
    <w:rsid w:val="00D168B5"/>
    <w:rsid w:val="00D16D75"/>
    <w:rsid w:val="00D1753D"/>
    <w:rsid w:val="00D22665"/>
    <w:rsid w:val="00D22E5F"/>
    <w:rsid w:val="00D24BBC"/>
    <w:rsid w:val="00D25780"/>
    <w:rsid w:val="00D308B7"/>
    <w:rsid w:val="00D336B7"/>
    <w:rsid w:val="00D3440B"/>
    <w:rsid w:val="00D350B6"/>
    <w:rsid w:val="00D351E3"/>
    <w:rsid w:val="00D36C0B"/>
    <w:rsid w:val="00D379DD"/>
    <w:rsid w:val="00D41A97"/>
    <w:rsid w:val="00D432D0"/>
    <w:rsid w:val="00D43DEB"/>
    <w:rsid w:val="00D445E4"/>
    <w:rsid w:val="00D4474D"/>
    <w:rsid w:val="00D46ECC"/>
    <w:rsid w:val="00D4757F"/>
    <w:rsid w:val="00D47FBC"/>
    <w:rsid w:val="00D50585"/>
    <w:rsid w:val="00D53195"/>
    <w:rsid w:val="00D544EC"/>
    <w:rsid w:val="00D57E0C"/>
    <w:rsid w:val="00D60301"/>
    <w:rsid w:val="00D60318"/>
    <w:rsid w:val="00D6051C"/>
    <w:rsid w:val="00D60846"/>
    <w:rsid w:val="00D60B3E"/>
    <w:rsid w:val="00D60F35"/>
    <w:rsid w:val="00D62C87"/>
    <w:rsid w:val="00D62FB2"/>
    <w:rsid w:val="00D631EF"/>
    <w:rsid w:val="00D6370F"/>
    <w:rsid w:val="00D63A76"/>
    <w:rsid w:val="00D64CA3"/>
    <w:rsid w:val="00D66642"/>
    <w:rsid w:val="00D66F2A"/>
    <w:rsid w:val="00D66FA1"/>
    <w:rsid w:val="00D679BC"/>
    <w:rsid w:val="00D71662"/>
    <w:rsid w:val="00D71A8F"/>
    <w:rsid w:val="00D74132"/>
    <w:rsid w:val="00D751CC"/>
    <w:rsid w:val="00D75BF2"/>
    <w:rsid w:val="00D80047"/>
    <w:rsid w:val="00D83C0C"/>
    <w:rsid w:val="00D873C2"/>
    <w:rsid w:val="00D9205B"/>
    <w:rsid w:val="00D93915"/>
    <w:rsid w:val="00D93A7E"/>
    <w:rsid w:val="00D959BF"/>
    <w:rsid w:val="00D96273"/>
    <w:rsid w:val="00DA0496"/>
    <w:rsid w:val="00DA354E"/>
    <w:rsid w:val="00DA37E2"/>
    <w:rsid w:val="00DA42D5"/>
    <w:rsid w:val="00DA5583"/>
    <w:rsid w:val="00DA5CC4"/>
    <w:rsid w:val="00DB2C74"/>
    <w:rsid w:val="00DB36CD"/>
    <w:rsid w:val="00DB37E6"/>
    <w:rsid w:val="00DB3B4A"/>
    <w:rsid w:val="00DB52EA"/>
    <w:rsid w:val="00DB57D9"/>
    <w:rsid w:val="00DB6614"/>
    <w:rsid w:val="00DC076D"/>
    <w:rsid w:val="00DC0A35"/>
    <w:rsid w:val="00DC138A"/>
    <w:rsid w:val="00DC260D"/>
    <w:rsid w:val="00DC28E9"/>
    <w:rsid w:val="00DC326A"/>
    <w:rsid w:val="00DC5ACC"/>
    <w:rsid w:val="00DC7303"/>
    <w:rsid w:val="00DC770B"/>
    <w:rsid w:val="00DD31CD"/>
    <w:rsid w:val="00DD3BE3"/>
    <w:rsid w:val="00DD41B5"/>
    <w:rsid w:val="00DD4EE1"/>
    <w:rsid w:val="00DD59F3"/>
    <w:rsid w:val="00DE2794"/>
    <w:rsid w:val="00DE50AD"/>
    <w:rsid w:val="00DF02B9"/>
    <w:rsid w:val="00DF133B"/>
    <w:rsid w:val="00DF1C9C"/>
    <w:rsid w:val="00DF2732"/>
    <w:rsid w:val="00E009BA"/>
    <w:rsid w:val="00E0365A"/>
    <w:rsid w:val="00E03684"/>
    <w:rsid w:val="00E03B25"/>
    <w:rsid w:val="00E05851"/>
    <w:rsid w:val="00E05F5C"/>
    <w:rsid w:val="00E06B8F"/>
    <w:rsid w:val="00E071C7"/>
    <w:rsid w:val="00E11B7A"/>
    <w:rsid w:val="00E11D5A"/>
    <w:rsid w:val="00E12173"/>
    <w:rsid w:val="00E16D68"/>
    <w:rsid w:val="00E2418B"/>
    <w:rsid w:val="00E24281"/>
    <w:rsid w:val="00E250AD"/>
    <w:rsid w:val="00E26329"/>
    <w:rsid w:val="00E26EB8"/>
    <w:rsid w:val="00E26F22"/>
    <w:rsid w:val="00E27BC1"/>
    <w:rsid w:val="00E319A4"/>
    <w:rsid w:val="00E3341F"/>
    <w:rsid w:val="00E41790"/>
    <w:rsid w:val="00E42047"/>
    <w:rsid w:val="00E42B0F"/>
    <w:rsid w:val="00E43B0E"/>
    <w:rsid w:val="00E4638D"/>
    <w:rsid w:val="00E479F1"/>
    <w:rsid w:val="00E50F52"/>
    <w:rsid w:val="00E52A38"/>
    <w:rsid w:val="00E536DD"/>
    <w:rsid w:val="00E5373B"/>
    <w:rsid w:val="00E53EF0"/>
    <w:rsid w:val="00E54393"/>
    <w:rsid w:val="00E54974"/>
    <w:rsid w:val="00E54D89"/>
    <w:rsid w:val="00E57475"/>
    <w:rsid w:val="00E60211"/>
    <w:rsid w:val="00E673E5"/>
    <w:rsid w:val="00E7265A"/>
    <w:rsid w:val="00E735B7"/>
    <w:rsid w:val="00E73F64"/>
    <w:rsid w:val="00E76903"/>
    <w:rsid w:val="00E802A3"/>
    <w:rsid w:val="00E803E4"/>
    <w:rsid w:val="00E80CF1"/>
    <w:rsid w:val="00E8125E"/>
    <w:rsid w:val="00E815F6"/>
    <w:rsid w:val="00E86113"/>
    <w:rsid w:val="00E86AB7"/>
    <w:rsid w:val="00E9171A"/>
    <w:rsid w:val="00E92344"/>
    <w:rsid w:val="00E92981"/>
    <w:rsid w:val="00E92E0D"/>
    <w:rsid w:val="00E93B00"/>
    <w:rsid w:val="00EA17EA"/>
    <w:rsid w:val="00EA5D19"/>
    <w:rsid w:val="00EA5DFF"/>
    <w:rsid w:val="00EA64C2"/>
    <w:rsid w:val="00EB150C"/>
    <w:rsid w:val="00EB2B1E"/>
    <w:rsid w:val="00EB4F32"/>
    <w:rsid w:val="00EB6E9A"/>
    <w:rsid w:val="00EC0AF2"/>
    <w:rsid w:val="00EC1134"/>
    <w:rsid w:val="00EC205C"/>
    <w:rsid w:val="00EC216A"/>
    <w:rsid w:val="00EC38BA"/>
    <w:rsid w:val="00EC3D2C"/>
    <w:rsid w:val="00EC4112"/>
    <w:rsid w:val="00EC4D9A"/>
    <w:rsid w:val="00EC6D69"/>
    <w:rsid w:val="00EC73A3"/>
    <w:rsid w:val="00ED1533"/>
    <w:rsid w:val="00ED160F"/>
    <w:rsid w:val="00ED1741"/>
    <w:rsid w:val="00ED5659"/>
    <w:rsid w:val="00ED5AA7"/>
    <w:rsid w:val="00ED7393"/>
    <w:rsid w:val="00EE2DA2"/>
    <w:rsid w:val="00EE2F25"/>
    <w:rsid w:val="00EE77AB"/>
    <w:rsid w:val="00EE7C2E"/>
    <w:rsid w:val="00EF1F3F"/>
    <w:rsid w:val="00EF2046"/>
    <w:rsid w:val="00EF20A1"/>
    <w:rsid w:val="00EF24BC"/>
    <w:rsid w:val="00EF7D3B"/>
    <w:rsid w:val="00EF7FA2"/>
    <w:rsid w:val="00F002A8"/>
    <w:rsid w:val="00F0034A"/>
    <w:rsid w:val="00F04DF6"/>
    <w:rsid w:val="00F05048"/>
    <w:rsid w:val="00F06E8B"/>
    <w:rsid w:val="00F079F0"/>
    <w:rsid w:val="00F100A9"/>
    <w:rsid w:val="00F10C3B"/>
    <w:rsid w:val="00F10E74"/>
    <w:rsid w:val="00F130D0"/>
    <w:rsid w:val="00F13FD8"/>
    <w:rsid w:val="00F14A7C"/>
    <w:rsid w:val="00F153EC"/>
    <w:rsid w:val="00F15998"/>
    <w:rsid w:val="00F15FAD"/>
    <w:rsid w:val="00F16117"/>
    <w:rsid w:val="00F162CE"/>
    <w:rsid w:val="00F21891"/>
    <w:rsid w:val="00F22FDB"/>
    <w:rsid w:val="00F23F00"/>
    <w:rsid w:val="00F244B1"/>
    <w:rsid w:val="00F26503"/>
    <w:rsid w:val="00F27C03"/>
    <w:rsid w:val="00F30863"/>
    <w:rsid w:val="00F314B1"/>
    <w:rsid w:val="00F32392"/>
    <w:rsid w:val="00F36661"/>
    <w:rsid w:val="00F36841"/>
    <w:rsid w:val="00F40246"/>
    <w:rsid w:val="00F432D6"/>
    <w:rsid w:val="00F43F37"/>
    <w:rsid w:val="00F46686"/>
    <w:rsid w:val="00F46BDB"/>
    <w:rsid w:val="00F50097"/>
    <w:rsid w:val="00F5232A"/>
    <w:rsid w:val="00F5301D"/>
    <w:rsid w:val="00F54036"/>
    <w:rsid w:val="00F541DF"/>
    <w:rsid w:val="00F546A3"/>
    <w:rsid w:val="00F570BA"/>
    <w:rsid w:val="00F60640"/>
    <w:rsid w:val="00F6132F"/>
    <w:rsid w:val="00F6137C"/>
    <w:rsid w:val="00F62C60"/>
    <w:rsid w:val="00F70AAB"/>
    <w:rsid w:val="00F714A1"/>
    <w:rsid w:val="00F7326C"/>
    <w:rsid w:val="00F737BB"/>
    <w:rsid w:val="00F74018"/>
    <w:rsid w:val="00F7406A"/>
    <w:rsid w:val="00F75257"/>
    <w:rsid w:val="00F76581"/>
    <w:rsid w:val="00F77A3B"/>
    <w:rsid w:val="00F77A41"/>
    <w:rsid w:val="00F841E8"/>
    <w:rsid w:val="00F84B3D"/>
    <w:rsid w:val="00F8562E"/>
    <w:rsid w:val="00F85DA4"/>
    <w:rsid w:val="00F8631D"/>
    <w:rsid w:val="00F86C28"/>
    <w:rsid w:val="00F876C9"/>
    <w:rsid w:val="00F87DEE"/>
    <w:rsid w:val="00F90014"/>
    <w:rsid w:val="00F90F75"/>
    <w:rsid w:val="00F93F13"/>
    <w:rsid w:val="00F94394"/>
    <w:rsid w:val="00F943D1"/>
    <w:rsid w:val="00F946ED"/>
    <w:rsid w:val="00F95730"/>
    <w:rsid w:val="00F961DE"/>
    <w:rsid w:val="00F96807"/>
    <w:rsid w:val="00FA06C6"/>
    <w:rsid w:val="00FA120F"/>
    <w:rsid w:val="00FA3D29"/>
    <w:rsid w:val="00FA3E05"/>
    <w:rsid w:val="00FA416F"/>
    <w:rsid w:val="00FA4C05"/>
    <w:rsid w:val="00FA6593"/>
    <w:rsid w:val="00FB159F"/>
    <w:rsid w:val="00FB1C19"/>
    <w:rsid w:val="00FB2A35"/>
    <w:rsid w:val="00FB3423"/>
    <w:rsid w:val="00FB3AB0"/>
    <w:rsid w:val="00FB5B15"/>
    <w:rsid w:val="00FB748E"/>
    <w:rsid w:val="00FB77E1"/>
    <w:rsid w:val="00FB7C1F"/>
    <w:rsid w:val="00FB7DD3"/>
    <w:rsid w:val="00FB7E17"/>
    <w:rsid w:val="00FC0537"/>
    <w:rsid w:val="00FC0567"/>
    <w:rsid w:val="00FC24D2"/>
    <w:rsid w:val="00FC2745"/>
    <w:rsid w:val="00FC4884"/>
    <w:rsid w:val="00FC5D13"/>
    <w:rsid w:val="00FC5EBE"/>
    <w:rsid w:val="00FC68CF"/>
    <w:rsid w:val="00FC6CD1"/>
    <w:rsid w:val="00FC73FA"/>
    <w:rsid w:val="00FC7F7D"/>
    <w:rsid w:val="00FD042E"/>
    <w:rsid w:val="00FD1177"/>
    <w:rsid w:val="00FD1695"/>
    <w:rsid w:val="00FD20BE"/>
    <w:rsid w:val="00FD22FC"/>
    <w:rsid w:val="00FD311F"/>
    <w:rsid w:val="00FD3637"/>
    <w:rsid w:val="00FD3A16"/>
    <w:rsid w:val="00FD5256"/>
    <w:rsid w:val="00FD72C5"/>
    <w:rsid w:val="00FD7DF0"/>
    <w:rsid w:val="00FE0979"/>
    <w:rsid w:val="00FE0E0B"/>
    <w:rsid w:val="00FE4F79"/>
    <w:rsid w:val="00FE5FB2"/>
    <w:rsid w:val="00FE5FE8"/>
    <w:rsid w:val="00FF09AF"/>
    <w:rsid w:val="00FF0E57"/>
    <w:rsid w:val="00FF1785"/>
    <w:rsid w:val="00FF5620"/>
    <w:rsid w:val="00FF7A8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F0D07"/>
  <w15:chartTrackingRefBased/>
  <w15:docId w15:val="{641B85D3-BA3E-467C-A516-AD92F772B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3F5D"/>
    <w:pPr>
      <w:widowControl w:val="0"/>
      <w:autoSpaceDE w:val="0"/>
      <w:autoSpaceDN w:val="0"/>
      <w:spacing w:after="0" w:line="240" w:lineRule="auto"/>
    </w:pPr>
    <w:rPr>
      <w:rFonts w:ascii="Calibri" w:eastAsia="Calibri" w:hAnsi="Calibri" w:cs="Calibri"/>
      <w:lang w:bidi="en-US"/>
    </w:rPr>
  </w:style>
  <w:style w:type="paragraph" w:styleId="Ttulo1">
    <w:name w:val="heading 1"/>
    <w:basedOn w:val="Normal"/>
    <w:link w:val="Ttulo1Char"/>
    <w:qFormat/>
    <w:rsid w:val="00502D5A"/>
    <w:pPr>
      <w:numPr>
        <w:numId w:val="3"/>
      </w:numPr>
      <w:spacing w:before="114" w:line="779" w:lineRule="exact"/>
      <w:jc w:val="right"/>
      <w:outlineLvl w:val="0"/>
    </w:pPr>
    <w:rPr>
      <w:b/>
      <w:color w:val="232F69"/>
      <w:w w:val="105"/>
      <w:sz w:val="48"/>
    </w:rPr>
  </w:style>
  <w:style w:type="paragraph" w:styleId="Ttulo2">
    <w:name w:val="heading 2"/>
    <w:basedOn w:val="Normal"/>
    <w:link w:val="Ttulo2Char"/>
    <w:autoRedefine/>
    <w:unhideWhenUsed/>
    <w:qFormat/>
    <w:rsid w:val="00F100A9"/>
    <w:pPr>
      <w:numPr>
        <w:ilvl w:val="1"/>
        <w:numId w:val="3"/>
      </w:numPr>
      <w:tabs>
        <w:tab w:val="left" w:pos="851"/>
      </w:tabs>
      <w:ind w:left="567"/>
      <w:outlineLvl w:val="1"/>
    </w:pPr>
    <w:rPr>
      <w:b/>
      <w:color w:val="0070C0"/>
      <w:sz w:val="40"/>
      <w:szCs w:val="42"/>
    </w:rPr>
  </w:style>
  <w:style w:type="paragraph" w:styleId="Ttulo3">
    <w:name w:val="heading 3"/>
    <w:basedOn w:val="Normal"/>
    <w:link w:val="Ttulo3Char"/>
    <w:autoRedefine/>
    <w:unhideWhenUsed/>
    <w:qFormat/>
    <w:rsid w:val="00961905"/>
    <w:pPr>
      <w:numPr>
        <w:ilvl w:val="2"/>
        <w:numId w:val="3"/>
      </w:numPr>
      <w:tabs>
        <w:tab w:val="left" w:pos="0"/>
        <w:tab w:val="left" w:pos="993"/>
      </w:tabs>
      <w:jc w:val="both"/>
      <w:outlineLvl w:val="2"/>
    </w:pPr>
    <w:rPr>
      <w:bCs/>
      <w:color w:val="0070C0"/>
      <w:sz w:val="32"/>
      <w:szCs w:val="28"/>
    </w:rPr>
  </w:style>
  <w:style w:type="paragraph" w:styleId="Ttulo4">
    <w:name w:val="heading 4"/>
    <w:basedOn w:val="PargrafodaLista"/>
    <w:link w:val="Ttulo4Char"/>
    <w:autoRedefine/>
    <w:unhideWhenUsed/>
    <w:qFormat/>
    <w:rsid w:val="00F85DA4"/>
    <w:pPr>
      <w:numPr>
        <w:ilvl w:val="3"/>
        <w:numId w:val="3"/>
      </w:numPr>
      <w:tabs>
        <w:tab w:val="left" w:pos="1276"/>
      </w:tabs>
      <w:spacing w:before="145" w:after="120"/>
      <w:ind w:right="107"/>
      <w:contextualSpacing w:val="0"/>
      <w:jc w:val="both"/>
      <w:outlineLvl w:val="3"/>
    </w:pPr>
    <w:rPr>
      <w:color w:val="548DD4"/>
      <w:sz w:val="28"/>
      <w:szCs w:val="28"/>
    </w:rPr>
  </w:style>
  <w:style w:type="paragraph" w:styleId="Ttulo5">
    <w:name w:val="heading 5"/>
    <w:basedOn w:val="Normal"/>
    <w:link w:val="Ttulo5Char"/>
    <w:unhideWhenUsed/>
    <w:qFormat/>
    <w:rsid w:val="00502D5A"/>
    <w:pPr>
      <w:numPr>
        <w:ilvl w:val="4"/>
        <w:numId w:val="3"/>
      </w:numPr>
      <w:spacing w:before="111"/>
      <w:outlineLvl w:val="4"/>
    </w:pPr>
    <w:rPr>
      <w:sz w:val="24"/>
      <w:szCs w:val="24"/>
    </w:rPr>
  </w:style>
  <w:style w:type="paragraph" w:styleId="Ttulo6">
    <w:name w:val="heading 6"/>
    <w:basedOn w:val="Normal"/>
    <w:link w:val="Ttulo6Char"/>
    <w:unhideWhenUsed/>
    <w:qFormat/>
    <w:rsid w:val="00502D5A"/>
    <w:pPr>
      <w:numPr>
        <w:ilvl w:val="5"/>
        <w:numId w:val="3"/>
      </w:numPr>
      <w:spacing w:before="4"/>
      <w:outlineLvl w:val="5"/>
    </w:pPr>
  </w:style>
  <w:style w:type="paragraph" w:styleId="Ttulo7">
    <w:name w:val="heading 7"/>
    <w:basedOn w:val="Normal"/>
    <w:link w:val="Ttulo7Char"/>
    <w:qFormat/>
    <w:rsid w:val="00502D5A"/>
    <w:pPr>
      <w:numPr>
        <w:ilvl w:val="6"/>
        <w:numId w:val="3"/>
      </w:numPr>
      <w:outlineLvl w:val="6"/>
    </w:pPr>
    <w:rPr>
      <w:sz w:val="20"/>
      <w:szCs w:val="20"/>
    </w:rPr>
  </w:style>
  <w:style w:type="paragraph" w:styleId="Ttulo8">
    <w:name w:val="heading 8"/>
    <w:basedOn w:val="Normal"/>
    <w:next w:val="Normal"/>
    <w:link w:val="Ttulo8Char"/>
    <w:unhideWhenUsed/>
    <w:qFormat/>
    <w:rsid w:val="00502D5A"/>
    <w:pPr>
      <w:keepNext/>
      <w:keepLines/>
      <w:numPr>
        <w:ilvl w:val="7"/>
        <w:numId w:val="3"/>
      </w:numPr>
      <w:spacing w:before="40"/>
      <w:outlineLvl w:val="7"/>
    </w:pPr>
    <w:rPr>
      <w:rFonts w:ascii="Cambria" w:eastAsia="Times New Roman" w:hAnsi="Cambria" w:cs="Times New Roman"/>
      <w:color w:val="272727"/>
      <w:sz w:val="21"/>
      <w:szCs w:val="21"/>
    </w:rPr>
  </w:style>
  <w:style w:type="paragraph" w:styleId="Ttulo9">
    <w:name w:val="heading 9"/>
    <w:basedOn w:val="Normal"/>
    <w:next w:val="Normal"/>
    <w:link w:val="Ttulo9Char"/>
    <w:unhideWhenUsed/>
    <w:qFormat/>
    <w:rsid w:val="00502D5A"/>
    <w:pPr>
      <w:keepNext/>
      <w:keepLines/>
      <w:numPr>
        <w:ilvl w:val="8"/>
        <w:numId w:val="3"/>
      </w:numPr>
      <w:spacing w:before="40"/>
      <w:outlineLvl w:val="8"/>
    </w:pPr>
    <w:rPr>
      <w:rFonts w:ascii="Cambria" w:eastAsia="Times New Roman" w:hAnsi="Cambria" w:cs="Times New Roman"/>
      <w:i/>
      <w:iCs/>
      <w:color w:val="272727"/>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qFormat/>
    <w:rsid w:val="00C93F5D"/>
    <w:rPr>
      <w:sz w:val="18"/>
      <w:szCs w:val="18"/>
    </w:rPr>
  </w:style>
  <w:style w:type="character" w:customStyle="1" w:styleId="CorpodetextoChar">
    <w:name w:val="Corpo de texto Char"/>
    <w:basedOn w:val="Fontepargpadro"/>
    <w:link w:val="Corpodetexto"/>
    <w:uiPriority w:val="1"/>
    <w:rsid w:val="00C93F5D"/>
    <w:rPr>
      <w:rFonts w:ascii="Calibri" w:eastAsia="Calibri" w:hAnsi="Calibri" w:cs="Calibri"/>
      <w:sz w:val="18"/>
      <w:szCs w:val="18"/>
      <w:lang w:bidi="en-US"/>
    </w:rPr>
  </w:style>
  <w:style w:type="table" w:styleId="Tabelacomgrade">
    <w:name w:val="Table Grid"/>
    <w:basedOn w:val="Tabelanormal"/>
    <w:uiPriority w:val="39"/>
    <w:rsid w:val="005D2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Título Médio,Marcador 1.1,Quadros-Tabelas"/>
    <w:basedOn w:val="Normal"/>
    <w:link w:val="PargrafodaListaChar"/>
    <w:uiPriority w:val="34"/>
    <w:qFormat/>
    <w:rsid w:val="005D209E"/>
    <w:pPr>
      <w:ind w:left="720"/>
      <w:contextualSpacing/>
    </w:pPr>
  </w:style>
  <w:style w:type="character" w:customStyle="1" w:styleId="Ttulo1Char">
    <w:name w:val="Título 1 Char"/>
    <w:basedOn w:val="Fontepargpadro"/>
    <w:link w:val="Ttulo1"/>
    <w:rsid w:val="00502D5A"/>
    <w:rPr>
      <w:rFonts w:ascii="Calibri" w:eastAsia="Calibri" w:hAnsi="Calibri" w:cs="Calibri"/>
      <w:b/>
      <w:color w:val="232F69"/>
      <w:w w:val="105"/>
      <w:sz w:val="48"/>
      <w:lang w:bidi="en-US"/>
    </w:rPr>
  </w:style>
  <w:style w:type="character" w:customStyle="1" w:styleId="Ttulo2Char">
    <w:name w:val="Título 2 Char"/>
    <w:basedOn w:val="Fontepargpadro"/>
    <w:link w:val="Ttulo2"/>
    <w:rsid w:val="00F100A9"/>
    <w:rPr>
      <w:rFonts w:ascii="Calibri" w:eastAsia="Calibri" w:hAnsi="Calibri" w:cs="Calibri"/>
      <w:b/>
      <w:color w:val="0070C0"/>
      <w:sz w:val="40"/>
      <w:szCs w:val="42"/>
      <w:lang w:bidi="en-US"/>
    </w:rPr>
  </w:style>
  <w:style w:type="character" w:customStyle="1" w:styleId="Ttulo3Char">
    <w:name w:val="Título 3 Char"/>
    <w:basedOn w:val="Fontepargpadro"/>
    <w:link w:val="Ttulo3"/>
    <w:rsid w:val="00961905"/>
    <w:rPr>
      <w:rFonts w:ascii="Calibri" w:eastAsia="Calibri" w:hAnsi="Calibri" w:cs="Calibri"/>
      <w:bCs/>
      <w:color w:val="0070C0"/>
      <w:sz w:val="32"/>
      <w:szCs w:val="28"/>
      <w:lang w:bidi="en-US"/>
    </w:rPr>
  </w:style>
  <w:style w:type="character" w:customStyle="1" w:styleId="Ttulo4Char">
    <w:name w:val="Título 4 Char"/>
    <w:basedOn w:val="Fontepargpadro"/>
    <w:link w:val="Ttulo4"/>
    <w:rsid w:val="00F85DA4"/>
    <w:rPr>
      <w:rFonts w:ascii="Calibri" w:eastAsia="Calibri" w:hAnsi="Calibri" w:cs="Calibri"/>
      <w:color w:val="548DD4"/>
      <w:sz w:val="28"/>
      <w:szCs w:val="28"/>
      <w:lang w:bidi="en-US"/>
    </w:rPr>
  </w:style>
  <w:style w:type="character" w:customStyle="1" w:styleId="Ttulo5Char">
    <w:name w:val="Título 5 Char"/>
    <w:basedOn w:val="Fontepargpadro"/>
    <w:link w:val="Ttulo5"/>
    <w:rsid w:val="00502D5A"/>
    <w:rPr>
      <w:rFonts w:ascii="Calibri" w:eastAsia="Calibri" w:hAnsi="Calibri" w:cs="Calibri"/>
      <w:sz w:val="24"/>
      <w:szCs w:val="24"/>
      <w:lang w:bidi="en-US"/>
    </w:rPr>
  </w:style>
  <w:style w:type="character" w:customStyle="1" w:styleId="Ttulo6Char">
    <w:name w:val="Título 6 Char"/>
    <w:basedOn w:val="Fontepargpadro"/>
    <w:link w:val="Ttulo6"/>
    <w:rsid w:val="00502D5A"/>
    <w:rPr>
      <w:rFonts w:ascii="Calibri" w:eastAsia="Calibri" w:hAnsi="Calibri" w:cs="Calibri"/>
      <w:lang w:bidi="en-US"/>
    </w:rPr>
  </w:style>
  <w:style w:type="character" w:customStyle="1" w:styleId="Ttulo7Char">
    <w:name w:val="Título 7 Char"/>
    <w:basedOn w:val="Fontepargpadro"/>
    <w:link w:val="Ttulo7"/>
    <w:rsid w:val="00502D5A"/>
    <w:rPr>
      <w:rFonts w:ascii="Calibri" w:eastAsia="Calibri" w:hAnsi="Calibri" w:cs="Calibri"/>
      <w:sz w:val="20"/>
      <w:szCs w:val="20"/>
      <w:lang w:bidi="en-US"/>
    </w:rPr>
  </w:style>
  <w:style w:type="character" w:customStyle="1" w:styleId="Ttulo8Char">
    <w:name w:val="Título 8 Char"/>
    <w:basedOn w:val="Fontepargpadro"/>
    <w:link w:val="Ttulo8"/>
    <w:rsid w:val="00502D5A"/>
    <w:rPr>
      <w:rFonts w:ascii="Cambria" w:eastAsia="Times New Roman" w:hAnsi="Cambria" w:cs="Times New Roman"/>
      <w:color w:val="272727"/>
      <w:sz w:val="21"/>
      <w:szCs w:val="21"/>
      <w:lang w:bidi="en-US"/>
    </w:rPr>
  </w:style>
  <w:style w:type="character" w:customStyle="1" w:styleId="Ttulo9Char">
    <w:name w:val="Título 9 Char"/>
    <w:basedOn w:val="Fontepargpadro"/>
    <w:link w:val="Ttulo9"/>
    <w:rsid w:val="00502D5A"/>
    <w:rPr>
      <w:rFonts w:ascii="Cambria" w:eastAsia="Times New Roman" w:hAnsi="Cambria" w:cs="Times New Roman"/>
      <w:i/>
      <w:iCs/>
      <w:color w:val="272727"/>
      <w:sz w:val="21"/>
      <w:szCs w:val="21"/>
      <w:lang w:bidi="en-US"/>
    </w:rPr>
  </w:style>
  <w:style w:type="table" w:customStyle="1" w:styleId="TableNormal">
    <w:name w:val="Table Normal"/>
    <w:uiPriority w:val="2"/>
    <w:semiHidden/>
    <w:unhideWhenUsed/>
    <w:qFormat/>
    <w:rsid w:val="00502D5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02D5A"/>
  </w:style>
  <w:style w:type="paragraph" w:styleId="Textodebalo">
    <w:name w:val="Balloon Text"/>
    <w:basedOn w:val="Normal"/>
    <w:link w:val="TextodebaloChar"/>
    <w:uiPriority w:val="99"/>
    <w:semiHidden/>
    <w:unhideWhenUsed/>
    <w:rsid w:val="00502D5A"/>
    <w:rPr>
      <w:rFonts w:ascii="Segoe UI" w:hAnsi="Segoe UI" w:cs="Segoe UI"/>
      <w:sz w:val="18"/>
      <w:szCs w:val="18"/>
    </w:rPr>
  </w:style>
  <w:style w:type="character" w:customStyle="1" w:styleId="TextodebaloChar">
    <w:name w:val="Texto de balão Char"/>
    <w:basedOn w:val="Fontepargpadro"/>
    <w:link w:val="Textodebalo"/>
    <w:uiPriority w:val="99"/>
    <w:semiHidden/>
    <w:rsid w:val="00502D5A"/>
    <w:rPr>
      <w:rFonts w:ascii="Segoe UI" w:eastAsia="Calibri" w:hAnsi="Segoe UI" w:cs="Segoe UI"/>
      <w:sz w:val="18"/>
      <w:szCs w:val="18"/>
      <w:lang w:bidi="en-US"/>
    </w:rPr>
  </w:style>
  <w:style w:type="paragraph" w:customStyle="1" w:styleId="Pespectiva">
    <w:name w:val="Pespectiva"/>
    <w:basedOn w:val="Normal"/>
    <w:link w:val="PespectivaChar"/>
    <w:qFormat/>
    <w:rsid w:val="00502D5A"/>
    <w:pPr>
      <w:spacing w:before="145" w:line="187" w:lineRule="auto"/>
      <w:ind w:left="118" w:right="2957"/>
    </w:pPr>
    <w:rPr>
      <w:b/>
      <w:color w:val="0067B1"/>
      <w:w w:val="105"/>
      <w:sz w:val="42"/>
    </w:rPr>
  </w:style>
  <w:style w:type="paragraph" w:customStyle="1" w:styleId="Objetivoestratgico">
    <w:name w:val="Objetivo estratégico"/>
    <w:basedOn w:val="Normal"/>
    <w:link w:val="ObjetivoestratgicoChar"/>
    <w:qFormat/>
    <w:rsid w:val="00502D5A"/>
    <w:pPr>
      <w:spacing w:before="145" w:line="187" w:lineRule="auto"/>
      <w:ind w:left="118" w:right="44"/>
    </w:pPr>
    <w:rPr>
      <w:b/>
      <w:color w:val="0067B1"/>
      <w:w w:val="105"/>
      <w:sz w:val="36"/>
      <w:szCs w:val="36"/>
    </w:rPr>
  </w:style>
  <w:style w:type="character" w:customStyle="1" w:styleId="PespectivaChar">
    <w:name w:val="Pespectiva Char"/>
    <w:link w:val="Pespectiva"/>
    <w:rsid w:val="00502D5A"/>
    <w:rPr>
      <w:rFonts w:ascii="Calibri" w:eastAsia="Calibri" w:hAnsi="Calibri" w:cs="Calibri"/>
      <w:b/>
      <w:color w:val="0067B1"/>
      <w:w w:val="105"/>
      <w:sz w:val="42"/>
      <w:lang w:bidi="en-US"/>
    </w:rPr>
  </w:style>
  <w:style w:type="paragraph" w:customStyle="1" w:styleId="Tabela">
    <w:name w:val="Tabela"/>
    <w:basedOn w:val="Normal"/>
    <w:link w:val="TabelaChar"/>
    <w:qFormat/>
    <w:rsid w:val="00502D5A"/>
    <w:pPr>
      <w:framePr w:hSpace="141" w:wrap="around" w:vAnchor="text" w:hAnchor="margin" w:x="74" w:y="36"/>
      <w:ind w:left="119"/>
    </w:pPr>
    <w:rPr>
      <w:bCs/>
      <w:color w:val="000000"/>
      <w:w w:val="105"/>
      <w:sz w:val="18"/>
      <w:szCs w:val="18"/>
    </w:rPr>
  </w:style>
  <w:style w:type="character" w:customStyle="1" w:styleId="ObjetivoestratgicoChar">
    <w:name w:val="Objetivo estratégico Char"/>
    <w:link w:val="Objetivoestratgico"/>
    <w:rsid w:val="00502D5A"/>
    <w:rPr>
      <w:rFonts w:ascii="Calibri" w:eastAsia="Calibri" w:hAnsi="Calibri" w:cs="Calibri"/>
      <w:b/>
      <w:color w:val="0067B1"/>
      <w:w w:val="105"/>
      <w:sz w:val="36"/>
      <w:szCs w:val="36"/>
      <w:lang w:bidi="en-US"/>
    </w:rPr>
  </w:style>
  <w:style w:type="paragraph" w:styleId="Cabealho">
    <w:name w:val="header"/>
    <w:basedOn w:val="Normal"/>
    <w:link w:val="CabealhoChar"/>
    <w:uiPriority w:val="99"/>
    <w:rsid w:val="00502D5A"/>
    <w:pPr>
      <w:widowControl/>
      <w:tabs>
        <w:tab w:val="center" w:pos="4680"/>
        <w:tab w:val="right" w:pos="9360"/>
      </w:tabs>
      <w:autoSpaceDE/>
      <w:autoSpaceDN/>
    </w:pPr>
    <w:rPr>
      <w:rFonts w:cs="Times New Roman"/>
      <w:b/>
      <w:color w:val="4F81BD"/>
      <w:sz w:val="20"/>
      <w:szCs w:val="24"/>
      <w:lang w:val="pt-PT" w:bidi="ar-SA"/>
    </w:rPr>
  </w:style>
  <w:style w:type="character" w:customStyle="1" w:styleId="CabealhoChar">
    <w:name w:val="Cabeçalho Char"/>
    <w:basedOn w:val="Fontepargpadro"/>
    <w:link w:val="Cabealho"/>
    <w:uiPriority w:val="99"/>
    <w:rsid w:val="00502D5A"/>
    <w:rPr>
      <w:rFonts w:ascii="Calibri" w:eastAsia="Calibri" w:hAnsi="Calibri" w:cs="Times New Roman"/>
      <w:b/>
      <w:color w:val="4F81BD"/>
      <w:sz w:val="20"/>
      <w:szCs w:val="24"/>
      <w:lang w:val="pt-PT"/>
    </w:rPr>
  </w:style>
  <w:style w:type="character" w:customStyle="1" w:styleId="TabelaChar">
    <w:name w:val="Tabela Char"/>
    <w:link w:val="Tabela"/>
    <w:rsid w:val="00502D5A"/>
    <w:rPr>
      <w:rFonts w:ascii="Calibri" w:eastAsia="Calibri" w:hAnsi="Calibri" w:cs="Calibri"/>
      <w:bCs/>
      <w:color w:val="000000"/>
      <w:w w:val="105"/>
      <w:sz w:val="18"/>
      <w:szCs w:val="18"/>
      <w:lang w:bidi="en-US"/>
    </w:rPr>
  </w:style>
  <w:style w:type="paragraph" w:styleId="Rodap">
    <w:name w:val="footer"/>
    <w:basedOn w:val="Normal"/>
    <w:link w:val="RodapChar"/>
    <w:uiPriority w:val="99"/>
    <w:unhideWhenUsed/>
    <w:rsid w:val="00502D5A"/>
    <w:pPr>
      <w:tabs>
        <w:tab w:val="center" w:pos="4252"/>
        <w:tab w:val="right" w:pos="8504"/>
      </w:tabs>
    </w:pPr>
  </w:style>
  <w:style w:type="character" w:customStyle="1" w:styleId="RodapChar">
    <w:name w:val="Rodapé Char"/>
    <w:basedOn w:val="Fontepargpadro"/>
    <w:link w:val="Rodap"/>
    <w:uiPriority w:val="99"/>
    <w:rsid w:val="00502D5A"/>
    <w:rPr>
      <w:rFonts w:ascii="Calibri" w:eastAsia="Calibri" w:hAnsi="Calibri" w:cs="Calibri"/>
      <w:lang w:bidi="en-US"/>
    </w:rPr>
  </w:style>
  <w:style w:type="paragraph" w:styleId="Legenda">
    <w:name w:val="caption"/>
    <w:basedOn w:val="Normal"/>
    <w:next w:val="Normal"/>
    <w:uiPriority w:val="35"/>
    <w:unhideWhenUsed/>
    <w:qFormat/>
    <w:rsid w:val="00502D5A"/>
    <w:pPr>
      <w:spacing w:after="200"/>
    </w:pPr>
    <w:rPr>
      <w:i/>
      <w:iCs/>
      <w:color w:val="1F497D"/>
      <w:sz w:val="18"/>
      <w:szCs w:val="18"/>
    </w:rPr>
  </w:style>
  <w:style w:type="paragraph" w:styleId="CabealhodoSumrio">
    <w:name w:val="TOC Heading"/>
    <w:basedOn w:val="Ttulo1"/>
    <w:next w:val="Normal"/>
    <w:uiPriority w:val="39"/>
    <w:unhideWhenUsed/>
    <w:qFormat/>
    <w:rsid w:val="00502D5A"/>
    <w:pPr>
      <w:keepNext/>
      <w:keepLines/>
      <w:widowControl/>
      <w:autoSpaceDE/>
      <w:autoSpaceDN/>
      <w:spacing w:before="240" w:line="259" w:lineRule="auto"/>
      <w:outlineLvl w:val="9"/>
    </w:pPr>
    <w:rPr>
      <w:rFonts w:ascii="Cambria" w:eastAsia="Times New Roman" w:hAnsi="Cambria" w:cs="Times New Roman"/>
      <w:b w:val="0"/>
      <w:color w:val="365F91"/>
      <w:w w:val="100"/>
      <w:sz w:val="32"/>
      <w:szCs w:val="32"/>
      <w:lang w:eastAsia="pt-BR" w:bidi="ar-SA"/>
    </w:rPr>
  </w:style>
  <w:style w:type="paragraph" w:styleId="Sumrio1">
    <w:name w:val="toc 1"/>
    <w:basedOn w:val="Normal"/>
    <w:next w:val="Normal"/>
    <w:autoRedefine/>
    <w:uiPriority w:val="39"/>
    <w:unhideWhenUsed/>
    <w:rsid w:val="00502D5A"/>
    <w:pPr>
      <w:spacing w:before="360"/>
    </w:pPr>
    <w:rPr>
      <w:rFonts w:ascii="Cambria" w:hAnsi="Cambria"/>
      <w:b/>
      <w:bCs/>
      <w:caps/>
      <w:sz w:val="24"/>
      <w:szCs w:val="24"/>
    </w:rPr>
  </w:style>
  <w:style w:type="paragraph" w:styleId="Sumrio2">
    <w:name w:val="toc 2"/>
    <w:basedOn w:val="Normal"/>
    <w:next w:val="Normal"/>
    <w:autoRedefine/>
    <w:uiPriority w:val="39"/>
    <w:unhideWhenUsed/>
    <w:rsid w:val="00502D5A"/>
    <w:pPr>
      <w:spacing w:before="240"/>
    </w:pPr>
    <w:rPr>
      <w:b/>
      <w:bCs/>
      <w:sz w:val="20"/>
      <w:szCs w:val="20"/>
    </w:rPr>
  </w:style>
  <w:style w:type="paragraph" w:styleId="Sumrio3">
    <w:name w:val="toc 3"/>
    <w:basedOn w:val="Normal"/>
    <w:next w:val="Normal"/>
    <w:autoRedefine/>
    <w:uiPriority w:val="39"/>
    <w:unhideWhenUsed/>
    <w:rsid w:val="00502D5A"/>
    <w:pPr>
      <w:ind w:left="220"/>
    </w:pPr>
    <w:rPr>
      <w:sz w:val="20"/>
      <w:szCs w:val="20"/>
    </w:rPr>
  </w:style>
  <w:style w:type="character" w:styleId="Hyperlink">
    <w:name w:val="Hyperlink"/>
    <w:uiPriority w:val="99"/>
    <w:unhideWhenUsed/>
    <w:rsid w:val="00502D5A"/>
    <w:rPr>
      <w:color w:val="0000FF"/>
      <w:u w:val="single"/>
    </w:rPr>
  </w:style>
  <w:style w:type="paragraph" w:styleId="Sumrio4">
    <w:name w:val="toc 4"/>
    <w:basedOn w:val="Normal"/>
    <w:next w:val="Normal"/>
    <w:autoRedefine/>
    <w:uiPriority w:val="39"/>
    <w:unhideWhenUsed/>
    <w:rsid w:val="00502D5A"/>
    <w:pPr>
      <w:ind w:left="440"/>
    </w:pPr>
    <w:rPr>
      <w:sz w:val="20"/>
      <w:szCs w:val="20"/>
    </w:rPr>
  </w:style>
  <w:style w:type="paragraph" w:styleId="Sumrio5">
    <w:name w:val="toc 5"/>
    <w:basedOn w:val="Normal"/>
    <w:next w:val="Normal"/>
    <w:autoRedefine/>
    <w:uiPriority w:val="39"/>
    <w:unhideWhenUsed/>
    <w:rsid w:val="00502D5A"/>
    <w:pPr>
      <w:ind w:left="660"/>
    </w:pPr>
    <w:rPr>
      <w:sz w:val="20"/>
      <w:szCs w:val="20"/>
    </w:rPr>
  </w:style>
  <w:style w:type="paragraph" w:styleId="Sumrio6">
    <w:name w:val="toc 6"/>
    <w:basedOn w:val="Normal"/>
    <w:next w:val="Normal"/>
    <w:autoRedefine/>
    <w:uiPriority w:val="39"/>
    <w:unhideWhenUsed/>
    <w:rsid w:val="00502D5A"/>
    <w:pPr>
      <w:ind w:left="880"/>
    </w:pPr>
    <w:rPr>
      <w:sz w:val="20"/>
      <w:szCs w:val="20"/>
    </w:rPr>
  </w:style>
  <w:style w:type="paragraph" w:styleId="Sumrio7">
    <w:name w:val="toc 7"/>
    <w:basedOn w:val="Normal"/>
    <w:next w:val="Normal"/>
    <w:autoRedefine/>
    <w:uiPriority w:val="39"/>
    <w:unhideWhenUsed/>
    <w:rsid w:val="00502D5A"/>
    <w:pPr>
      <w:ind w:left="1100"/>
    </w:pPr>
    <w:rPr>
      <w:sz w:val="20"/>
      <w:szCs w:val="20"/>
    </w:rPr>
  </w:style>
  <w:style w:type="paragraph" w:styleId="Sumrio8">
    <w:name w:val="toc 8"/>
    <w:basedOn w:val="Normal"/>
    <w:next w:val="Normal"/>
    <w:autoRedefine/>
    <w:uiPriority w:val="39"/>
    <w:unhideWhenUsed/>
    <w:rsid w:val="00502D5A"/>
    <w:pPr>
      <w:ind w:left="1320"/>
    </w:pPr>
    <w:rPr>
      <w:sz w:val="20"/>
      <w:szCs w:val="20"/>
    </w:rPr>
  </w:style>
  <w:style w:type="paragraph" w:styleId="Sumrio9">
    <w:name w:val="toc 9"/>
    <w:basedOn w:val="Normal"/>
    <w:next w:val="Normal"/>
    <w:autoRedefine/>
    <w:uiPriority w:val="39"/>
    <w:unhideWhenUsed/>
    <w:rsid w:val="00502D5A"/>
    <w:pPr>
      <w:ind w:left="1540"/>
    </w:pPr>
    <w:rPr>
      <w:sz w:val="20"/>
      <w:szCs w:val="20"/>
    </w:rPr>
  </w:style>
  <w:style w:type="paragraph" w:styleId="NormalWeb">
    <w:name w:val="Normal (Web)"/>
    <w:basedOn w:val="Normal"/>
    <w:uiPriority w:val="99"/>
    <w:unhideWhenUsed/>
    <w:qFormat/>
    <w:rsid w:val="00502D5A"/>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character" w:styleId="Forte">
    <w:name w:val="Strong"/>
    <w:uiPriority w:val="22"/>
    <w:qFormat/>
    <w:rsid w:val="00502D5A"/>
    <w:rPr>
      <w:b/>
      <w:bCs/>
    </w:rPr>
  </w:style>
  <w:style w:type="paragraph" w:customStyle="1" w:styleId="pargrafovermelho">
    <w:name w:val="parágrafo vermelho"/>
    <w:basedOn w:val="Normal"/>
    <w:link w:val="pargrafovermelhoChar"/>
    <w:qFormat/>
    <w:rsid w:val="00502D5A"/>
    <w:pPr>
      <w:tabs>
        <w:tab w:val="left" w:pos="0"/>
      </w:tabs>
      <w:ind w:right="3651"/>
    </w:pPr>
    <w:rPr>
      <w:color w:val="FF0000"/>
      <w:spacing w:val="-4"/>
      <w:sz w:val="26"/>
      <w:szCs w:val="26"/>
    </w:rPr>
  </w:style>
  <w:style w:type="character" w:customStyle="1" w:styleId="pargrafovermelhoChar">
    <w:name w:val="parágrafo vermelho Char"/>
    <w:link w:val="pargrafovermelho"/>
    <w:rsid w:val="00502D5A"/>
    <w:rPr>
      <w:rFonts w:ascii="Calibri" w:eastAsia="Calibri" w:hAnsi="Calibri" w:cs="Calibri"/>
      <w:color w:val="FF0000"/>
      <w:spacing w:val="-4"/>
      <w:sz w:val="26"/>
      <w:szCs w:val="26"/>
      <w:lang w:bidi="en-US"/>
    </w:rPr>
  </w:style>
  <w:style w:type="paragraph" w:customStyle="1" w:styleId="xmsonormal">
    <w:name w:val="x_msonormal"/>
    <w:basedOn w:val="Normal"/>
    <w:qFormat/>
    <w:rsid w:val="00502D5A"/>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character" w:styleId="Nmerodepgina">
    <w:name w:val="page number"/>
    <w:basedOn w:val="Fontepargpadro"/>
    <w:unhideWhenUsed/>
    <w:rsid w:val="00502D5A"/>
  </w:style>
  <w:style w:type="character" w:styleId="Refdecomentrio">
    <w:name w:val="annotation reference"/>
    <w:unhideWhenUsed/>
    <w:rsid w:val="00502D5A"/>
    <w:rPr>
      <w:sz w:val="16"/>
      <w:szCs w:val="16"/>
    </w:rPr>
  </w:style>
  <w:style w:type="paragraph" w:styleId="Textodecomentrio">
    <w:name w:val="annotation text"/>
    <w:basedOn w:val="Normal"/>
    <w:link w:val="TextodecomentrioChar"/>
    <w:unhideWhenUsed/>
    <w:rsid w:val="00502D5A"/>
    <w:rPr>
      <w:sz w:val="20"/>
      <w:szCs w:val="20"/>
    </w:rPr>
  </w:style>
  <w:style w:type="character" w:customStyle="1" w:styleId="TextodecomentrioChar">
    <w:name w:val="Texto de comentário Char"/>
    <w:basedOn w:val="Fontepargpadro"/>
    <w:link w:val="Textodecomentrio"/>
    <w:rsid w:val="00502D5A"/>
    <w:rPr>
      <w:rFonts w:ascii="Calibri" w:eastAsia="Calibri" w:hAnsi="Calibri" w:cs="Calibri"/>
      <w:sz w:val="20"/>
      <w:szCs w:val="20"/>
      <w:lang w:bidi="en-US"/>
    </w:rPr>
  </w:style>
  <w:style w:type="paragraph" w:styleId="Assuntodocomentrio">
    <w:name w:val="annotation subject"/>
    <w:basedOn w:val="Textodecomentrio"/>
    <w:next w:val="Textodecomentrio"/>
    <w:link w:val="AssuntodocomentrioChar"/>
    <w:unhideWhenUsed/>
    <w:rsid w:val="00502D5A"/>
    <w:rPr>
      <w:b/>
      <w:bCs/>
    </w:rPr>
  </w:style>
  <w:style w:type="character" w:customStyle="1" w:styleId="AssuntodocomentrioChar">
    <w:name w:val="Assunto do comentário Char"/>
    <w:basedOn w:val="TextodecomentrioChar"/>
    <w:link w:val="Assuntodocomentrio"/>
    <w:rsid w:val="00502D5A"/>
    <w:rPr>
      <w:rFonts w:ascii="Calibri" w:eastAsia="Calibri" w:hAnsi="Calibri" w:cs="Calibri"/>
      <w:b/>
      <w:bCs/>
      <w:sz w:val="20"/>
      <w:szCs w:val="20"/>
      <w:lang w:bidi="en-US"/>
    </w:rPr>
  </w:style>
  <w:style w:type="character" w:styleId="Nmerodelinha">
    <w:name w:val="line number"/>
    <w:basedOn w:val="Fontepargpadro"/>
    <w:uiPriority w:val="99"/>
    <w:semiHidden/>
    <w:unhideWhenUsed/>
    <w:rsid w:val="00502D5A"/>
  </w:style>
  <w:style w:type="paragraph" w:styleId="SemEspaamento">
    <w:name w:val="No Spacing"/>
    <w:link w:val="SemEspaamentoChar"/>
    <w:uiPriority w:val="1"/>
    <w:qFormat/>
    <w:rsid w:val="00502D5A"/>
    <w:pPr>
      <w:spacing w:after="0" w:line="240" w:lineRule="auto"/>
    </w:pPr>
    <w:rPr>
      <w:rFonts w:ascii="Calibri" w:eastAsia="Times New Roman" w:hAnsi="Calibri" w:cs="Times New Roman"/>
      <w:lang w:eastAsia="pt-BR"/>
    </w:rPr>
  </w:style>
  <w:style w:type="character" w:customStyle="1" w:styleId="SemEspaamentoChar">
    <w:name w:val="Sem Espaçamento Char"/>
    <w:link w:val="SemEspaamento"/>
    <w:uiPriority w:val="1"/>
    <w:rsid w:val="00502D5A"/>
    <w:rPr>
      <w:rFonts w:ascii="Calibri" w:eastAsia="Times New Roman" w:hAnsi="Calibri" w:cs="Times New Roman"/>
      <w:lang w:eastAsia="pt-BR"/>
    </w:rPr>
  </w:style>
  <w:style w:type="character" w:customStyle="1" w:styleId="PargrafodaListaChar">
    <w:name w:val="Parágrafo da Lista Char"/>
    <w:aliases w:val="Título Médio Char,Marcador 1.1 Char,Quadros-Tabelas Char"/>
    <w:link w:val="PargrafodaLista"/>
    <w:uiPriority w:val="34"/>
    <w:qFormat/>
    <w:locked/>
    <w:rsid w:val="00502D5A"/>
    <w:rPr>
      <w:rFonts w:ascii="Calibri" w:eastAsia="Calibri" w:hAnsi="Calibri" w:cs="Calibri"/>
      <w:lang w:bidi="en-US"/>
    </w:rPr>
  </w:style>
  <w:style w:type="table" w:styleId="TabeladeLista4-nfase1">
    <w:name w:val="List Table 4 Accent 1"/>
    <w:basedOn w:val="Tabelanormal"/>
    <w:uiPriority w:val="49"/>
    <w:rsid w:val="00502D5A"/>
    <w:pPr>
      <w:spacing w:after="0" w:line="240" w:lineRule="auto"/>
    </w:pPr>
    <w:rPr>
      <w:rFonts w:ascii="Calibri" w:eastAsia="Calibri" w:hAnsi="Calibri" w:cs="Times New Roman"/>
      <w:sz w:val="20"/>
      <w:szCs w:val="20"/>
      <w:lang w:eastAsia="pt-B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nfase">
    <w:name w:val="Emphasis"/>
    <w:uiPriority w:val="20"/>
    <w:qFormat/>
    <w:rsid w:val="00502D5A"/>
    <w:rPr>
      <w:i/>
      <w:iCs/>
    </w:rPr>
  </w:style>
  <w:style w:type="character" w:customStyle="1" w:styleId="normaltextrun">
    <w:name w:val="normaltextrun"/>
    <w:basedOn w:val="Fontepargpadro"/>
    <w:rsid w:val="00502D5A"/>
  </w:style>
  <w:style w:type="character" w:customStyle="1" w:styleId="eop">
    <w:name w:val="eop"/>
    <w:basedOn w:val="Fontepargpadro"/>
    <w:rsid w:val="00502D5A"/>
  </w:style>
  <w:style w:type="table" w:styleId="TabeladeLista2-nfase6">
    <w:name w:val="List Table 2 Accent 6"/>
    <w:basedOn w:val="Tabelanormal"/>
    <w:uiPriority w:val="47"/>
    <w:rsid w:val="00502D5A"/>
    <w:pPr>
      <w:spacing w:after="0" w:line="240" w:lineRule="auto"/>
    </w:pPr>
    <w:rPr>
      <w:rFonts w:ascii="Calibri" w:eastAsia="Calibri" w:hAnsi="Calibri" w:cs="Times New Roman"/>
      <w:sz w:val="20"/>
      <w:szCs w:val="20"/>
      <w:lang w:eastAsia="pt-BR"/>
    </w:rPr>
    <w:tblPr>
      <w:tblStyleRowBandSize w:val="1"/>
      <w:tblStyleColBandSize w:val="1"/>
      <w:tblInd w:w="0" w:type="nil"/>
      <w:tblBorders>
        <w:top w:val="single" w:sz="4" w:space="0" w:color="FABF8F"/>
        <w:bottom w:val="single" w:sz="4" w:space="0" w:color="FABF8F"/>
        <w:insideH w:val="single" w:sz="4" w:space="0" w:color="FABF8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TabeladeGrade3-nfase1">
    <w:name w:val="Grid Table 3 Accent 1"/>
    <w:basedOn w:val="Tabelanormal"/>
    <w:uiPriority w:val="48"/>
    <w:rsid w:val="00502D5A"/>
    <w:pPr>
      <w:spacing w:after="0" w:line="240" w:lineRule="auto"/>
    </w:pPr>
    <w:rPr>
      <w:rFonts w:ascii="Calibri" w:eastAsia="Calibri" w:hAnsi="Calibri" w:cs="Times New Roman"/>
      <w:sz w:val="20"/>
      <w:szCs w:val="20"/>
      <w:lang w:eastAsia="pt-B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styleId="TabeladeGrade5Escura-nfase1">
    <w:name w:val="Grid Table 5 Dark Accent 1"/>
    <w:basedOn w:val="Tabelanormal"/>
    <w:uiPriority w:val="50"/>
    <w:rsid w:val="00502D5A"/>
    <w:pPr>
      <w:spacing w:after="0" w:line="240" w:lineRule="auto"/>
    </w:pPr>
    <w:rPr>
      <w:rFonts w:ascii="Calibri" w:eastAsia="Calibri" w:hAnsi="Calibri" w:cs="Times New Roman"/>
      <w:sz w:val="20"/>
      <w:szCs w:val="20"/>
      <w:lang w:eastAsia="pt-B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character" w:customStyle="1" w:styleId="xmarkb2uak15lr">
    <w:name w:val="x_markb2uak15lr"/>
    <w:basedOn w:val="Fontepargpadro"/>
    <w:rsid w:val="00502D5A"/>
  </w:style>
  <w:style w:type="character" w:customStyle="1" w:styleId="xmarkpq9fq7pzq">
    <w:name w:val="x_markpq9fq7pzq"/>
    <w:basedOn w:val="Fontepargpadro"/>
    <w:rsid w:val="00502D5A"/>
  </w:style>
  <w:style w:type="paragraph" w:styleId="Reviso">
    <w:name w:val="Revision"/>
    <w:hidden/>
    <w:uiPriority w:val="99"/>
    <w:semiHidden/>
    <w:rsid w:val="00502D5A"/>
    <w:pPr>
      <w:spacing w:after="0" w:line="240" w:lineRule="auto"/>
    </w:pPr>
    <w:rPr>
      <w:rFonts w:ascii="Calibri" w:eastAsia="Calibri" w:hAnsi="Calibri" w:cs="Calibri"/>
      <w:lang w:bidi="en-US"/>
    </w:rPr>
  </w:style>
  <w:style w:type="character" w:styleId="MenoPendente">
    <w:name w:val="Unresolved Mention"/>
    <w:uiPriority w:val="99"/>
    <w:semiHidden/>
    <w:unhideWhenUsed/>
    <w:rsid w:val="00502D5A"/>
    <w:rPr>
      <w:color w:val="605E5C"/>
      <w:shd w:val="clear" w:color="auto" w:fill="E1DFDD"/>
    </w:rPr>
  </w:style>
  <w:style w:type="character" w:customStyle="1" w:styleId="jsgrdq">
    <w:name w:val="jsgrdq"/>
    <w:basedOn w:val="Fontepargpadro"/>
    <w:rsid w:val="00502D5A"/>
  </w:style>
  <w:style w:type="table" w:styleId="TabeladeGrade4-nfase1">
    <w:name w:val="Grid Table 4 Accent 1"/>
    <w:basedOn w:val="Tabelanormal"/>
    <w:uiPriority w:val="49"/>
    <w:rsid w:val="00502D5A"/>
    <w:pPr>
      <w:spacing w:after="0" w:line="240" w:lineRule="auto"/>
    </w:pPr>
    <w:rPr>
      <w:rFonts w:ascii="Calibri" w:eastAsia="Calibri" w:hAnsi="Calibri" w:cs="Times New Roman"/>
      <w:sz w:val="20"/>
      <w:szCs w:val="20"/>
      <w:lang w:eastAsia="pt-B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itemnivel2">
    <w:name w:val="item_nivel2"/>
    <w:basedOn w:val="Normal"/>
    <w:rsid w:val="00502D5A"/>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paragraph" w:customStyle="1" w:styleId="paragrafonumeradonivel2">
    <w:name w:val="paragrafo_numerado_nivel2"/>
    <w:basedOn w:val="Normal"/>
    <w:rsid w:val="00502D5A"/>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paragraph" w:customStyle="1" w:styleId="tabelatextocentralizado">
    <w:name w:val="tabela_texto_centralizado"/>
    <w:basedOn w:val="Normal"/>
    <w:rsid w:val="00502D5A"/>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paragraph" w:customStyle="1" w:styleId="paragrafonumeradonivel3">
    <w:name w:val="paragrafo_numerado_nivel3"/>
    <w:basedOn w:val="Normal"/>
    <w:rsid w:val="00502D5A"/>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table" w:styleId="SimplesTabela2">
    <w:name w:val="Plain Table 2"/>
    <w:basedOn w:val="Tabelanormal"/>
    <w:uiPriority w:val="42"/>
    <w:rsid w:val="00502D5A"/>
    <w:pPr>
      <w:spacing w:after="0" w:line="240" w:lineRule="auto"/>
    </w:pPr>
    <w:rPr>
      <w:rFonts w:ascii="Arial" w:eastAsia="Arial" w:hAnsi="Arial" w:cs="Arial"/>
      <w:sz w:val="20"/>
      <w:szCs w:val="20"/>
      <w:lang w:eastAsia="pt-B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Estilo1">
    <w:name w:val="Estilo1"/>
    <w:uiPriority w:val="99"/>
    <w:rsid w:val="00502D5A"/>
    <w:pPr>
      <w:numPr>
        <w:numId w:val="1"/>
      </w:numPr>
    </w:pPr>
  </w:style>
  <w:style w:type="paragraph" w:styleId="ndicedeilustraes">
    <w:name w:val="table of figures"/>
    <w:basedOn w:val="Normal"/>
    <w:next w:val="Normal"/>
    <w:uiPriority w:val="99"/>
    <w:unhideWhenUsed/>
    <w:rsid w:val="00502D5A"/>
  </w:style>
  <w:style w:type="numbering" w:customStyle="1" w:styleId="Estilo2">
    <w:name w:val="Estilo2"/>
    <w:uiPriority w:val="99"/>
    <w:rsid w:val="00502D5A"/>
    <w:pPr>
      <w:numPr>
        <w:numId w:val="2"/>
      </w:numPr>
    </w:pPr>
  </w:style>
  <w:style w:type="paragraph" w:customStyle="1" w:styleId="Default">
    <w:name w:val="Default"/>
    <w:qFormat/>
    <w:rsid w:val="00502D5A"/>
    <w:pPr>
      <w:autoSpaceDE w:val="0"/>
      <w:autoSpaceDN w:val="0"/>
      <w:adjustRightInd w:val="0"/>
      <w:spacing w:after="0" w:line="240" w:lineRule="auto"/>
    </w:pPr>
    <w:rPr>
      <w:rFonts w:ascii="Carlito" w:eastAsia="Calibri" w:hAnsi="Carlito" w:cs="Carlito"/>
      <w:color w:val="000000"/>
      <w:sz w:val="24"/>
      <w:szCs w:val="24"/>
    </w:rPr>
  </w:style>
  <w:style w:type="paragraph" w:customStyle="1" w:styleId="dou-paragraph">
    <w:name w:val="dou-paragraph"/>
    <w:basedOn w:val="Normal"/>
    <w:rsid w:val="00502D5A"/>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paragraph" w:styleId="Textoembloco">
    <w:name w:val="Block Text"/>
    <w:basedOn w:val="Normal"/>
    <w:uiPriority w:val="99"/>
    <w:rsid w:val="00502D5A"/>
    <w:pPr>
      <w:widowControl/>
      <w:tabs>
        <w:tab w:val="left" w:pos="0"/>
      </w:tabs>
      <w:autoSpaceDE/>
      <w:autoSpaceDN/>
      <w:spacing w:line="312" w:lineRule="auto"/>
      <w:ind w:left="705" w:right="-142"/>
      <w:jc w:val="both"/>
    </w:pPr>
    <w:rPr>
      <w:rFonts w:ascii="Arial" w:eastAsia="Times New Roman" w:hAnsi="Arial" w:cs="Times New Roman"/>
      <w:bCs/>
      <w:sz w:val="20"/>
      <w:szCs w:val="20"/>
      <w:lang w:eastAsia="pt-BR" w:bidi="ar-SA"/>
    </w:rPr>
  </w:style>
  <w:style w:type="paragraph" w:customStyle="1" w:styleId="-PGINA-">
    <w:name w:val="- PÁGINA -"/>
    <w:rsid w:val="00502D5A"/>
    <w:pPr>
      <w:spacing w:after="0" w:line="240" w:lineRule="auto"/>
    </w:pPr>
    <w:rPr>
      <w:rFonts w:ascii="Times New Roman" w:eastAsia="Times New Roman" w:hAnsi="Times New Roman" w:cs="Times New Roman"/>
      <w:sz w:val="24"/>
      <w:szCs w:val="24"/>
      <w:lang w:eastAsia="pt-BR"/>
    </w:rPr>
  </w:style>
  <w:style w:type="paragraph" w:styleId="Ttulo">
    <w:name w:val="Title"/>
    <w:basedOn w:val="Normal"/>
    <w:link w:val="TtuloChar"/>
    <w:qFormat/>
    <w:rsid w:val="00502D5A"/>
    <w:pPr>
      <w:widowControl/>
      <w:autoSpaceDE/>
      <w:autoSpaceDN/>
      <w:jc w:val="center"/>
    </w:pPr>
    <w:rPr>
      <w:rFonts w:ascii="Arial" w:eastAsia="Times New Roman" w:hAnsi="Arial" w:cs="Times New Roman"/>
      <w:b/>
      <w:i/>
      <w:sz w:val="16"/>
      <w:szCs w:val="20"/>
      <w:lang w:eastAsia="pt-BR" w:bidi="ar-SA"/>
    </w:rPr>
  </w:style>
  <w:style w:type="character" w:customStyle="1" w:styleId="TtuloChar">
    <w:name w:val="Título Char"/>
    <w:basedOn w:val="Fontepargpadro"/>
    <w:link w:val="Ttulo"/>
    <w:rsid w:val="00502D5A"/>
    <w:rPr>
      <w:rFonts w:ascii="Arial" w:eastAsia="Times New Roman" w:hAnsi="Arial" w:cs="Times New Roman"/>
      <w:b/>
      <w:i/>
      <w:sz w:val="16"/>
      <w:szCs w:val="20"/>
      <w:lang w:eastAsia="pt-BR"/>
    </w:rPr>
  </w:style>
  <w:style w:type="paragraph" w:styleId="Corpodetexto2">
    <w:name w:val="Body Text 2"/>
    <w:basedOn w:val="Normal"/>
    <w:link w:val="Corpodetexto2Char"/>
    <w:rsid w:val="00502D5A"/>
    <w:pPr>
      <w:widowControl/>
      <w:autoSpaceDE/>
      <w:autoSpaceDN/>
      <w:spacing w:before="60"/>
      <w:jc w:val="both"/>
    </w:pPr>
    <w:rPr>
      <w:rFonts w:ascii="Arial" w:eastAsia="Times New Roman" w:hAnsi="Arial" w:cs="Arial"/>
      <w:sz w:val="20"/>
      <w:szCs w:val="24"/>
      <w:lang w:eastAsia="pt-BR" w:bidi="ar-SA"/>
    </w:rPr>
  </w:style>
  <w:style w:type="character" w:customStyle="1" w:styleId="Corpodetexto2Char">
    <w:name w:val="Corpo de texto 2 Char"/>
    <w:basedOn w:val="Fontepargpadro"/>
    <w:link w:val="Corpodetexto2"/>
    <w:rsid w:val="00502D5A"/>
    <w:rPr>
      <w:rFonts w:ascii="Arial" w:eastAsia="Times New Roman" w:hAnsi="Arial" w:cs="Arial"/>
      <w:sz w:val="20"/>
      <w:szCs w:val="24"/>
      <w:lang w:eastAsia="pt-BR"/>
    </w:rPr>
  </w:style>
  <w:style w:type="paragraph" w:styleId="Corpodetexto3">
    <w:name w:val="Body Text 3"/>
    <w:basedOn w:val="Normal"/>
    <w:link w:val="Corpodetexto3Char"/>
    <w:rsid w:val="00502D5A"/>
    <w:pPr>
      <w:widowControl/>
      <w:autoSpaceDE/>
      <w:autoSpaceDN/>
      <w:jc w:val="right"/>
    </w:pPr>
    <w:rPr>
      <w:rFonts w:ascii="Arial" w:eastAsia="Times New Roman" w:hAnsi="Arial" w:cs="Arial"/>
      <w:sz w:val="20"/>
      <w:szCs w:val="24"/>
      <w:lang w:eastAsia="pt-BR" w:bidi="ar-SA"/>
    </w:rPr>
  </w:style>
  <w:style w:type="character" w:customStyle="1" w:styleId="Corpodetexto3Char">
    <w:name w:val="Corpo de texto 3 Char"/>
    <w:basedOn w:val="Fontepargpadro"/>
    <w:link w:val="Corpodetexto3"/>
    <w:rsid w:val="00502D5A"/>
    <w:rPr>
      <w:rFonts w:ascii="Arial" w:eastAsia="Times New Roman" w:hAnsi="Arial" w:cs="Arial"/>
      <w:sz w:val="20"/>
      <w:szCs w:val="24"/>
      <w:lang w:eastAsia="pt-BR"/>
    </w:rPr>
  </w:style>
  <w:style w:type="paragraph" w:styleId="Recuodecorpodetexto">
    <w:name w:val="Body Text Indent"/>
    <w:basedOn w:val="Normal"/>
    <w:link w:val="RecuodecorpodetextoChar"/>
    <w:rsid w:val="00502D5A"/>
    <w:pPr>
      <w:widowControl/>
      <w:autoSpaceDE/>
      <w:autoSpaceDN/>
      <w:spacing w:after="120"/>
      <w:ind w:left="283"/>
    </w:pPr>
    <w:rPr>
      <w:rFonts w:ascii="Times New Roman" w:eastAsia="Times New Roman" w:hAnsi="Times New Roman" w:cs="Times New Roman"/>
      <w:sz w:val="24"/>
      <w:szCs w:val="24"/>
      <w:lang w:eastAsia="pt-BR" w:bidi="ar-SA"/>
    </w:rPr>
  </w:style>
  <w:style w:type="character" w:customStyle="1" w:styleId="RecuodecorpodetextoChar">
    <w:name w:val="Recuo de corpo de texto Char"/>
    <w:basedOn w:val="Fontepargpadro"/>
    <w:link w:val="Recuodecorpodetexto"/>
    <w:rsid w:val="00502D5A"/>
    <w:rPr>
      <w:rFonts w:ascii="Times New Roman" w:eastAsia="Times New Roman" w:hAnsi="Times New Roman" w:cs="Times New Roman"/>
      <w:sz w:val="24"/>
      <w:szCs w:val="24"/>
      <w:lang w:eastAsia="pt-BR"/>
    </w:rPr>
  </w:style>
  <w:style w:type="paragraph" w:styleId="Recuodecorpodetexto2">
    <w:name w:val="Body Text Indent 2"/>
    <w:basedOn w:val="Normal"/>
    <w:link w:val="Recuodecorpodetexto2Char"/>
    <w:rsid w:val="00502D5A"/>
    <w:pPr>
      <w:widowControl/>
      <w:autoSpaceDE/>
      <w:autoSpaceDN/>
      <w:spacing w:after="120" w:line="480" w:lineRule="auto"/>
      <w:ind w:left="283"/>
    </w:pPr>
    <w:rPr>
      <w:rFonts w:ascii="Arial" w:eastAsia="Times New Roman" w:hAnsi="Arial" w:cs="Times New Roman"/>
      <w:sz w:val="24"/>
      <w:szCs w:val="24"/>
      <w:lang w:eastAsia="pt-BR" w:bidi="ar-SA"/>
    </w:rPr>
  </w:style>
  <w:style w:type="character" w:customStyle="1" w:styleId="Recuodecorpodetexto2Char">
    <w:name w:val="Recuo de corpo de texto 2 Char"/>
    <w:basedOn w:val="Fontepargpadro"/>
    <w:link w:val="Recuodecorpodetexto2"/>
    <w:rsid w:val="00502D5A"/>
    <w:rPr>
      <w:rFonts w:ascii="Arial" w:eastAsia="Times New Roman" w:hAnsi="Arial" w:cs="Times New Roman"/>
      <w:sz w:val="24"/>
      <w:szCs w:val="24"/>
      <w:lang w:eastAsia="pt-BR"/>
    </w:rPr>
  </w:style>
  <w:style w:type="paragraph" w:styleId="Recuodecorpodetexto3">
    <w:name w:val="Body Text Indent 3"/>
    <w:basedOn w:val="Normal"/>
    <w:link w:val="Recuodecorpodetexto3Char"/>
    <w:rsid w:val="00502D5A"/>
    <w:pPr>
      <w:widowControl/>
      <w:autoSpaceDE/>
      <w:autoSpaceDN/>
      <w:spacing w:after="120"/>
      <w:ind w:left="283"/>
    </w:pPr>
    <w:rPr>
      <w:rFonts w:ascii="Arial" w:eastAsia="Times New Roman" w:hAnsi="Arial" w:cs="Times New Roman"/>
      <w:sz w:val="16"/>
      <w:szCs w:val="16"/>
      <w:lang w:eastAsia="pt-BR" w:bidi="ar-SA"/>
    </w:rPr>
  </w:style>
  <w:style w:type="character" w:customStyle="1" w:styleId="Recuodecorpodetexto3Char">
    <w:name w:val="Recuo de corpo de texto 3 Char"/>
    <w:basedOn w:val="Fontepargpadro"/>
    <w:link w:val="Recuodecorpodetexto3"/>
    <w:rsid w:val="00502D5A"/>
    <w:rPr>
      <w:rFonts w:ascii="Arial" w:eastAsia="Times New Roman" w:hAnsi="Arial" w:cs="Times New Roman"/>
      <w:sz w:val="16"/>
      <w:szCs w:val="16"/>
      <w:lang w:eastAsia="pt-BR"/>
    </w:rPr>
  </w:style>
  <w:style w:type="table" w:styleId="Tabelacomgrade1">
    <w:name w:val="Table Grid 1"/>
    <w:basedOn w:val="Tabelanormal"/>
    <w:rsid w:val="00502D5A"/>
    <w:pPr>
      <w:spacing w:after="0" w:line="240" w:lineRule="auto"/>
    </w:pPr>
    <w:rPr>
      <w:rFonts w:ascii="Times New Roman" w:eastAsia="Times New Roman" w:hAnsi="Times New Roman" w:cs="Times New Roman"/>
      <w:sz w:val="20"/>
      <w:szCs w:val="20"/>
      <w:lang w:eastAsia="pt-B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comgrade2">
    <w:name w:val="Table Grid 2"/>
    <w:basedOn w:val="Tabelanormal"/>
    <w:rsid w:val="00502D5A"/>
    <w:pPr>
      <w:spacing w:after="0" w:line="240" w:lineRule="auto"/>
    </w:pPr>
    <w:rPr>
      <w:rFonts w:ascii="Times New Roman" w:eastAsia="Times New Roman" w:hAnsi="Times New Roman" w:cs="Times New Roman"/>
      <w:sz w:val="20"/>
      <w:szCs w:val="20"/>
      <w:lang w:eastAsia="pt-BR"/>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full">
    <w:name w:val="full"/>
    <w:basedOn w:val="Normal"/>
    <w:rsid w:val="00502D5A"/>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paragraph" w:customStyle="1" w:styleId="paragrafonumeradonivel1">
    <w:name w:val="paragrafo_numerado_nivel1"/>
    <w:basedOn w:val="Normal"/>
    <w:rsid w:val="00502D5A"/>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paragraph" w:customStyle="1" w:styleId="itemincisoromano">
    <w:name w:val="item_inciso_romano"/>
    <w:basedOn w:val="Normal"/>
    <w:rsid w:val="00502D5A"/>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table" w:customStyle="1" w:styleId="Tabelacomgrade10">
    <w:name w:val="Tabela com grade1"/>
    <w:basedOn w:val="Tabelanormal"/>
    <w:next w:val="Tabelacomgrade"/>
    <w:uiPriority w:val="39"/>
    <w:rsid w:val="00502D5A"/>
    <w:pPr>
      <w:spacing w:after="0" w:line="240" w:lineRule="auto"/>
    </w:pPr>
    <w:rPr>
      <w:rFonts w:ascii="Calibri" w:eastAsia="Calibri" w:hAnsi="Calibri" w:cs="Times New Roman"/>
      <w:sz w:val="20"/>
      <w:szCs w:val="20"/>
      <w:lang w:eastAsia="pt-B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justificadorecuoprimeiralinha">
    <w:name w:val="texto_justificado_recuo_primeira_linha"/>
    <w:basedOn w:val="Normal"/>
    <w:rsid w:val="00C20405"/>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table" w:customStyle="1" w:styleId="NormalTable0">
    <w:name w:val="Normal Table0"/>
    <w:uiPriority w:val="2"/>
    <w:semiHidden/>
    <w:unhideWhenUsed/>
    <w:qFormat/>
    <w:rsid w:val="00EE2DA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extojustificado">
    <w:name w:val="texto_justificado"/>
    <w:basedOn w:val="Normal"/>
    <w:rsid w:val="00EE2DA2"/>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paragraph" w:customStyle="1" w:styleId="textocentralizado">
    <w:name w:val="texto_centralizado"/>
    <w:basedOn w:val="Normal"/>
    <w:rsid w:val="00EE2DA2"/>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paragraph" w:customStyle="1" w:styleId="tabelatextoalinhadoesquerda">
    <w:name w:val="tabela_texto_alinhado_esquerda"/>
    <w:basedOn w:val="Normal"/>
    <w:rsid w:val="00EE2DA2"/>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paragraph" w:styleId="Textodenotaderodap">
    <w:name w:val="footnote text"/>
    <w:basedOn w:val="Normal"/>
    <w:link w:val="TextodenotaderodapChar"/>
    <w:uiPriority w:val="99"/>
    <w:semiHidden/>
    <w:unhideWhenUsed/>
    <w:rsid w:val="00EE2DA2"/>
    <w:rPr>
      <w:sz w:val="20"/>
      <w:szCs w:val="20"/>
    </w:rPr>
  </w:style>
  <w:style w:type="character" w:customStyle="1" w:styleId="TextodenotaderodapChar">
    <w:name w:val="Texto de nota de rodapé Char"/>
    <w:basedOn w:val="Fontepargpadro"/>
    <w:link w:val="Textodenotaderodap"/>
    <w:uiPriority w:val="99"/>
    <w:semiHidden/>
    <w:rsid w:val="00EE2DA2"/>
    <w:rPr>
      <w:rFonts w:ascii="Calibri" w:eastAsia="Calibri" w:hAnsi="Calibri" w:cs="Calibri"/>
      <w:sz w:val="20"/>
      <w:szCs w:val="20"/>
      <w:lang w:bidi="en-US"/>
    </w:rPr>
  </w:style>
  <w:style w:type="character" w:styleId="Refdenotaderodap">
    <w:name w:val="footnote reference"/>
    <w:basedOn w:val="Fontepargpadro"/>
    <w:uiPriority w:val="99"/>
    <w:semiHidden/>
    <w:unhideWhenUsed/>
    <w:rsid w:val="00EE2DA2"/>
    <w:rPr>
      <w:vertAlign w:val="superscript"/>
    </w:rPr>
  </w:style>
  <w:style w:type="table" w:styleId="TabeladeLista3-nfase1">
    <w:name w:val="List Table 3 Accent 1"/>
    <w:basedOn w:val="Tabelanormal"/>
    <w:uiPriority w:val="48"/>
    <w:rsid w:val="003302B3"/>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TabeladeGradeClara">
    <w:name w:val="Grid Table Light"/>
    <w:basedOn w:val="Tabelanormal"/>
    <w:uiPriority w:val="40"/>
    <w:rsid w:val="002E151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Fontepargpadro"/>
    <w:rsid w:val="0029224E"/>
    <w:rPr>
      <w:rFonts w:ascii="Calibri" w:hAnsi="Calibri" w:cs="Calibri" w:hint="default"/>
      <w:b w:val="0"/>
      <w:bCs w:val="0"/>
      <w:i w:val="0"/>
      <w:iCs w:val="0"/>
      <w:color w:val="000000"/>
      <w:sz w:val="22"/>
      <w:szCs w:val="22"/>
    </w:rPr>
  </w:style>
  <w:style w:type="table" w:styleId="TabeladeLista4">
    <w:name w:val="List Table 4"/>
    <w:basedOn w:val="Tabelanormal"/>
    <w:uiPriority w:val="49"/>
    <w:rsid w:val="001C04EB"/>
    <w:pPr>
      <w:spacing w:before="120" w:after="0" w:line="240" w:lineRule="auto"/>
      <w:jc w:val="both"/>
    </w:pPr>
    <w:rPr>
      <w:rFonts w:ascii="Arial" w:eastAsia="Arial" w:hAnsi="Arial" w:cs="Arial"/>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implesTabela1">
    <w:name w:val="Plain Table 1"/>
    <w:basedOn w:val="Tabelanormal"/>
    <w:uiPriority w:val="41"/>
    <w:rsid w:val="007F65E9"/>
    <w:pPr>
      <w:spacing w:before="120" w:after="0" w:line="240" w:lineRule="auto"/>
      <w:jc w:val="both"/>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arkr0aj0w7px">
    <w:name w:val="markr0aj0w7px"/>
    <w:basedOn w:val="Fontepargpadro"/>
    <w:rsid w:val="00486996"/>
  </w:style>
  <w:style w:type="paragraph" w:customStyle="1" w:styleId="citacao">
    <w:name w:val="citacao"/>
    <w:basedOn w:val="Normal"/>
    <w:rsid w:val="00486996"/>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table" w:customStyle="1" w:styleId="NormalTable00">
    <w:name w:val="Normal Table00"/>
    <w:uiPriority w:val="2"/>
    <w:semiHidden/>
    <w:unhideWhenUsed/>
    <w:qFormat/>
    <w:rsid w:val="0011558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HiperlinkVisitado">
    <w:name w:val="FollowedHyperlink"/>
    <w:basedOn w:val="Fontepargpadro"/>
    <w:uiPriority w:val="99"/>
    <w:semiHidden/>
    <w:unhideWhenUsed/>
    <w:rsid w:val="005E3702"/>
    <w:rPr>
      <w:color w:val="954F72" w:themeColor="followedHyperlink"/>
      <w:u w:val="single"/>
    </w:rPr>
  </w:style>
  <w:style w:type="table" w:styleId="TabeladeGrade4">
    <w:name w:val="Grid Table 4"/>
    <w:basedOn w:val="Tabelanormal"/>
    <w:uiPriority w:val="49"/>
    <w:rsid w:val="00A1185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4-nfase11">
    <w:name w:val="Tabela de Lista 4 - Ênfase 11"/>
    <w:basedOn w:val="Tabelanormal"/>
    <w:uiPriority w:val="49"/>
    <w:rsid w:val="00786F39"/>
    <w:pPr>
      <w:spacing w:after="0" w:line="240" w:lineRule="auto"/>
    </w:pPr>
    <w:rPr>
      <w:rFonts w:ascii="Calibri" w:eastAsia="Calibri" w:hAnsi="Calibri" w:cs="Times New Roman"/>
      <w:sz w:val="20"/>
      <w:szCs w:val="20"/>
      <w:lang w:eastAsia="pt-B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eladeLista2-nfase61">
    <w:name w:val="Tabela de Lista 2 - Ênfase 61"/>
    <w:basedOn w:val="Tabelanormal"/>
    <w:uiPriority w:val="47"/>
    <w:rsid w:val="00786F39"/>
    <w:pPr>
      <w:spacing w:after="0" w:line="240" w:lineRule="auto"/>
    </w:pPr>
    <w:rPr>
      <w:rFonts w:ascii="Calibri" w:eastAsia="Calibri" w:hAnsi="Calibri" w:cs="Times New Roman"/>
      <w:sz w:val="20"/>
      <w:szCs w:val="20"/>
      <w:lang w:eastAsia="pt-BR"/>
    </w:rPr>
    <w:tblPr>
      <w:tblStyleRowBandSize w:val="1"/>
      <w:tblStyleColBandSize w:val="1"/>
      <w:tblBorders>
        <w:top w:val="single" w:sz="4" w:space="0" w:color="FABF8F"/>
        <w:bottom w:val="single" w:sz="4" w:space="0" w:color="FABF8F"/>
        <w:insideH w:val="single" w:sz="4" w:space="0" w:color="FABF8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eladeGrade3-nfase11">
    <w:name w:val="Tabela de Grade 3 - Ênfase 11"/>
    <w:basedOn w:val="Tabelanormal"/>
    <w:uiPriority w:val="48"/>
    <w:rsid w:val="00786F39"/>
    <w:pPr>
      <w:spacing w:after="0" w:line="240" w:lineRule="auto"/>
    </w:pPr>
    <w:rPr>
      <w:rFonts w:ascii="Calibri" w:eastAsia="Calibri" w:hAnsi="Calibri" w:cs="Times New Roman"/>
      <w:sz w:val="20"/>
      <w:szCs w:val="20"/>
      <w:lang w:eastAsia="pt-B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eladeGrade5Escura-nfase11">
    <w:name w:val="Tabela de Grade 5 Escura - Ênfase 11"/>
    <w:basedOn w:val="Tabelanormal"/>
    <w:uiPriority w:val="50"/>
    <w:rsid w:val="00786F39"/>
    <w:pPr>
      <w:spacing w:after="0" w:line="240" w:lineRule="auto"/>
    </w:pPr>
    <w:rPr>
      <w:rFonts w:ascii="Calibri" w:eastAsia="Calibri" w:hAnsi="Calibri" w:cs="Times New Roman"/>
      <w:sz w:val="20"/>
      <w:szCs w:val="20"/>
      <w:lang w:eastAsia="pt-B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character" w:customStyle="1" w:styleId="MenoPendente1">
    <w:name w:val="Menção Pendente1"/>
    <w:uiPriority w:val="99"/>
    <w:semiHidden/>
    <w:unhideWhenUsed/>
    <w:rsid w:val="00786F39"/>
    <w:rPr>
      <w:color w:val="605E5C"/>
      <w:shd w:val="clear" w:color="auto" w:fill="E1DFDD"/>
    </w:rPr>
  </w:style>
  <w:style w:type="table" w:customStyle="1" w:styleId="TabeladeGrade4-nfase11">
    <w:name w:val="Tabela de Grade 4 - Ênfase 11"/>
    <w:basedOn w:val="Tabelanormal"/>
    <w:uiPriority w:val="49"/>
    <w:rsid w:val="00786F39"/>
    <w:pPr>
      <w:spacing w:after="0" w:line="240" w:lineRule="auto"/>
    </w:pPr>
    <w:rPr>
      <w:rFonts w:ascii="Calibri" w:eastAsia="Calibri" w:hAnsi="Calibri" w:cs="Times New Roman"/>
      <w:sz w:val="20"/>
      <w:szCs w:val="20"/>
      <w:lang w:eastAsia="pt-B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SimplesTabela21">
    <w:name w:val="Simples Tabela 21"/>
    <w:basedOn w:val="Tabelanormal"/>
    <w:uiPriority w:val="42"/>
    <w:rsid w:val="00786F39"/>
    <w:pPr>
      <w:spacing w:after="0" w:line="240" w:lineRule="auto"/>
    </w:pPr>
    <w:rPr>
      <w:rFonts w:ascii="Arial" w:eastAsia="Arial" w:hAnsi="Arial" w:cs="Arial"/>
      <w:sz w:val="20"/>
      <w:szCs w:val="20"/>
      <w:lang w:eastAsia="pt-B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adeLista3-nfase11">
    <w:name w:val="Tabela de Lista 3 - Ênfase 11"/>
    <w:basedOn w:val="Tabelanormal"/>
    <w:uiPriority w:val="48"/>
    <w:rsid w:val="00786F3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TabeladeGradeClara1">
    <w:name w:val="Tabela de Grade Clara1"/>
    <w:basedOn w:val="Tabelanormal"/>
    <w:uiPriority w:val="40"/>
    <w:rsid w:val="00786F3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deGrade3-nfase3">
    <w:name w:val="Grid Table 3 Accent 3"/>
    <w:basedOn w:val="Tabelanormal"/>
    <w:uiPriority w:val="48"/>
    <w:rsid w:val="00A41DB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customStyle="1" w:styleId="Pa0">
    <w:name w:val="Pa0"/>
    <w:basedOn w:val="Normal"/>
    <w:next w:val="Normal"/>
    <w:uiPriority w:val="99"/>
    <w:rsid w:val="00CA0E1C"/>
    <w:pPr>
      <w:widowControl/>
      <w:adjustRightInd w:val="0"/>
      <w:spacing w:line="241" w:lineRule="atLeast"/>
      <w:jc w:val="both"/>
    </w:pPr>
    <w:rPr>
      <w:rFonts w:ascii="Gotham Light" w:hAnsi="Gotham Light" w:cs="Times New Roman"/>
      <w:sz w:val="24"/>
      <w:szCs w:val="24"/>
      <w:lang w:bidi="ar-SA"/>
    </w:rPr>
  </w:style>
  <w:style w:type="paragraph" w:customStyle="1" w:styleId="textoalinhadoesquerda">
    <w:name w:val="texto_alinhado_esquerda"/>
    <w:basedOn w:val="Normal"/>
    <w:rsid w:val="00CA0E1C"/>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character" w:customStyle="1" w:styleId="i0jnr">
    <w:name w:val="i0jnr"/>
    <w:basedOn w:val="Fontepargpadro"/>
    <w:rsid w:val="00CA0E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49107">
      <w:bodyDiv w:val="1"/>
      <w:marLeft w:val="0"/>
      <w:marRight w:val="0"/>
      <w:marTop w:val="0"/>
      <w:marBottom w:val="0"/>
      <w:divBdr>
        <w:top w:val="none" w:sz="0" w:space="0" w:color="auto"/>
        <w:left w:val="none" w:sz="0" w:space="0" w:color="auto"/>
        <w:bottom w:val="none" w:sz="0" w:space="0" w:color="auto"/>
        <w:right w:val="none" w:sz="0" w:space="0" w:color="auto"/>
      </w:divBdr>
    </w:div>
    <w:div w:id="154953528">
      <w:bodyDiv w:val="1"/>
      <w:marLeft w:val="0"/>
      <w:marRight w:val="0"/>
      <w:marTop w:val="0"/>
      <w:marBottom w:val="0"/>
      <w:divBdr>
        <w:top w:val="none" w:sz="0" w:space="0" w:color="auto"/>
        <w:left w:val="none" w:sz="0" w:space="0" w:color="auto"/>
        <w:bottom w:val="none" w:sz="0" w:space="0" w:color="auto"/>
        <w:right w:val="none" w:sz="0" w:space="0" w:color="auto"/>
      </w:divBdr>
    </w:div>
    <w:div w:id="225262881">
      <w:bodyDiv w:val="1"/>
      <w:marLeft w:val="0"/>
      <w:marRight w:val="0"/>
      <w:marTop w:val="0"/>
      <w:marBottom w:val="0"/>
      <w:divBdr>
        <w:top w:val="none" w:sz="0" w:space="0" w:color="auto"/>
        <w:left w:val="none" w:sz="0" w:space="0" w:color="auto"/>
        <w:bottom w:val="none" w:sz="0" w:space="0" w:color="auto"/>
        <w:right w:val="none" w:sz="0" w:space="0" w:color="auto"/>
      </w:divBdr>
    </w:div>
    <w:div w:id="267198090">
      <w:bodyDiv w:val="1"/>
      <w:marLeft w:val="0"/>
      <w:marRight w:val="0"/>
      <w:marTop w:val="0"/>
      <w:marBottom w:val="0"/>
      <w:divBdr>
        <w:top w:val="none" w:sz="0" w:space="0" w:color="auto"/>
        <w:left w:val="none" w:sz="0" w:space="0" w:color="auto"/>
        <w:bottom w:val="none" w:sz="0" w:space="0" w:color="auto"/>
        <w:right w:val="none" w:sz="0" w:space="0" w:color="auto"/>
      </w:divBdr>
    </w:div>
    <w:div w:id="270942938">
      <w:bodyDiv w:val="1"/>
      <w:marLeft w:val="0"/>
      <w:marRight w:val="0"/>
      <w:marTop w:val="0"/>
      <w:marBottom w:val="0"/>
      <w:divBdr>
        <w:top w:val="none" w:sz="0" w:space="0" w:color="auto"/>
        <w:left w:val="none" w:sz="0" w:space="0" w:color="auto"/>
        <w:bottom w:val="none" w:sz="0" w:space="0" w:color="auto"/>
        <w:right w:val="none" w:sz="0" w:space="0" w:color="auto"/>
      </w:divBdr>
    </w:div>
    <w:div w:id="331377739">
      <w:bodyDiv w:val="1"/>
      <w:marLeft w:val="0"/>
      <w:marRight w:val="0"/>
      <w:marTop w:val="0"/>
      <w:marBottom w:val="0"/>
      <w:divBdr>
        <w:top w:val="none" w:sz="0" w:space="0" w:color="auto"/>
        <w:left w:val="none" w:sz="0" w:space="0" w:color="auto"/>
        <w:bottom w:val="none" w:sz="0" w:space="0" w:color="auto"/>
        <w:right w:val="none" w:sz="0" w:space="0" w:color="auto"/>
      </w:divBdr>
    </w:div>
    <w:div w:id="395394217">
      <w:bodyDiv w:val="1"/>
      <w:marLeft w:val="0"/>
      <w:marRight w:val="0"/>
      <w:marTop w:val="0"/>
      <w:marBottom w:val="0"/>
      <w:divBdr>
        <w:top w:val="none" w:sz="0" w:space="0" w:color="auto"/>
        <w:left w:val="none" w:sz="0" w:space="0" w:color="auto"/>
        <w:bottom w:val="none" w:sz="0" w:space="0" w:color="auto"/>
        <w:right w:val="none" w:sz="0" w:space="0" w:color="auto"/>
      </w:divBdr>
    </w:div>
    <w:div w:id="399980101">
      <w:bodyDiv w:val="1"/>
      <w:marLeft w:val="0"/>
      <w:marRight w:val="0"/>
      <w:marTop w:val="0"/>
      <w:marBottom w:val="0"/>
      <w:divBdr>
        <w:top w:val="none" w:sz="0" w:space="0" w:color="auto"/>
        <w:left w:val="none" w:sz="0" w:space="0" w:color="auto"/>
        <w:bottom w:val="none" w:sz="0" w:space="0" w:color="auto"/>
        <w:right w:val="none" w:sz="0" w:space="0" w:color="auto"/>
      </w:divBdr>
    </w:div>
    <w:div w:id="432020659">
      <w:bodyDiv w:val="1"/>
      <w:marLeft w:val="0"/>
      <w:marRight w:val="0"/>
      <w:marTop w:val="0"/>
      <w:marBottom w:val="0"/>
      <w:divBdr>
        <w:top w:val="none" w:sz="0" w:space="0" w:color="auto"/>
        <w:left w:val="none" w:sz="0" w:space="0" w:color="auto"/>
        <w:bottom w:val="none" w:sz="0" w:space="0" w:color="auto"/>
        <w:right w:val="none" w:sz="0" w:space="0" w:color="auto"/>
      </w:divBdr>
    </w:div>
    <w:div w:id="590506904">
      <w:bodyDiv w:val="1"/>
      <w:marLeft w:val="0"/>
      <w:marRight w:val="0"/>
      <w:marTop w:val="0"/>
      <w:marBottom w:val="0"/>
      <w:divBdr>
        <w:top w:val="none" w:sz="0" w:space="0" w:color="auto"/>
        <w:left w:val="none" w:sz="0" w:space="0" w:color="auto"/>
        <w:bottom w:val="none" w:sz="0" w:space="0" w:color="auto"/>
        <w:right w:val="none" w:sz="0" w:space="0" w:color="auto"/>
      </w:divBdr>
    </w:div>
    <w:div w:id="699861125">
      <w:bodyDiv w:val="1"/>
      <w:marLeft w:val="0"/>
      <w:marRight w:val="0"/>
      <w:marTop w:val="0"/>
      <w:marBottom w:val="0"/>
      <w:divBdr>
        <w:top w:val="none" w:sz="0" w:space="0" w:color="auto"/>
        <w:left w:val="none" w:sz="0" w:space="0" w:color="auto"/>
        <w:bottom w:val="none" w:sz="0" w:space="0" w:color="auto"/>
        <w:right w:val="none" w:sz="0" w:space="0" w:color="auto"/>
      </w:divBdr>
    </w:div>
    <w:div w:id="756288725">
      <w:bodyDiv w:val="1"/>
      <w:marLeft w:val="0"/>
      <w:marRight w:val="0"/>
      <w:marTop w:val="0"/>
      <w:marBottom w:val="0"/>
      <w:divBdr>
        <w:top w:val="none" w:sz="0" w:space="0" w:color="auto"/>
        <w:left w:val="none" w:sz="0" w:space="0" w:color="auto"/>
        <w:bottom w:val="none" w:sz="0" w:space="0" w:color="auto"/>
        <w:right w:val="none" w:sz="0" w:space="0" w:color="auto"/>
      </w:divBdr>
    </w:div>
    <w:div w:id="767046228">
      <w:bodyDiv w:val="1"/>
      <w:marLeft w:val="0"/>
      <w:marRight w:val="0"/>
      <w:marTop w:val="0"/>
      <w:marBottom w:val="0"/>
      <w:divBdr>
        <w:top w:val="none" w:sz="0" w:space="0" w:color="auto"/>
        <w:left w:val="none" w:sz="0" w:space="0" w:color="auto"/>
        <w:bottom w:val="none" w:sz="0" w:space="0" w:color="auto"/>
        <w:right w:val="none" w:sz="0" w:space="0" w:color="auto"/>
      </w:divBdr>
    </w:div>
    <w:div w:id="770198217">
      <w:bodyDiv w:val="1"/>
      <w:marLeft w:val="0"/>
      <w:marRight w:val="0"/>
      <w:marTop w:val="0"/>
      <w:marBottom w:val="0"/>
      <w:divBdr>
        <w:top w:val="none" w:sz="0" w:space="0" w:color="auto"/>
        <w:left w:val="none" w:sz="0" w:space="0" w:color="auto"/>
        <w:bottom w:val="none" w:sz="0" w:space="0" w:color="auto"/>
        <w:right w:val="none" w:sz="0" w:space="0" w:color="auto"/>
      </w:divBdr>
      <w:divsChild>
        <w:div w:id="1605530003">
          <w:marLeft w:val="0"/>
          <w:marRight w:val="0"/>
          <w:marTop w:val="0"/>
          <w:marBottom w:val="0"/>
          <w:divBdr>
            <w:top w:val="none" w:sz="0" w:space="0" w:color="auto"/>
            <w:left w:val="none" w:sz="0" w:space="0" w:color="auto"/>
            <w:bottom w:val="none" w:sz="0" w:space="0" w:color="auto"/>
            <w:right w:val="none" w:sz="0" w:space="0" w:color="auto"/>
          </w:divBdr>
        </w:div>
      </w:divsChild>
    </w:div>
    <w:div w:id="839733792">
      <w:bodyDiv w:val="1"/>
      <w:marLeft w:val="0"/>
      <w:marRight w:val="0"/>
      <w:marTop w:val="0"/>
      <w:marBottom w:val="0"/>
      <w:divBdr>
        <w:top w:val="none" w:sz="0" w:space="0" w:color="auto"/>
        <w:left w:val="none" w:sz="0" w:space="0" w:color="auto"/>
        <w:bottom w:val="none" w:sz="0" w:space="0" w:color="auto"/>
        <w:right w:val="none" w:sz="0" w:space="0" w:color="auto"/>
      </w:divBdr>
    </w:div>
    <w:div w:id="950012386">
      <w:bodyDiv w:val="1"/>
      <w:marLeft w:val="0"/>
      <w:marRight w:val="0"/>
      <w:marTop w:val="0"/>
      <w:marBottom w:val="0"/>
      <w:divBdr>
        <w:top w:val="none" w:sz="0" w:space="0" w:color="auto"/>
        <w:left w:val="none" w:sz="0" w:space="0" w:color="auto"/>
        <w:bottom w:val="none" w:sz="0" w:space="0" w:color="auto"/>
        <w:right w:val="none" w:sz="0" w:space="0" w:color="auto"/>
      </w:divBdr>
    </w:div>
    <w:div w:id="972831887">
      <w:bodyDiv w:val="1"/>
      <w:marLeft w:val="0"/>
      <w:marRight w:val="0"/>
      <w:marTop w:val="0"/>
      <w:marBottom w:val="0"/>
      <w:divBdr>
        <w:top w:val="none" w:sz="0" w:space="0" w:color="auto"/>
        <w:left w:val="none" w:sz="0" w:space="0" w:color="auto"/>
        <w:bottom w:val="none" w:sz="0" w:space="0" w:color="auto"/>
        <w:right w:val="none" w:sz="0" w:space="0" w:color="auto"/>
      </w:divBdr>
    </w:div>
    <w:div w:id="984896342">
      <w:bodyDiv w:val="1"/>
      <w:marLeft w:val="0"/>
      <w:marRight w:val="0"/>
      <w:marTop w:val="0"/>
      <w:marBottom w:val="0"/>
      <w:divBdr>
        <w:top w:val="none" w:sz="0" w:space="0" w:color="auto"/>
        <w:left w:val="none" w:sz="0" w:space="0" w:color="auto"/>
        <w:bottom w:val="none" w:sz="0" w:space="0" w:color="auto"/>
        <w:right w:val="none" w:sz="0" w:space="0" w:color="auto"/>
      </w:divBdr>
    </w:div>
    <w:div w:id="1020812826">
      <w:bodyDiv w:val="1"/>
      <w:marLeft w:val="0"/>
      <w:marRight w:val="0"/>
      <w:marTop w:val="0"/>
      <w:marBottom w:val="0"/>
      <w:divBdr>
        <w:top w:val="none" w:sz="0" w:space="0" w:color="auto"/>
        <w:left w:val="none" w:sz="0" w:space="0" w:color="auto"/>
        <w:bottom w:val="none" w:sz="0" w:space="0" w:color="auto"/>
        <w:right w:val="none" w:sz="0" w:space="0" w:color="auto"/>
      </w:divBdr>
    </w:div>
    <w:div w:id="1024020684">
      <w:bodyDiv w:val="1"/>
      <w:marLeft w:val="0"/>
      <w:marRight w:val="0"/>
      <w:marTop w:val="0"/>
      <w:marBottom w:val="0"/>
      <w:divBdr>
        <w:top w:val="none" w:sz="0" w:space="0" w:color="auto"/>
        <w:left w:val="none" w:sz="0" w:space="0" w:color="auto"/>
        <w:bottom w:val="none" w:sz="0" w:space="0" w:color="auto"/>
        <w:right w:val="none" w:sz="0" w:space="0" w:color="auto"/>
      </w:divBdr>
    </w:div>
    <w:div w:id="1035083124">
      <w:bodyDiv w:val="1"/>
      <w:marLeft w:val="0"/>
      <w:marRight w:val="0"/>
      <w:marTop w:val="0"/>
      <w:marBottom w:val="0"/>
      <w:divBdr>
        <w:top w:val="none" w:sz="0" w:space="0" w:color="auto"/>
        <w:left w:val="none" w:sz="0" w:space="0" w:color="auto"/>
        <w:bottom w:val="none" w:sz="0" w:space="0" w:color="auto"/>
        <w:right w:val="none" w:sz="0" w:space="0" w:color="auto"/>
      </w:divBdr>
    </w:div>
    <w:div w:id="1219317151">
      <w:bodyDiv w:val="1"/>
      <w:marLeft w:val="0"/>
      <w:marRight w:val="0"/>
      <w:marTop w:val="0"/>
      <w:marBottom w:val="0"/>
      <w:divBdr>
        <w:top w:val="none" w:sz="0" w:space="0" w:color="auto"/>
        <w:left w:val="none" w:sz="0" w:space="0" w:color="auto"/>
        <w:bottom w:val="none" w:sz="0" w:space="0" w:color="auto"/>
        <w:right w:val="none" w:sz="0" w:space="0" w:color="auto"/>
      </w:divBdr>
    </w:div>
    <w:div w:id="1273853446">
      <w:bodyDiv w:val="1"/>
      <w:marLeft w:val="0"/>
      <w:marRight w:val="0"/>
      <w:marTop w:val="0"/>
      <w:marBottom w:val="0"/>
      <w:divBdr>
        <w:top w:val="none" w:sz="0" w:space="0" w:color="auto"/>
        <w:left w:val="none" w:sz="0" w:space="0" w:color="auto"/>
        <w:bottom w:val="none" w:sz="0" w:space="0" w:color="auto"/>
        <w:right w:val="none" w:sz="0" w:space="0" w:color="auto"/>
      </w:divBdr>
    </w:div>
    <w:div w:id="1393652354">
      <w:bodyDiv w:val="1"/>
      <w:marLeft w:val="0"/>
      <w:marRight w:val="0"/>
      <w:marTop w:val="0"/>
      <w:marBottom w:val="0"/>
      <w:divBdr>
        <w:top w:val="none" w:sz="0" w:space="0" w:color="auto"/>
        <w:left w:val="none" w:sz="0" w:space="0" w:color="auto"/>
        <w:bottom w:val="none" w:sz="0" w:space="0" w:color="auto"/>
        <w:right w:val="none" w:sz="0" w:space="0" w:color="auto"/>
      </w:divBdr>
    </w:div>
    <w:div w:id="1520269630">
      <w:bodyDiv w:val="1"/>
      <w:marLeft w:val="0"/>
      <w:marRight w:val="0"/>
      <w:marTop w:val="0"/>
      <w:marBottom w:val="0"/>
      <w:divBdr>
        <w:top w:val="none" w:sz="0" w:space="0" w:color="auto"/>
        <w:left w:val="none" w:sz="0" w:space="0" w:color="auto"/>
        <w:bottom w:val="none" w:sz="0" w:space="0" w:color="auto"/>
        <w:right w:val="none" w:sz="0" w:space="0" w:color="auto"/>
      </w:divBdr>
    </w:div>
    <w:div w:id="1535771998">
      <w:bodyDiv w:val="1"/>
      <w:marLeft w:val="0"/>
      <w:marRight w:val="0"/>
      <w:marTop w:val="0"/>
      <w:marBottom w:val="0"/>
      <w:divBdr>
        <w:top w:val="none" w:sz="0" w:space="0" w:color="auto"/>
        <w:left w:val="none" w:sz="0" w:space="0" w:color="auto"/>
        <w:bottom w:val="none" w:sz="0" w:space="0" w:color="auto"/>
        <w:right w:val="none" w:sz="0" w:space="0" w:color="auto"/>
      </w:divBdr>
    </w:div>
    <w:div w:id="162870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valec.gov.br/documentos/RegimentoInternoVALEC.pdf" TargetMode="External"/><Relationship Id="rId21" Type="http://schemas.openxmlformats.org/officeDocument/2006/relationships/hyperlink" Target="http://www.planalto.gov.br/ccivil_03/_Ato2011-2014/2013/Decreto/D8134.htm" TargetMode="Externa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image" Target="media/image32.emf"/><Relationship Id="rId68" Type="http://schemas.openxmlformats.org/officeDocument/2006/relationships/image" Target="media/image37.png"/><Relationship Id="rId84" Type="http://schemas.openxmlformats.org/officeDocument/2006/relationships/image" Target="media/image53.png"/><Relationship Id="rId89" Type="http://schemas.openxmlformats.org/officeDocument/2006/relationships/hyperlink" Target="http://www.ons.org.br/Paginas/Noticias/Nota-a-imprensa-Esclarecimentos-em-relacao-a-nota-tecnica-Avaliacao-das-Condicoes-de-Atendimento-Eletroenergetico-do-SIN.aspx" TargetMode="External"/><Relationship Id="rId7" Type="http://schemas.openxmlformats.org/officeDocument/2006/relationships/settings" Target="settings.xml"/><Relationship Id="rId71" Type="http://schemas.openxmlformats.org/officeDocument/2006/relationships/image" Target="media/image40.png"/><Relationship Id="rId92" Type="http://schemas.openxmlformats.org/officeDocument/2006/relationships/image" Target="media/image59.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valec.gov.br/a-valec/governanca/politicas" TargetMode="External"/><Relationship Id="rId11" Type="http://schemas.openxmlformats.org/officeDocument/2006/relationships/image" Target="media/image1.png"/><Relationship Id="rId24" Type="http://schemas.openxmlformats.org/officeDocument/2006/relationships/hyperlink" Target="https://www.planalto.gov.br/ccivil_03/_Ato2004-2006/2006/Lei/L11297.htm" TargetMode="External"/><Relationship Id="rId32" Type="http://schemas.openxmlformats.org/officeDocument/2006/relationships/image" Target="media/image5.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3.emf"/><Relationship Id="rId58" Type="http://schemas.openxmlformats.org/officeDocument/2006/relationships/image" Target="media/image27.png"/><Relationship Id="rId66" Type="http://schemas.openxmlformats.org/officeDocument/2006/relationships/image" Target="media/image35.png"/><Relationship Id="rId74" Type="http://schemas.openxmlformats.org/officeDocument/2006/relationships/image" Target="media/image43.jpeg"/><Relationship Id="rId79" Type="http://schemas.openxmlformats.org/officeDocument/2006/relationships/image" Target="media/image48.png"/><Relationship Id="rId87" Type="http://schemas.openxmlformats.org/officeDocument/2006/relationships/image" Target="media/image56.png"/><Relationship Id="rId102" Type="http://schemas.openxmlformats.org/officeDocument/2006/relationships/image" Target="media/image68.png"/><Relationship Id="rId5" Type="http://schemas.openxmlformats.org/officeDocument/2006/relationships/numbering" Target="numbering.xml"/><Relationship Id="rId61" Type="http://schemas.openxmlformats.org/officeDocument/2006/relationships/image" Target="media/image30.png"/><Relationship Id="rId82" Type="http://schemas.openxmlformats.org/officeDocument/2006/relationships/image" Target="media/image51.png"/><Relationship Id="rId90" Type="http://schemas.openxmlformats.org/officeDocument/2006/relationships/hyperlink" Target="https://www.in.gov.br/en/web/dou/-/decreto-n-10.779-de-25-de-agosto-de-2021-340742061" TargetMode="External"/><Relationship Id="rId95" Type="http://schemas.openxmlformats.org/officeDocument/2006/relationships/image" Target="media/image62.png"/><Relationship Id="rId19" Type="http://schemas.openxmlformats.org/officeDocument/2006/relationships/hyperlink" Target="http://www.planalto.gov.br/ccivil_03/_Ato2007-2010/2009/Lei/L12058.htm" TargetMode="External"/><Relationship Id="rId14" Type="http://schemas.openxmlformats.org/officeDocument/2006/relationships/image" Target="media/image3.jpeg"/><Relationship Id="rId22" Type="http://schemas.openxmlformats.org/officeDocument/2006/relationships/hyperlink" Target="http://www.planalto.gov.br/ccivil_03/_Ato2011-2014/2013/Decreto/D8129.htm" TargetMode="External"/><Relationship Id="rId27" Type="http://schemas.openxmlformats.org/officeDocument/2006/relationships/hyperlink" Target="https://www.valec.gov.br/documentos/auditoria/comite/Regimento-Interno-do-Comit%C3%AA-de-Auditoria-COAUD.pdf" TargetMode="External"/><Relationship Id="rId30" Type="http://schemas.openxmlformats.org/officeDocument/2006/relationships/hyperlink" Target="https://www.valec.gov.br/a-valec/governanca/assessoria-de-governanca/planejamento-estrategico" TargetMode="External"/><Relationship Id="rId35" Type="http://schemas.openxmlformats.org/officeDocument/2006/relationships/image" Target="media/image7.jp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6.png"/><Relationship Id="rId64" Type="http://schemas.openxmlformats.org/officeDocument/2006/relationships/image" Target="media/image33.emf"/><Relationship Id="rId69" Type="http://schemas.openxmlformats.org/officeDocument/2006/relationships/image" Target="media/image38.png"/><Relationship Id="rId77" Type="http://schemas.openxmlformats.org/officeDocument/2006/relationships/image" Target="media/image46.png"/><Relationship Id="rId100" Type="http://schemas.openxmlformats.org/officeDocument/2006/relationships/image" Target="media/image67.png"/><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valec.gov.br/documentos/integridade/ANEXO_2_-_PLANO_ANUAL_DE_INTEGRIDADE_2021_2022.pdf" TargetMode="External"/><Relationship Id="rId72" Type="http://schemas.openxmlformats.org/officeDocument/2006/relationships/image" Target="media/image41.jpeg"/><Relationship Id="rId80" Type="http://schemas.openxmlformats.org/officeDocument/2006/relationships/image" Target="media/image49.png"/><Relationship Id="rId85" Type="http://schemas.openxmlformats.org/officeDocument/2006/relationships/image" Target="media/image54.png"/><Relationship Id="rId93" Type="http://schemas.openxmlformats.org/officeDocument/2006/relationships/image" Target="media/image60.png"/><Relationship Id="rId98" Type="http://schemas.openxmlformats.org/officeDocument/2006/relationships/image" Target="media/image6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planalto.gov.br/ccivil_03/_Ato2007-2010/2008/Lei/L11772.htm" TargetMode="External"/><Relationship Id="rId25" Type="http://schemas.openxmlformats.org/officeDocument/2006/relationships/hyperlink" Target="https://www.valec.gov.br/documentos/EstatutoSocialVALEC.pdf" TargetMode="External"/><Relationship Id="rId33" Type="http://schemas.openxmlformats.org/officeDocument/2006/relationships/image" Target="media/image6.png"/><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image" Target="media/image28.png"/><Relationship Id="rId67" Type="http://schemas.openxmlformats.org/officeDocument/2006/relationships/image" Target="media/image36.png"/><Relationship Id="rId103" Type="http://schemas.openxmlformats.org/officeDocument/2006/relationships/image" Target="media/image69.png"/><Relationship Id="rId20" Type="http://schemas.openxmlformats.org/officeDocument/2006/relationships/hyperlink" Target="http://www.planalto.gov.br/ccivil_03/_ato2015-2018/2016/decreto/D8875.htm" TargetMode="External"/><Relationship Id="rId41" Type="http://schemas.openxmlformats.org/officeDocument/2006/relationships/image" Target="media/image12.png"/><Relationship Id="rId54" Type="http://schemas.openxmlformats.org/officeDocument/2006/relationships/image" Target="media/image24.png"/><Relationship Id="rId62" Type="http://schemas.openxmlformats.org/officeDocument/2006/relationships/image" Target="media/image31.emf"/><Relationship Id="rId70" Type="http://schemas.openxmlformats.org/officeDocument/2006/relationships/image" Target="media/image39.jpeg"/><Relationship Id="rId75" Type="http://schemas.openxmlformats.org/officeDocument/2006/relationships/image" Target="media/image44.jpeg"/><Relationship Id="rId83" Type="http://schemas.openxmlformats.org/officeDocument/2006/relationships/image" Target="media/image52.png"/><Relationship Id="rId88" Type="http://schemas.openxmlformats.org/officeDocument/2006/relationships/image" Target="media/image57.png"/><Relationship Id="rId91" Type="http://schemas.openxmlformats.org/officeDocument/2006/relationships/image" Target="media/image58.png"/><Relationship Id="rId96"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planalto.gov.br/ccivil_03/_ato2007-2010/2008/lei/l11772.htm" TargetMode="External"/><Relationship Id="rId28" Type="http://schemas.openxmlformats.org/officeDocument/2006/relationships/hyperlink" Target="https://www.valec.gov.br/a-valec/auditorias/auditoria-interna" TargetMode="External"/><Relationship Id="rId36" Type="http://schemas.openxmlformats.org/officeDocument/2006/relationships/hyperlink" Target="https://www.valec.gov.br/documentos/governanca/Internet-Cadeia%20de%20Valor%20da%20Valec%20v23.1.png" TargetMode="External"/><Relationship Id="rId49" Type="http://schemas.openxmlformats.org/officeDocument/2006/relationships/image" Target="media/image20.png"/><Relationship Id="rId57" Type="http://schemas.openxmlformats.org/officeDocument/2006/relationships/hyperlink" Target="https://www.valec.gov.br/documentos/governanca/Plano_de%20_Negocios_2021_Agosto_2021-v3.3.pdf" TargetMode="External"/><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valec.gov.br/documentos/OrganogramaVALEC.pdf" TargetMode="External"/><Relationship Id="rId44" Type="http://schemas.openxmlformats.org/officeDocument/2006/relationships/image" Target="media/image15.png"/><Relationship Id="rId52" Type="http://schemas.openxmlformats.org/officeDocument/2006/relationships/image" Target="media/image22.png"/><Relationship Id="rId60" Type="http://schemas.openxmlformats.org/officeDocument/2006/relationships/image" Target="media/image29.png"/><Relationship Id="rId65" Type="http://schemas.openxmlformats.org/officeDocument/2006/relationships/image" Target="media/image34.emf"/><Relationship Id="rId73" Type="http://schemas.openxmlformats.org/officeDocument/2006/relationships/image" Target="media/image42.jpe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5.png"/><Relationship Id="rId94" Type="http://schemas.openxmlformats.org/officeDocument/2006/relationships/image" Target="media/image61.png"/><Relationship Id="rId99" Type="http://schemas.openxmlformats.org/officeDocument/2006/relationships/image" Target="media/image66.png"/><Relationship Id="rId101" Type="http://schemas.openxmlformats.org/officeDocument/2006/relationships/hyperlink" Target="https://www.youtube.com/watch?v=eDoqU9SZkbw"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planalto.gov.br/ccivil_03/LEIS/L5917.htm" TargetMode="External"/><Relationship Id="rId39" Type="http://schemas.openxmlformats.org/officeDocument/2006/relationships/image" Target="media/image10.png"/><Relationship Id="rId34" Type="http://schemas.openxmlformats.org/officeDocument/2006/relationships/hyperlink" Target="https://www.valec.gov.br/documentos/governanca/Plano_de%20_Negocios_2021_Agosto_2021-v3.3.pdf" TargetMode="External"/><Relationship Id="rId50" Type="http://schemas.openxmlformats.org/officeDocument/2006/relationships/image" Target="media/image21.png"/><Relationship Id="rId55" Type="http://schemas.openxmlformats.org/officeDocument/2006/relationships/image" Target="media/image25.jpeg"/><Relationship Id="rId76" Type="http://schemas.openxmlformats.org/officeDocument/2006/relationships/image" Target="media/image45.jpeg"/><Relationship Id="rId97" Type="http://schemas.openxmlformats.org/officeDocument/2006/relationships/image" Target="media/image64.jpeg"/><Relationship Id="rId104" Type="http://schemas.openxmlformats.org/officeDocument/2006/relationships/image" Target="media/image7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ADE8BA8-9F16-49F6-A882-45E8EA116265}">
  <we:reference id="wa104099688" version="1.3.0.0" store="pt-B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o xmlns="247b4c6a-0f8a-4297-949c-63f9d8b8486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B5B326F47395CF43AEF3A3E7A2D1D509" ma:contentTypeVersion="9" ma:contentTypeDescription="Crie um novo documento." ma:contentTypeScope="" ma:versionID="23958caef1bb2547d5e5be8c115d4464">
  <xsd:schema xmlns:xsd="http://www.w3.org/2001/XMLSchema" xmlns:xs="http://www.w3.org/2001/XMLSchema" xmlns:p="http://schemas.microsoft.com/office/2006/metadata/properties" xmlns:ns2="247b4c6a-0f8a-4297-949c-63f9d8b84863" targetNamespace="http://schemas.microsoft.com/office/2006/metadata/properties" ma:root="true" ma:fieldsID="e884befad3671b61e179d0b9adafc333" ns2:_="">
    <xsd:import namespace="247b4c6a-0f8a-4297-949c-63f9d8b8486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Documento"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7b4c6a-0f8a-4297-949c-63f9d8b848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Documento" ma:index="14" nillable="true" ma:displayName="Documento" ma:format="Dropdown" ma:internalName="Documento">
      <xsd:simpleType>
        <xsd:restriction base="dms:Text">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40E730-4501-4528-9573-5F13D5C7D890}">
  <ds:schemaRefs>
    <ds:schemaRef ds:uri="http://schemas.microsoft.com/sharepoint/v3/contenttype/forms"/>
  </ds:schemaRefs>
</ds:datastoreItem>
</file>

<file path=customXml/itemProps2.xml><?xml version="1.0" encoding="utf-8"?>
<ds:datastoreItem xmlns:ds="http://schemas.openxmlformats.org/officeDocument/2006/customXml" ds:itemID="{D02BA5D8-18BF-4828-9A96-BC113BF4374E}">
  <ds:schemaRefs>
    <ds:schemaRef ds:uri="http://schemas.microsoft.com/office/2006/metadata/properties"/>
    <ds:schemaRef ds:uri="http://schemas.microsoft.com/office/infopath/2007/PartnerControls"/>
    <ds:schemaRef ds:uri="247b4c6a-0f8a-4297-949c-63f9d8b84863"/>
  </ds:schemaRefs>
</ds:datastoreItem>
</file>

<file path=customXml/itemProps3.xml><?xml version="1.0" encoding="utf-8"?>
<ds:datastoreItem xmlns:ds="http://schemas.openxmlformats.org/officeDocument/2006/customXml" ds:itemID="{FBCB576E-6D6C-4923-A568-6912861947ED}">
  <ds:schemaRefs>
    <ds:schemaRef ds:uri="http://schemas.openxmlformats.org/officeDocument/2006/bibliography"/>
  </ds:schemaRefs>
</ds:datastoreItem>
</file>

<file path=customXml/itemProps4.xml><?xml version="1.0" encoding="utf-8"?>
<ds:datastoreItem xmlns:ds="http://schemas.openxmlformats.org/officeDocument/2006/customXml" ds:itemID="{AD8EAD2F-9243-48E2-AAEA-4D21FE128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7b4c6a-0f8a-4297-949c-63f9d8b848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174</Pages>
  <Words>55080</Words>
  <Characters>297432</Characters>
  <Application>Microsoft Office Word</Application>
  <DocSecurity>0</DocSecurity>
  <Lines>2478</Lines>
  <Paragraphs>703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Karoll Haussler Carneiro Ramos</dc:creator>
  <cp:keywords/>
  <dc:description/>
  <cp:lastModifiedBy>Janderley Carneiro</cp:lastModifiedBy>
  <cp:revision>9</cp:revision>
  <cp:lastPrinted>2022-05-16T19:45:00Z</cp:lastPrinted>
  <dcterms:created xsi:type="dcterms:W3CDTF">2022-05-13T20:15:00Z</dcterms:created>
  <dcterms:modified xsi:type="dcterms:W3CDTF">2022-05-17T14:50:00Z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0x010100B5B326F47395CF43AEF3A3E7A2D1D509</vt:lpwstr>
  </property>
</Properties>
</file>